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0ECD642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EA522B">
        <w:rPr>
          <w:rFonts w:ascii="Arial" w:hAnsi="Arial" w:cs="Arial"/>
          <w:b/>
          <w:bCs/>
          <w:snapToGrid w:val="0"/>
          <w:sz w:val="24"/>
          <w:lang w:val="en-GB"/>
        </w:rPr>
        <w:t>104</w:t>
      </w:r>
      <w:r w:rsidR="003370E9">
        <w:rPr>
          <w:rFonts w:ascii="Arial" w:hAnsi="Arial" w:cs="Arial"/>
          <w:b/>
          <w:bCs/>
          <w:snapToGrid w:val="0"/>
          <w:sz w:val="24"/>
          <w:lang w:val="en-GB"/>
        </w:rPr>
        <w:t>b</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1720F0" w:rsidRPr="001720F0">
        <w:rPr>
          <w:rFonts w:ascii="Arial" w:hAnsi="Arial" w:cs="Arial"/>
          <w:b/>
          <w:bCs/>
          <w:snapToGrid w:val="0"/>
          <w:sz w:val="24"/>
          <w:lang w:val="en-GB"/>
        </w:rPr>
        <w:t>R1-</w:t>
      </w:r>
      <w:r w:rsidR="003370E9" w:rsidRPr="001720F0">
        <w:rPr>
          <w:rFonts w:ascii="Arial" w:hAnsi="Arial" w:cs="Arial"/>
          <w:b/>
          <w:bCs/>
          <w:snapToGrid w:val="0"/>
          <w:sz w:val="24"/>
          <w:lang w:val="en-GB"/>
        </w:rPr>
        <w:t>2</w:t>
      </w:r>
      <w:r w:rsidR="003370E9">
        <w:rPr>
          <w:rFonts w:ascii="Arial" w:hAnsi="Arial" w:cs="Arial"/>
          <w:b/>
          <w:bCs/>
          <w:snapToGrid w:val="0"/>
          <w:sz w:val="24"/>
          <w:lang w:val="en-GB"/>
        </w:rPr>
        <w:t>1</w:t>
      </w:r>
      <w:r w:rsidR="003370E9" w:rsidRPr="001720F0">
        <w:rPr>
          <w:rFonts w:ascii="Arial" w:hAnsi="Arial" w:cs="Arial"/>
          <w:b/>
          <w:bCs/>
          <w:snapToGrid w:val="0"/>
          <w:sz w:val="24"/>
          <w:lang w:val="en-GB"/>
        </w:rPr>
        <w:t>0</w:t>
      </w:r>
      <w:r w:rsidR="002D45AF">
        <w:rPr>
          <w:rFonts w:ascii="Arial" w:hAnsi="Arial" w:cs="Arial"/>
          <w:b/>
          <w:bCs/>
          <w:snapToGrid w:val="0"/>
          <w:sz w:val="24"/>
          <w:lang w:val="en-GB"/>
        </w:rPr>
        <w:t>3508</w:t>
      </w:r>
    </w:p>
    <w:p w14:paraId="66059885" w14:textId="1BD88C3A"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3370E9">
        <w:rPr>
          <w:rFonts w:ascii="Arial" w:hAnsi="Arial" w:cs="Arial"/>
          <w:b/>
          <w:bCs/>
          <w:snapToGrid w:val="0"/>
          <w:sz w:val="24"/>
          <w:lang w:val="en-GB"/>
        </w:rPr>
        <w:t xml:space="preserve">April </w:t>
      </w:r>
      <w:r w:rsidR="003370E9">
        <w:rPr>
          <w:rFonts w:ascii="Arial" w:eastAsia="MS Mincho" w:hAnsi="Arial" w:cs="Arial"/>
          <w:b/>
          <w:bCs/>
          <w:sz w:val="24"/>
          <w:lang w:val="en-GB" w:eastAsia="ja-JP"/>
        </w:rPr>
        <w:t>12</w:t>
      </w:r>
      <w:r w:rsidR="00EA522B" w:rsidRPr="00DF0708">
        <w:rPr>
          <w:rFonts w:ascii="Arial" w:eastAsia="MS Mincho" w:hAnsi="Arial" w:cs="Arial"/>
          <w:b/>
          <w:bCs/>
          <w:sz w:val="24"/>
          <w:vertAlign w:val="superscript"/>
          <w:lang w:val="en-GB" w:eastAsia="ja-JP"/>
        </w:rPr>
        <w:t>th</w:t>
      </w:r>
      <w:r w:rsidR="00EA522B"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3370E9">
        <w:rPr>
          <w:rFonts w:ascii="Arial" w:eastAsia="MS Mincho" w:hAnsi="Arial" w:cs="Arial"/>
          <w:b/>
          <w:bCs/>
          <w:sz w:val="24"/>
          <w:lang w:val="en-GB" w:eastAsia="ja-JP"/>
        </w:rPr>
        <w:t xml:space="preserve"> 20</w:t>
      </w:r>
      <w:r w:rsidR="003370E9">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758F1A6" w14:textId="0AB2EABF"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r w:rsidR="003D59B7">
        <w:rPr>
          <w:rFonts w:ascii="Times New Roman" w:hAnsi="Times New Roman"/>
        </w:rPr>
        <w:t>The rest of agreements are also captured in the relevant subsection in section 2.</w:t>
      </w:r>
      <w:r w:rsidR="00645528">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6F6D22" w14:paraId="185AD21A" w14:textId="77777777" w:rsidTr="006F6D22">
        <w:tc>
          <w:tcPr>
            <w:tcW w:w="9017" w:type="dxa"/>
          </w:tcPr>
          <w:p w14:paraId="30C31E6C" w14:textId="60451CAD" w:rsidR="00667DEB" w:rsidRPr="00667DEB" w:rsidRDefault="00667DEB" w:rsidP="00667DEB">
            <w:pPr>
              <w:spacing w:after="0" w:line="240" w:lineRule="auto"/>
              <w:rPr>
                <w:rFonts w:ascii="Times" w:eastAsia="바탕" w:hAnsi="Times"/>
                <w:b/>
                <w:bCs/>
                <w:sz w:val="20"/>
                <w:szCs w:val="24"/>
                <w:lang w:val="en-GB" w:eastAsia="x-none"/>
              </w:rPr>
            </w:pPr>
            <w:r w:rsidRPr="00644C8C">
              <w:rPr>
                <w:rFonts w:ascii="Times" w:eastAsia="바탕" w:hAnsi="Times"/>
                <w:b/>
                <w:bCs/>
                <w:sz w:val="20"/>
                <w:szCs w:val="24"/>
                <w:highlight w:val="green"/>
                <w:lang w:val="en-GB" w:eastAsia="x-none"/>
              </w:rPr>
              <w:t>Agreement</w:t>
            </w:r>
          </w:p>
          <w:p w14:paraId="4872D67F" w14:textId="77777777" w:rsidR="00667DEB" w:rsidRPr="00667DEB"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Scheme 1 is supported in Rel-17</w:t>
            </w:r>
          </w:p>
          <w:p w14:paraId="789BA7FD" w14:textId="77777777" w:rsidR="00667DEB" w:rsidRPr="00667DEB" w:rsidRDefault="00667DEB" w:rsidP="00667DEB">
            <w:pPr>
              <w:numPr>
                <w:ilvl w:val="0"/>
                <w:numId w:val="71"/>
              </w:numPr>
              <w:spacing w:after="0" w:line="240" w:lineRule="auto"/>
              <w:rPr>
                <w:rFonts w:ascii="Times" w:eastAsia="바탕" w:hAnsi="Times"/>
                <w:sz w:val="20"/>
                <w:szCs w:val="24"/>
                <w:lang w:eastAsia="x-none"/>
              </w:rPr>
            </w:pPr>
            <w:r w:rsidRPr="00667DEB">
              <w:rPr>
                <w:rFonts w:ascii="Times" w:eastAsia="바탕" w:hAnsi="Times"/>
                <w:sz w:val="20"/>
                <w:szCs w:val="24"/>
                <w:lang w:eastAsia="x-none"/>
              </w:rPr>
              <w:t>TRS is transmitted in TRP-specific / non-SFN manner</w:t>
            </w:r>
          </w:p>
          <w:p w14:paraId="06889DA8" w14:textId="77777777" w:rsidR="00667DEB" w:rsidRPr="00667DEB" w:rsidRDefault="00667DEB" w:rsidP="00667DEB">
            <w:pPr>
              <w:numPr>
                <w:ilvl w:val="0"/>
                <w:numId w:val="71"/>
              </w:numPr>
              <w:spacing w:after="0" w:line="240" w:lineRule="auto"/>
              <w:rPr>
                <w:rFonts w:ascii="Times" w:eastAsia="바탕" w:hAnsi="Times"/>
                <w:sz w:val="20"/>
                <w:szCs w:val="24"/>
                <w:lang w:eastAsia="x-none"/>
              </w:rPr>
            </w:pPr>
            <w:r w:rsidRPr="00667DEB">
              <w:rPr>
                <w:rFonts w:ascii="Times" w:eastAsia="바탕" w:hAnsi="Times"/>
                <w:sz w:val="20"/>
                <w:szCs w:val="24"/>
                <w:lang w:eastAsia="x-none"/>
              </w:rPr>
              <w:t>DM-RS and PDCCH/PDSCH from TRPs are transmitted in SFN manner</w:t>
            </w:r>
          </w:p>
          <w:p w14:paraId="4214FC8A" w14:textId="77777777" w:rsidR="00667DEB" w:rsidRPr="00667DEB" w:rsidRDefault="00667DEB" w:rsidP="00667DEB">
            <w:pPr>
              <w:numPr>
                <w:ilvl w:val="0"/>
                <w:numId w:val="71"/>
              </w:numPr>
              <w:spacing w:after="0" w:line="240" w:lineRule="auto"/>
              <w:rPr>
                <w:rFonts w:ascii="Times" w:eastAsia="바탕" w:hAnsi="Times"/>
                <w:sz w:val="20"/>
                <w:szCs w:val="24"/>
                <w:lang w:eastAsia="x-none"/>
              </w:rPr>
            </w:pPr>
            <w:r w:rsidRPr="00667DEB">
              <w:rPr>
                <w:rFonts w:ascii="Times" w:eastAsia="바탕" w:hAnsi="Times"/>
                <w:sz w:val="20"/>
                <w:szCs w:val="24"/>
                <w:lang w:eastAsia="x-none"/>
              </w:rPr>
              <w:t>FFS other details</w:t>
            </w:r>
          </w:p>
          <w:p w14:paraId="3A29110D" w14:textId="77777777" w:rsidR="00667DEB" w:rsidRPr="00667DEB"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 </w:t>
            </w:r>
          </w:p>
          <w:p w14:paraId="547FEE2C" w14:textId="77777777" w:rsidR="00667DEB" w:rsidRPr="00667DEB" w:rsidRDefault="00667DEB" w:rsidP="00667DEB">
            <w:pPr>
              <w:spacing w:after="0" w:line="240" w:lineRule="auto"/>
              <w:rPr>
                <w:rFonts w:ascii="Times" w:eastAsia="바탕" w:hAnsi="Times"/>
                <w:b/>
                <w:bCs/>
                <w:sz w:val="20"/>
                <w:szCs w:val="24"/>
                <w:lang w:val="en-GB" w:eastAsia="x-none"/>
              </w:rPr>
            </w:pPr>
            <w:r w:rsidRPr="00644C8C">
              <w:rPr>
                <w:rFonts w:ascii="Times" w:eastAsia="바탕" w:hAnsi="Times"/>
                <w:b/>
                <w:bCs/>
                <w:sz w:val="20"/>
                <w:szCs w:val="24"/>
                <w:highlight w:val="green"/>
                <w:lang w:val="en-GB" w:eastAsia="x-none"/>
              </w:rPr>
              <w:t>Agreement</w:t>
            </w:r>
          </w:p>
          <w:p w14:paraId="4AE0EEA4" w14:textId="77777777" w:rsidR="00667DEB" w:rsidRPr="00667DEB"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For scheme 1 and SFN transmission of PDCCH support Variant E for QCL assumption in TCI state when TRS is used as source RS</w:t>
            </w:r>
          </w:p>
          <w:p w14:paraId="322FEF8F" w14:textId="77777777" w:rsidR="00667DEB" w:rsidRPr="00667DEB"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 </w:t>
            </w:r>
          </w:p>
          <w:p w14:paraId="7405FC97" w14:textId="77777777" w:rsidR="00667DEB" w:rsidRPr="00667DEB" w:rsidRDefault="00667DEB" w:rsidP="00667DEB">
            <w:pPr>
              <w:spacing w:after="0" w:line="240" w:lineRule="auto"/>
              <w:rPr>
                <w:rFonts w:ascii="Times" w:eastAsia="바탕" w:hAnsi="Times"/>
                <w:b/>
                <w:bCs/>
                <w:sz w:val="20"/>
                <w:szCs w:val="24"/>
                <w:lang w:val="en-GB" w:eastAsia="x-none"/>
              </w:rPr>
            </w:pPr>
            <w:r w:rsidRPr="00644C8C">
              <w:rPr>
                <w:rFonts w:ascii="Times" w:eastAsia="바탕" w:hAnsi="Times"/>
                <w:b/>
                <w:bCs/>
                <w:sz w:val="20"/>
                <w:szCs w:val="24"/>
                <w:highlight w:val="green"/>
                <w:lang w:val="en-GB" w:eastAsia="x-none"/>
              </w:rPr>
              <w:t>Agreement</w:t>
            </w:r>
          </w:p>
          <w:p w14:paraId="4644059D" w14:textId="18CE9024" w:rsidR="00667DEB" w:rsidRPr="00667DEB"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Two TCI states are supported for scheme 1 in FR2</w:t>
            </w:r>
          </w:p>
          <w:p w14:paraId="1E6DC0E0" w14:textId="77777777" w:rsidR="00667DEB" w:rsidRPr="00667DEB" w:rsidRDefault="00667DEB" w:rsidP="00667DEB">
            <w:pPr>
              <w:spacing w:after="0" w:line="240" w:lineRule="auto"/>
              <w:rPr>
                <w:rFonts w:ascii="Times" w:eastAsia="바탕" w:hAnsi="Times"/>
                <w:sz w:val="20"/>
                <w:szCs w:val="24"/>
                <w:lang w:val="en-GB" w:eastAsia="x-none"/>
              </w:rPr>
            </w:pPr>
          </w:p>
          <w:p w14:paraId="738D0D17" w14:textId="77777777" w:rsidR="00667DEB" w:rsidRPr="00667DEB" w:rsidRDefault="00667DEB" w:rsidP="00667DEB">
            <w:pPr>
              <w:spacing w:after="0" w:line="240" w:lineRule="auto"/>
              <w:rPr>
                <w:rFonts w:ascii="Times" w:eastAsia="바탕" w:hAnsi="Times"/>
                <w:b/>
                <w:bCs/>
                <w:sz w:val="20"/>
                <w:szCs w:val="24"/>
                <w:lang w:val="en-GB" w:eastAsia="x-none"/>
              </w:rPr>
            </w:pPr>
            <w:r w:rsidRPr="00644C8C">
              <w:rPr>
                <w:rFonts w:ascii="Times" w:eastAsia="바탕" w:hAnsi="Times"/>
                <w:b/>
                <w:bCs/>
                <w:sz w:val="20"/>
                <w:szCs w:val="24"/>
                <w:highlight w:val="green"/>
                <w:lang w:val="en-GB" w:eastAsia="x-none"/>
              </w:rPr>
              <w:t>Agreement</w:t>
            </w:r>
          </w:p>
          <w:p w14:paraId="053C22A5" w14:textId="77777777" w:rsidR="00667DEB" w:rsidRPr="00667DEB" w:rsidRDefault="00667DEB" w:rsidP="00667DEB">
            <w:pPr>
              <w:numPr>
                <w:ilvl w:val="0"/>
                <w:numId w:val="71"/>
              </w:numPr>
              <w:spacing w:after="0" w:line="240" w:lineRule="auto"/>
              <w:rPr>
                <w:rFonts w:ascii="Times" w:eastAsia="바탕" w:hAnsi="Times"/>
                <w:sz w:val="20"/>
                <w:szCs w:val="24"/>
                <w:lang w:eastAsia="x-none"/>
              </w:rPr>
            </w:pPr>
            <w:r w:rsidRPr="00667DEB">
              <w:rPr>
                <w:rFonts w:ascii="Times" w:eastAsia="바탕" w:hAnsi="Times"/>
                <w:sz w:val="20"/>
                <w:szCs w:val="24"/>
                <w:lang w:eastAsia="x-none"/>
              </w:rPr>
              <w:t>Support MAC CE activation of two TCI states for PDCCH</w:t>
            </w:r>
          </w:p>
          <w:p w14:paraId="6F09CE02" w14:textId="77777777" w:rsidR="00667DEB" w:rsidRPr="00667DEB" w:rsidRDefault="00667DEB" w:rsidP="00667DEB">
            <w:pPr>
              <w:numPr>
                <w:ilvl w:val="0"/>
                <w:numId w:val="71"/>
              </w:numPr>
              <w:spacing w:after="0" w:line="240" w:lineRule="auto"/>
              <w:rPr>
                <w:rFonts w:ascii="Times" w:eastAsia="바탕" w:hAnsi="Times"/>
                <w:sz w:val="20"/>
                <w:szCs w:val="24"/>
                <w:lang w:eastAsia="x-none"/>
              </w:rPr>
            </w:pPr>
            <w:r w:rsidRPr="00667DEB">
              <w:rPr>
                <w:rFonts w:ascii="Times" w:eastAsia="바탕" w:hAnsi="Times"/>
                <w:sz w:val="20"/>
                <w:szCs w:val="24"/>
                <w:lang w:eastAsia="x-none"/>
              </w:rPr>
              <w:t>FFS other details</w:t>
            </w:r>
          </w:p>
          <w:p w14:paraId="66311A29" w14:textId="77777777" w:rsidR="00667DEB" w:rsidRPr="00667DEB" w:rsidRDefault="00667DEB" w:rsidP="00667DEB">
            <w:pPr>
              <w:spacing w:after="0" w:line="240" w:lineRule="auto"/>
              <w:rPr>
                <w:rFonts w:ascii="Times" w:eastAsia="바탕" w:hAnsi="Times"/>
                <w:sz w:val="20"/>
                <w:szCs w:val="24"/>
                <w:lang w:val="en-GB" w:eastAsia="x-none"/>
              </w:rPr>
            </w:pPr>
          </w:p>
          <w:p w14:paraId="04C5856B" w14:textId="77777777" w:rsidR="00667DEB" w:rsidRPr="00667DEB" w:rsidRDefault="00667DEB" w:rsidP="00667DEB">
            <w:pPr>
              <w:spacing w:after="0" w:line="240" w:lineRule="auto"/>
              <w:rPr>
                <w:rFonts w:ascii="Times" w:eastAsia="바탕" w:hAnsi="Times"/>
                <w:b/>
                <w:bCs/>
                <w:sz w:val="20"/>
                <w:szCs w:val="24"/>
                <w:lang w:val="en-GB" w:eastAsia="x-none"/>
              </w:rPr>
            </w:pPr>
            <w:r w:rsidRPr="00667DEB">
              <w:rPr>
                <w:rFonts w:ascii="Times" w:eastAsia="바탕" w:hAnsi="Times"/>
                <w:b/>
                <w:bCs/>
                <w:sz w:val="20"/>
                <w:szCs w:val="24"/>
                <w:lang w:val="en-GB" w:eastAsia="x-none"/>
              </w:rPr>
              <w:t>Conclusion</w:t>
            </w:r>
          </w:p>
          <w:p w14:paraId="5F9954E6" w14:textId="1364D095" w:rsidR="00667DEB" w:rsidRPr="003D59B7" w:rsidRDefault="00667DEB" w:rsidP="00667DEB">
            <w:p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1CA0F43D" w14:textId="77777777" w:rsidR="006F6D22" w:rsidRPr="006F6D22" w:rsidRDefault="006F6D22"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8E104B" w14:textId="42F1D575" w:rsidR="00ED0239" w:rsidRPr="005E10BF" w:rsidRDefault="007F0504" w:rsidP="0033290D">
      <w:pPr>
        <w:pStyle w:val="2"/>
      </w:pPr>
      <w:r>
        <w:t xml:space="preserve">Enhancements </w:t>
      </w:r>
      <w:r w:rsidR="00FD6E0B">
        <w:t xml:space="preserve">on </w:t>
      </w:r>
      <w:r>
        <w:t>PDSCH</w:t>
      </w:r>
    </w:p>
    <w:p w14:paraId="3853AAF8" w14:textId="00B26601" w:rsidR="00776B03" w:rsidRDefault="00776B03" w:rsidP="00DB1B2A">
      <w:pPr>
        <w:ind w:firstLineChars="193" w:firstLine="425"/>
        <w:jc w:val="both"/>
        <w:rPr>
          <w:rFonts w:ascii="Times New Roman" w:hAnsi="Times New Roman"/>
        </w:rPr>
      </w:pPr>
      <w:r>
        <w:rPr>
          <w:rFonts w:ascii="Times New Roman" w:hAnsi="Times New Roman" w:hint="eastAsia"/>
        </w:rPr>
        <w:t>In the previous meeting,</w:t>
      </w:r>
      <w:r>
        <w:rPr>
          <w:rFonts w:ascii="Times New Roman" w:hAnsi="Times New Roman"/>
        </w:rPr>
        <w:t xml:space="preserve"> there was a lot of discussion about switching of scheme 1 with Rel-16 MTRP schemes or</w:t>
      </w:r>
      <w:r w:rsidR="000B2141">
        <w:rPr>
          <w:rFonts w:ascii="Times New Roman" w:hAnsi="Times New Roman"/>
        </w:rPr>
        <w:t xml:space="preserve"> with</w:t>
      </w:r>
      <w:r>
        <w:rPr>
          <w:rFonts w:ascii="Times New Roman" w:hAnsi="Times New Roman"/>
        </w:rPr>
        <w:t xml:space="preserve"> single TRP scheme, and the result of discussion is as follows.</w:t>
      </w:r>
    </w:p>
    <w:tbl>
      <w:tblPr>
        <w:tblStyle w:val="ad"/>
        <w:tblW w:w="0" w:type="auto"/>
        <w:tblLook w:val="04A0" w:firstRow="1" w:lastRow="0" w:firstColumn="1" w:lastColumn="0" w:noHBand="0" w:noVBand="1"/>
      </w:tblPr>
      <w:tblGrid>
        <w:gridCol w:w="9017"/>
      </w:tblGrid>
      <w:tr w:rsidR="00776B03" w14:paraId="1CC6FAF9" w14:textId="77777777" w:rsidTr="00856ECE">
        <w:tc>
          <w:tcPr>
            <w:tcW w:w="9017" w:type="dxa"/>
          </w:tcPr>
          <w:p w14:paraId="109E190E" w14:textId="77777777" w:rsidR="00776B03" w:rsidRPr="00667DEB" w:rsidRDefault="00776B03" w:rsidP="00856ECE">
            <w:pPr>
              <w:spacing w:after="0" w:line="240" w:lineRule="auto"/>
              <w:rPr>
                <w:rFonts w:ascii="Times" w:eastAsia="바탕" w:hAnsi="Times"/>
                <w:b/>
                <w:sz w:val="20"/>
                <w:szCs w:val="24"/>
                <w:lang w:val="en-GB" w:eastAsia="x-none"/>
              </w:rPr>
            </w:pPr>
            <w:r w:rsidRPr="003814B8">
              <w:rPr>
                <w:rFonts w:ascii="Times" w:eastAsia="바탕" w:hAnsi="Times"/>
                <w:b/>
                <w:sz w:val="20"/>
                <w:szCs w:val="24"/>
                <w:highlight w:val="green"/>
                <w:lang w:val="en-GB" w:eastAsia="x-none"/>
              </w:rPr>
              <w:t>Agreement</w:t>
            </w:r>
          </w:p>
          <w:p w14:paraId="1C33F618" w14:textId="77777777" w:rsidR="00776B03" w:rsidRPr="00667DEB" w:rsidRDefault="00776B03" w:rsidP="00856ECE">
            <w:pPr>
              <w:spacing w:after="0" w:line="240" w:lineRule="auto"/>
              <w:rPr>
                <w:rFonts w:ascii="Times" w:eastAsia="바탕" w:hAnsi="Times"/>
                <w:sz w:val="20"/>
                <w:szCs w:val="24"/>
                <w:lang w:eastAsia="x-none"/>
              </w:rPr>
            </w:pPr>
            <w:r w:rsidRPr="00667DEB">
              <w:rPr>
                <w:rFonts w:ascii="Times" w:eastAsia="바탕" w:hAnsi="Times"/>
                <w:sz w:val="20"/>
                <w:szCs w:val="24"/>
                <w:lang w:eastAsia="x-none"/>
              </w:rPr>
              <w:t>For HST-SFN scenario:</w:t>
            </w:r>
          </w:p>
          <w:p w14:paraId="1074BF8D" w14:textId="77777777" w:rsidR="00776B03" w:rsidRPr="00667DEB" w:rsidRDefault="00776B03" w:rsidP="00856ECE">
            <w:pPr>
              <w:numPr>
                <w:ilvl w:val="0"/>
                <w:numId w:val="72"/>
              </w:numPr>
              <w:spacing w:after="0" w:line="240" w:lineRule="auto"/>
              <w:rPr>
                <w:rFonts w:ascii="Times" w:eastAsia="바탕" w:hAnsi="Times"/>
                <w:sz w:val="20"/>
                <w:szCs w:val="24"/>
                <w:lang w:val="en-GB" w:eastAsia="x-none"/>
              </w:rPr>
            </w:pPr>
            <w:r w:rsidRPr="00667DEB">
              <w:rPr>
                <w:rFonts w:ascii="Times" w:eastAsia="바탕" w:hAnsi="Times"/>
                <w:sz w:val="20"/>
                <w:szCs w:val="24"/>
                <w:lang w:eastAsia="x-none"/>
              </w:rPr>
              <w:t>S</w:t>
            </w:r>
            <w:r w:rsidRPr="00667DEB">
              <w:rPr>
                <w:rFonts w:ascii="Times" w:eastAsia="바탕" w:hAnsi="Times"/>
                <w:sz w:val="20"/>
                <w:szCs w:val="24"/>
                <w:lang w:val="en-GB" w:eastAsia="x-none"/>
              </w:rPr>
              <w:t>upport semi-static (RRC based) switching of scheme 1 (PDSCH) with 2a, 2b, 3, 4</w:t>
            </w:r>
          </w:p>
          <w:p w14:paraId="69E54CFA" w14:textId="77777777" w:rsidR="00776B03" w:rsidRPr="003814B8" w:rsidRDefault="00776B03" w:rsidP="00856ECE">
            <w:pPr>
              <w:numPr>
                <w:ilvl w:val="0"/>
                <w:numId w:val="73"/>
              </w:numPr>
              <w:spacing w:after="0" w:line="240" w:lineRule="auto"/>
              <w:rPr>
                <w:rFonts w:ascii="Times" w:eastAsia="바탕" w:hAnsi="Times"/>
                <w:sz w:val="20"/>
                <w:szCs w:val="24"/>
                <w:lang w:val="en-GB" w:eastAsia="x-none"/>
              </w:rPr>
            </w:pPr>
            <w:r w:rsidRPr="00667DEB">
              <w:rPr>
                <w:rFonts w:ascii="Times" w:eastAsia="바탕" w:hAnsi="Times"/>
                <w:sz w:val="20"/>
                <w:szCs w:val="24"/>
                <w:lang w:val="en-GB" w:eastAsia="x-none"/>
              </w:rPr>
              <w:t>FFS all other details including RRC signaling, possible RAN4 impact (if any), etc.</w:t>
            </w:r>
          </w:p>
        </w:tc>
      </w:tr>
    </w:tbl>
    <w:p w14:paraId="6BFAF08F" w14:textId="77777777" w:rsidR="00776B03" w:rsidRPr="00004B97" w:rsidRDefault="00776B03" w:rsidP="00DB1B2A">
      <w:pPr>
        <w:ind w:firstLineChars="193" w:firstLine="425"/>
        <w:jc w:val="both"/>
        <w:rPr>
          <w:rFonts w:ascii="Times New Roman" w:hAnsi="Times New Roman"/>
        </w:rPr>
      </w:pPr>
    </w:p>
    <w:p w14:paraId="7ED0346E" w14:textId="25D8722D" w:rsidR="00FC0A79" w:rsidRDefault="00555C0E" w:rsidP="00DB1B2A">
      <w:pPr>
        <w:ind w:firstLineChars="193" w:firstLine="425"/>
        <w:jc w:val="both"/>
        <w:rPr>
          <w:rFonts w:ascii="Times New Roman" w:hAnsi="Times New Roman"/>
        </w:rPr>
      </w:pPr>
      <w:r>
        <w:rPr>
          <w:rFonts w:ascii="Times New Roman" w:hAnsi="Times New Roman" w:hint="eastAsia"/>
        </w:rPr>
        <w:lastRenderedPageBreak/>
        <w:t xml:space="preserve">One </w:t>
      </w:r>
      <w:r>
        <w:rPr>
          <w:rFonts w:ascii="Times New Roman" w:hAnsi="Times New Roman"/>
        </w:rPr>
        <w:t>of t</w:t>
      </w:r>
      <w:r>
        <w:rPr>
          <w:rFonts w:ascii="Times New Roman" w:hAnsi="Times New Roman" w:hint="eastAsia"/>
        </w:rPr>
        <w:t xml:space="preserve">he </w:t>
      </w:r>
      <w:r w:rsidR="000B2141">
        <w:rPr>
          <w:rFonts w:ascii="Times New Roman" w:hAnsi="Times New Roman"/>
        </w:rPr>
        <w:t xml:space="preserve">remaining issues </w:t>
      </w:r>
      <w:r>
        <w:rPr>
          <w:rFonts w:ascii="Times New Roman" w:hAnsi="Times New Roman"/>
        </w:rPr>
        <w:t xml:space="preserve">is </w:t>
      </w:r>
      <w:r w:rsidR="000B2141">
        <w:rPr>
          <w:rFonts w:ascii="Times New Roman" w:hAnsi="Times New Roman"/>
        </w:rPr>
        <w:t>switching of scheme 1 with single TRP scheme</w:t>
      </w:r>
      <w:r w:rsidR="00042FEF">
        <w:rPr>
          <w:rFonts w:ascii="Times New Roman" w:hAnsi="Times New Roman"/>
        </w:rPr>
        <w:t xml:space="preserve">. </w:t>
      </w:r>
      <w:r>
        <w:rPr>
          <w:rFonts w:ascii="Times New Roman" w:hAnsi="Times New Roman"/>
        </w:rPr>
        <w:t>D</w:t>
      </w:r>
      <w:r w:rsidR="004D4A0E">
        <w:rPr>
          <w:rFonts w:ascii="Times New Roman" w:hAnsi="Times New Roman"/>
        </w:rPr>
        <w:t xml:space="preserve">ynamic switching of scheme 1 with single TRP scheme should be supported </w:t>
      </w:r>
      <w:r w:rsidR="005C6CC0">
        <w:rPr>
          <w:rFonts w:ascii="Times New Roman" w:hAnsi="Times New Roman"/>
        </w:rPr>
        <w:t>when</w:t>
      </w:r>
      <w:r w:rsidR="004D4A0E">
        <w:rPr>
          <w:rFonts w:ascii="Times New Roman" w:hAnsi="Times New Roman"/>
        </w:rPr>
        <w:t xml:space="preserve"> a UE</w:t>
      </w:r>
      <w:r w:rsidR="005C6CC0">
        <w:rPr>
          <w:rFonts w:ascii="Times New Roman" w:hAnsi="Times New Roman"/>
        </w:rPr>
        <w:t xml:space="preserve"> have capability of</w:t>
      </w:r>
      <w:r w:rsidR="004D4A0E">
        <w:rPr>
          <w:rFonts w:ascii="Times New Roman" w:hAnsi="Times New Roman"/>
        </w:rPr>
        <w:t xml:space="preserve"> scheme 1</w:t>
      </w:r>
      <w:r w:rsidR="005C6CC0">
        <w:rPr>
          <w:rFonts w:ascii="Times New Roman" w:hAnsi="Times New Roman"/>
        </w:rPr>
        <w:t xml:space="preserve"> without </w:t>
      </w:r>
      <w:r w:rsidR="000B066D">
        <w:rPr>
          <w:rFonts w:ascii="Times New Roman" w:hAnsi="Times New Roman"/>
        </w:rPr>
        <w:t xml:space="preserve">defining </w:t>
      </w:r>
      <w:r w:rsidR="005C6CC0">
        <w:rPr>
          <w:rFonts w:ascii="Times New Roman" w:hAnsi="Times New Roman"/>
        </w:rPr>
        <w:t xml:space="preserve">additional </w:t>
      </w:r>
      <w:r w:rsidR="000B066D">
        <w:rPr>
          <w:rFonts w:ascii="Times New Roman" w:hAnsi="Times New Roman"/>
        </w:rPr>
        <w:t xml:space="preserve">UE </w:t>
      </w:r>
      <w:r w:rsidR="005C6CC0">
        <w:rPr>
          <w:rFonts w:ascii="Times New Roman" w:hAnsi="Times New Roman"/>
        </w:rPr>
        <w:t>capability to indicate support of dynamic switching. As discussed in the previous meeting,</w:t>
      </w:r>
      <w:r w:rsidR="00FC0A79">
        <w:rPr>
          <w:rFonts w:ascii="Times New Roman" w:hAnsi="Times New Roman"/>
        </w:rPr>
        <w:t xml:space="preserve"> we should consider</w:t>
      </w:r>
      <w:r w:rsidR="009D22D2">
        <w:rPr>
          <w:rFonts w:ascii="Times New Roman" w:hAnsi="Times New Roman"/>
        </w:rPr>
        <w:t xml:space="preserve"> </w:t>
      </w:r>
      <w:r w:rsidR="000B066D">
        <w:rPr>
          <w:rFonts w:ascii="Times New Roman" w:hAnsi="Times New Roman"/>
        </w:rPr>
        <w:t xml:space="preserve">the </w:t>
      </w:r>
      <w:r w:rsidR="009D22D2">
        <w:rPr>
          <w:rFonts w:ascii="Times New Roman" w:hAnsi="Times New Roman"/>
        </w:rPr>
        <w:t xml:space="preserve">need </w:t>
      </w:r>
      <w:r w:rsidR="000B066D">
        <w:rPr>
          <w:rFonts w:ascii="Times New Roman" w:hAnsi="Times New Roman"/>
        </w:rPr>
        <w:t xml:space="preserve">for </w:t>
      </w:r>
      <w:r w:rsidR="009D22D2">
        <w:rPr>
          <w:rFonts w:ascii="Times New Roman" w:hAnsi="Times New Roman"/>
        </w:rPr>
        <w:t>fallback transmission</w:t>
      </w:r>
      <w:r>
        <w:rPr>
          <w:rFonts w:ascii="Times New Roman" w:hAnsi="Times New Roman"/>
        </w:rPr>
        <w:t xml:space="preserve"> from multi-TRP scheme to single TRP scheme</w:t>
      </w:r>
      <w:r w:rsidR="009D22D2">
        <w:rPr>
          <w:rFonts w:ascii="Times New Roman" w:hAnsi="Times New Roman"/>
        </w:rPr>
        <w:t>, huge RRC signaling burst</w:t>
      </w:r>
      <w:r>
        <w:rPr>
          <w:rFonts w:ascii="Times New Roman" w:hAnsi="Times New Roman"/>
        </w:rPr>
        <w:t xml:space="preserve"> to configure scheme 1 or single TRP scheme for all UEs</w:t>
      </w:r>
      <w:r w:rsidR="009D22D2">
        <w:rPr>
          <w:rFonts w:ascii="Times New Roman" w:hAnsi="Times New Roman"/>
        </w:rPr>
        <w:t xml:space="preserve"> in switching zone</w:t>
      </w:r>
      <w:r w:rsidR="00FC0A79">
        <w:rPr>
          <w:rFonts w:ascii="Times New Roman" w:hAnsi="Times New Roman"/>
        </w:rPr>
        <w:t xml:space="preserve">. </w:t>
      </w:r>
      <w:r w:rsidR="000B066D">
        <w:rPr>
          <w:rFonts w:ascii="Times New Roman" w:hAnsi="Times New Roman"/>
          <w:lang w:val="x-none"/>
        </w:rPr>
        <w:t xml:space="preserve">Several companies proposed to introduce a new UE capability of indicating the support of dynamic switching in the last meeting due to the increased UE complexity for dynamic switching. </w:t>
      </w:r>
      <w:r w:rsidR="00FD6E0B">
        <w:rPr>
          <w:rFonts w:ascii="Times New Roman" w:hAnsi="Times New Roman"/>
          <w:lang w:val="x-none"/>
        </w:rPr>
        <w:t>D</w:t>
      </w:r>
      <w:r w:rsidR="000B066D">
        <w:rPr>
          <w:rFonts w:ascii="Times New Roman" w:hAnsi="Times New Roman"/>
          <w:lang w:val="x-none"/>
        </w:rPr>
        <w:t xml:space="preserve">ynamic scheme switching </w:t>
      </w:r>
      <w:r w:rsidR="00FD6E0B">
        <w:rPr>
          <w:rFonts w:ascii="Times New Roman" w:hAnsi="Times New Roman"/>
          <w:lang w:val="x-none"/>
        </w:rPr>
        <w:t>has been</w:t>
      </w:r>
      <w:r w:rsidR="000B066D">
        <w:rPr>
          <w:rFonts w:ascii="Times New Roman" w:hAnsi="Times New Roman"/>
          <w:lang w:val="x-none"/>
        </w:rPr>
        <w:t xml:space="preserve"> already possible </w:t>
      </w:r>
      <w:r w:rsidR="00FD6E0B">
        <w:rPr>
          <w:rFonts w:ascii="Times New Roman" w:hAnsi="Times New Roman"/>
          <w:lang w:val="x-none"/>
        </w:rPr>
        <w:t>in legacy system without defining UE capability on the support of it. Rel-16 MTRP scheme switching is one example. Another example is when different transmission scheme is indicated with different DCI formats in neighbor slots</w:t>
      </w:r>
      <w:r w:rsidR="009D22D2">
        <w:rPr>
          <w:rFonts w:ascii="Times New Roman" w:hAnsi="Times New Roman"/>
        </w:rPr>
        <w:t>, e.g., DCI 1_1 and 1_0</w:t>
      </w:r>
      <w:r w:rsidR="00FC0A79">
        <w:rPr>
          <w:rFonts w:ascii="Times New Roman" w:hAnsi="Times New Roman"/>
        </w:rPr>
        <w:t>. Based on these aspect</w:t>
      </w:r>
      <w:r w:rsidR="00FD6E0B">
        <w:rPr>
          <w:rFonts w:ascii="Times New Roman" w:hAnsi="Times New Roman"/>
        </w:rPr>
        <w:t>s</w:t>
      </w:r>
      <w:r w:rsidR="00FC0A79">
        <w:rPr>
          <w:rFonts w:ascii="Times New Roman" w:hAnsi="Times New Roman"/>
        </w:rPr>
        <w:t xml:space="preserve">, </w:t>
      </w:r>
      <w:r w:rsidR="00FD6E0B">
        <w:rPr>
          <w:rFonts w:ascii="Times New Roman" w:hAnsi="Times New Roman"/>
        </w:rPr>
        <w:t xml:space="preserve">it is not necessary to define a UE capability </w:t>
      </w:r>
      <w:r w:rsidR="00FC0A79">
        <w:rPr>
          <w:rFonts w:ascii="Times New Roman" w:hAnsi="Times New Roman"/>
        </w:rPr>
        <w:t xml:space="preserve">to indicate </w:t>
      </w:r>
      <w:r w:rsidR="00FD6E0B">
        <w:rPr>
          <w:rFonts w:ascii="Times New Roman" w:hAnsi="Times New Roman"/>
        </w:rPr>
        <w:t xml:space="preserve">the </w:t>
      </w:r>
      <w:r w:rsidR="00FC0A79">
        <w:rPr>
          <w:rFonts w:ascii="Times New Roman" w:hAnsi="Times New Roman"/>
        </w:rPr>
        <w:t>support of dynamic switching.</w:t>
      </w:r>
    </w:p>
    <w:p w14:paraId="2864709F" w14:textId="7BA0F3B9" w:rsidR="00FC0A79" w:rsidRPr="00644C8C" w:rsidRDefault="00FC0A79" w:rsidP="00DB1B2A">
      <w:pPr>
        <w:ind w:firstLineChars="193" w:firstLine="425"/>
        <w:jc w:val="both"/>
        <w:rPr>
          <w:rFonts w:ascii="Times New Roman" w:hAnsi="Times New Roman"/>
          <w:b/>
        </w:rPr>
      </w:pPr>
      <w:r w:rsidRPr="00644C8C">
        <w:rPr>
          <w:rFonts w:ascii="Times New Roman" w:hAnsi="Times New Roman"/>
          <w:b/>
        </w:rPr>
        <w:t>Proposal #1: Support dynamic switching of scheme 1 with single TRP scheme</w:t>
      </w:r>
      <w:r w:rsidR="00FD6E0B">
        <w:rPr>
          <w:rFonts w:ascii="Times New Roman" w:hAnsi="Times New Roman"/>
          <w:b/>
        </w:rPr>
        <w:t xml:space="preserve"> without defining a UE</w:t>
      </w:r>
      <w:r w:rsidRPr="00644C8C">
        <w:rPr>
          <w:rFonts w:ascii="Times New Roman" w:hAnsi="Times New Roman"/>
          <w:b/>
        </w:rPr>
        <w:t xml:space="preserve"> capability to indicate </w:t>
      </w:r>
      <w:r w:rsidR="00FD6E0B">
        <w:rPr>
          <w:rFonts w:ascii="Times New Roman" w:hAnsi="Times New Roman"/>
          <w:b/>
        </w:rPr>
        <w:t xml:space="preserve">the </w:t>
      </w:r>
      <w:r w:rsidRPr="00644C8C">
        <w:rPr>
          <w:rFonts w:ascii="Times New Roman" w:hAnsi="Times New Roman"/>
          <w:b/>
        </w:rPr>
        <w:t>support of dynamic switching.</w:t>
      </w:r>
    </w:p>
    <w:p w14:paraId="729E672E" w14:textId="77777777" w:rsidR="005D3B17" w:rsidRDefault="005D3B17" w:rsidP="00DB1B2A">
      <w:pPr>
        <w:ind w:firstLineChars="193" w:firstLine="425"/>
        <w:jc w:val="both"/>
        <w:rPr>
          <w:rFonts w:ascii="Times New Roman" w:hAnsi="Times New Roman"/>
        </w:rPr>
      </w:pPr>
    </w:p>
    <w:p w14:paraId="446BA277" w14:textId="10E9621A" w:rsidR="00555C0E" w:rsidRDefault="00555C0E" w:rsidP="00DB1B2A">
      <w:pPr>
        <w:ind w:firstLineChars="193" w:firstLine="425"/>
        <w:jc w:val="both"/>
        <w:rPr>
          <w:rFonts w:ascii="Times New Roman" w:hAnsi="Times New Roman"/>
        </w:rPr>
      </w:pPr>
      <w:r>
        <w:rPr>
          <w:rFonts w:ascii="Times New Roman" w:hAnsi="Times New Roman"/>
        </w:rPr>
        <w:t xml:space="preserve">Regarding maximum number of transmission layers for scheme 1, supporting of at least two transmission layers can be a starting point. </w:t>
      </w:r>
      <w:r w:rsidRPr="005639A5">
        <w:rPr>
          <w:rFonts w:ascii="Times New Roman" w:hAnsi="Times New Roman"/>
        </w:rPr>
        <w:t>The UE is required to be equipped with a minimum of two Rx antenna ports</w:t>
      </w:r>
      <w:r>
        <w:rPr>
          <w:rFonts w:ascii="Times New Roman" w:hAnsi="Times New Roman"/>
        </w:rPr>
        <w:t xml:space="preserve"> [2]. So, gNB can provide higher throughput or robust channel coding by supporting at least two transmission layers. In addition, Rel-16 MTRP based URLLC schemes also support up to two transmission layers, so it is natural that Rel-17 scheme 1 supports at least two transmission layers.</w:t>
      </w:r>
    </w:p>
    <w:p w14:paraId="11832395" w14:textId="77777777" w:rsidR="00555C0E" w:rsidRPr="00644C8C" w:rsidRDefault="00555C0E" w:rsidP="00555C0E">
      <w:pPr>
        <w:ind w:firstLineChars="193" w:firstLine="425"/>
        <w:jc w:val="both"/>
        <w:rPr>
          <w:rFonts w:ascii="Times New Roman" w:hAnsi="Times New Roman"/>
          <w:b/>
        </w:rPr>
      </w:pPr>
      <w:r w:rsidRPr="00644C8C">
        <w:rPr>
          <w:rFonts w:ascii="Times New Roman" w:hAnsi="Times New Roman"/>
          <w:b/>
        </w:rPr>
        <w:t>Proposal #2: Support two transmission layers for scheme 1.</w:t>
      </w:r>
    </w:p>
    <w:p w14:paraId="70448D30" w14:textId="77777777" w:rsidR="00555C0E" w:rsidRPr="00555C0E" w:rsidRDefault="00555C0E" w:rsidP="00DB1B2A">
      <w:pPr>
        <w:ind w:firstLineChars="193" w:firstLine="425"/>
        <w:jc w:val="both"/>
        <w:rPr>
          <w:rFonts w:ascii="Times New Roman" w:hAnsi="Times New Roman"/>
        </w:rPr>
      </w:pPr>
    </w:p>
    <w:p w14:paraId="3EDF4C23" w14:textId="0DE78C24" w:rsidR="005D3B17" w:rsidRDefault="00555C0E" w:rsidP="00DB1B2A">
      <w:pPr>
        <w:ind w:firstLineChars="193" w:firstLine="425"/>
        <w:jc w:val="both"/>
        <w:rPr>
          <w:rFonts w:ascii="Times New Roman" w:hAnsi="Times New Roman"/>
        </w:rPr>
      </w:pPr>
      <w:r>
        <w:rPr>
          <w:rFonts w:ascii="Times New Roman" w:hAnsi="Times New Roman"/>
        </w:rPr>
        <w:t>D</w:t>
      </w:r>
      <w:r w:rsidR="002031BF">
        <w:rPr>
          <w:rFonts w:ascii="Times New Roman" w:hAnsi="Times New Roman"/>
        </w:rPr>
        <w:t xml:space="preserve">ynamic switching of scheme 1 with Rel-16 </w:t>
      </w:r>
      <w:r w:rsidR="00FD6E0B">
        <w:rPr>
          <w:rFonts w:ascii="Times New Roman" w:hAnsi="Times New Roman"/>
        </w:rPr>
        <w:t xml:space="preserve">MTRP </w:t>
      </w:r>
      <w:r w:rsidR="002031BF">
        <w:rPr>
          <w:rFonts w:ascii="Times New Roman" w:hAnsi="Times New Roman"/>
        </w:rPr>
        <w:t>1a scheme should be supported.</w:t>
      </w:r>
      <w:r w:rsidR="0035475B">
        <w:rPr>
          <w:rFonts w:ascii="Times New Roman" w:hAnsi="Times New Roman"/>
        </w:rPr>
        <w:t xml:space="preserve"> </w:t>
      </w:r>
      <w:r>
        <w:rPr>
          <w:rFonts w:ascii="Times New Roman" w:hAnsi="Times New Roman"/>
        </w:rPr>
        <w:t>W</w:t>
      </w:r>
      <w:r w:rsidR="002031BF">
        <w:rPr>
          <w:rFonts w:ascii="Times New Roman" w:hAnsi="Times New Roman"/>
        </w:rPr>
        <w:t xml:space="preserve">hen we consider DMRS overhead, scheme 1 should be based on DMRS port(s) in the same CDM group for &gt;1 layers. </w:t>
      </w:r>
      <w:r w:rsidR="005D3B17">
        <w:rPr>
          <w:rFonts w:ascii="Times New Roman" w:hAnsi="Times New Roman"/>
        </w:rPr>
        <w:t xml:space="preserve">In addition, </w:t>
      </w:r>
      <w:r w:rsidR="002031BF">
        <w:rPr>
          <w:rFonts w:ascii="Times New Roman" w:hAnsi="Times New Roman"/>
        </w:rPr>
        <w:t>it was agreed to support semi-static switching of scheme 1 with Rel-16 M</w:t>
      </w:r>
      <w:r w:rsidR="005D3B17">
        <w:rPr>
          <w:rFonts w:ascii="Times New Roman" w:hAnsi="Times New Roman"/>
        </w:rPr>
        <w:t>TRP URLLC schemes in the previous meeting. As a result, conventional switching method for Rel-16 MTRP schemes can be naturally reused. That is dynamic switching of one of URLLC schemes with 1a based on the number of CDM groups can be reused for dynamic switching of scheme 1 with 1a.</w:t>
      </w:r>
    </w:p>
    <w:p w14:paraId="116E736D" w14:textId="764EAB13" w:rsidR="002031BF" w:rsidRPr="00644C8C" w:rsidRDefault="005D3B17" w:rsidP="00DB1B2A">
      <w:pPr>
        <w:ind w:firstLineChars="193" w:firstLine="425"/>
        <w:jc w:val="both"/>
        <w:rPr>
          <w:rFonts w:ascii="Times New Roman" w:hAnsi="Times New Roman"/>
          <w:b/>
        </w:rPr>
      </w:pPr>
      <w:r w:rsidRPr="00644C8C">
        <w:rPr>
          <w:rFonts w:ascii="Times New Roman" w:hAnsi="Times New Roman"/>
          <w:b/>
        </w:rPr>
        <w:t>Proposal #</w:t>
      </w:r>
      <w:r w:rsidR="006765CA">
        <w:rPr>
          <w:rFonts w:ascii="Times New Roman" w:hAnsi="Times New Roman"/>
          <w:b/>
        </w:rPr>
        <w:t>3</w:t>
      </w:r>
      <w:r w:rsidRPr="00644C8C">
        <w:rPr>
          <w:rFonts w:ascii="Times New Roman" w:hAnsi="Times New Roman"/>
          <w:b/>
        </w:rPr>
        <w:t xml:space="preserve">: Support dynamic switching of scheme 1 with Rel-16 </w:t>
      </w:r>
      <w:r w:rsidR="00FD6E0B">
        <w:rPr>
          <w:rFonts w:ascii="Times New Roman" w:hAnsi="Times New Roman"/>
          <w:b/>
        </w:rPr>
        <w:t xml:space="preserve">MTRP </w:t>
      </w:r>
      <w:r w:rsidRPr="00644C8C">
        <w:rPr>
          <w:rFonts w:ascii="Times New Roman" w:hAnsi="Times New Roman"/>
          <w:b/>
        </w:rPr>
        <w:t>1a scheme.</w:t>
      </w:r>
    </w:p>
    <w:p w14:paraId="3C52652D" w14:textId="77777777" w:rsidR="002C504E" w:rsidRDefault="002C504E" w:rsidP="00DB1B2A">
      <w:pPr>
        <w:ind w:firstLineChars="193" w:firstLine="425"/>
        <w:jc w:val="both"/>
        <w:rPr>
          <w:rFonts w:ascii="Times New Roman" w:hAnsi="Times New Roman"/>
        </w:rPr>
      </w:pPr>
    </w:p>
    <w:p w14:paraId="79ECDB0A" w14:textId="20E68CB0" w:rsidR="00C44717" w:rsidRPr="005F3381" w:rsidRDefault="00196760" w:rsidP="00DB1B2A">
      <w:pPr>
        <w:ind w:firstLineChars="193" w:firstLine="425"/>
        <w:jc w:val="both"/>
        <w:rPr>
          <w:rFonts w:ascii="Times New Roman" w:hAnsi="Times New Roman"/>
        </w:rPr>
      </w:pPr>
      <w:r>
        <w:rPr>
          <w:rFonts w:ascii="Times New Roman" w:hAnsi="Times New Roman"/>
        </w:rPr>
        <w:t>Regarding TRP-based scheme, there was a lot of discussion about whether to support specification based TRP-based scheme i</w:t>
      </w:r>
      <w:r>
        <w:rPr>
          <w:rFonts w:ascii="Times New Roman" w:hAnsi="Times New Roman" w:hint="eastAsia"/>
        </w:rPr>
        <w:t>n the previous meeting</w:t>
      </w:r>
      <w:r w:rsidR="002E7EBA">
        <w:rPr>
          <w:rFonts w:ascii="Times New Roman" w:hAnsi="Times New Roman"/>
        </w:rPr>
        <w:t xml:space="preserve">. </w:t>
      </w:r>
      <w:r w:rsidR="008B1604">
        <w:rPr>
          <w:rFonts w:ascii="Times New Roman" w:hAnsi="Times New Roman"/>
        </w:rPr>
        <w:t>Regarding this issue</w:t>
      </w:r>
      <w:r w:rsidR="00F51516">
        <w:rPr>
          <w:rFonts w:ascii="Times New Roman" w:hAnsi="Times New Roman"/>
        </w:rPr>
        <w:t xml:space="preserve">, </w:t>
      </w:r>
      <w:r w:rsidR="001F5E8C">
        <w:rPr>
          <w:rFonts w:ascii="Times New Roman" w:hAnsi="Times New Roman"/>
        </w:rPr>
        <w:t xml:space="preserve">overhead increase of UL </w:t>
      </w:r>
      <w:r w:rsidR="00AC4A38">
        <w:rPr>
          <w:rFonts w:ascii="Times New Roman" w:hAnsi="Times New Roman"/>
        </w:rPr>
        <w:t>signal</w:t>
      </w:r>
      <w:r w:rsidR="00F51516">
        <w:rPr>
          <w:rFonts w:ascii="Times New Roman" w:hAnsi="Times New Roman"/>
        </w:rPr>
        <w:t xml:space="preserve"> should be considered</w:t>
      </w:r>
      <w:r w:rsidR="008B1604">
        <w:rPr>
          <w:rFonts w:ascii="Times New Roman" w:hAnsi="Times New Roman"/>
        </w:rPr>
        <w:t xml:space="preserve"> </w:t>
      </w:r>
      <w:r w:rsidR="008B1604">
        <w:rPr>
          <w:rFonts w:ascii="Times New Roman" w:hAnsi="Times New Roman" w:hint="eastAsia"/>
        </w:rPr>
        <w:t xml:space="preserve">in </w:t>
      </w:r>
      <w:r w:rsidR="008B1604">
        <w:rPr>
          <w:rFonts w:ascii="Times New Roman" w:hAnsi="Times New Roman"/>
        </w:rPr>
        <w:t>addition to realistic assumptions for performance evaluation, e.g. Doppler estimation accuracy and latency to apply pre-compensation value</w:t>
      </w:r>
      <w:r w:rsidR="00F51516">
        <w:rPr>
          <w:rFonts w:ascii="Times New Roman" w:hAnsi="Times New Roman"/>
        </w:rPr>
        <w:t xml:space="preserve">. In order to support pre-compensation at gNB, pre-compensation value for </w:t>
      </w:r>
      <w:r w:rsidR="00AC4A38">
        <w:rPr>
          <w:rFonts w:ascii="Times New Roman" w:hAnsi="Times New Roman"/>
        </w:rPr>
        <w:t>each</w:t>
      </w:r>
      <w:r w:rsidR="00F51516">
        <w:rPr>
          <w:rFonts w:ascii="Times New Roman" w:hAnsi="Times New Roman"/>
        </w:rPr>
        <w:t xml:space="preserve"> UE</w:t>
      </w:r>
      <w:r w:rsidR="00AC4A38">
        <w:rPr>
          <w:rFonts w:ascii="Times New Roman" w:hAnsi="Times New Roman"/>
        </w:rPr>
        <w:t xml:space="preserve"> is required and this may cause significant overhead increase of UL signal.</w:t>
      </w:r>
      <w:r w:rsidR="007342E4">
        <w:rPr>
          <w:rFonts w:ascii="Times New Roman" w:hAnsi="Times New Roman"/>
        </w:rPr>
        <w:t xml:space="preserve"> As an example, gNB can configure the same periodicity </w:t>
      </w:r>
      <w:r w:rsidR="00AC2F66">
        <w:rPr>
          <w:rFonts w:ascii="Times New Roman" w:hAnsi="Times New Roman"/>
        </w:rPr>
        <w:t>as SSB transmission for SRS transmission of UE in order to have the same pre-compensation value update periodicity as the periodicity in which the UE updates DL Doppler shift value</w:t>
      </w:r>
      <w:r w:rsidR="00BB1A8E">
        <w:rPr>
          <w:rFonts w:ascii="Times New Roman" w:hAnsi="Times New Roman"/>
        </w:rPr>
        <w:t xml:space="preserve"> from SSB</w:t>
      </w:r>
      <w:r w:rsidR="00AC2F66">
        <w:rPr>
          <w:rFonts w:ascii="Times New Roman" w:hAnsi="Times New Roman"/>
        </w:rPr>
        <w:t xml:space="preserve">. For the case of maximum periodicity of SSB transmission, i.e., 160ms, about </w:t>
      </w:r>
      <w:r w:rsidR="00F04911">
        <w:rPr>
          <w:rFonts w:ascii="Times New Roman" w:hAnsi="Times New Roman"/>
        </w:rPr>
        <w:t>0.0</w:t>
      </w:r>
      <w:r w:rsidR="00AC2F66">
        <w:rPr>
          <w:rFonts w:ascii="Times New Roman" w:hAnsi="Times New Roman"/>
        </w:rPr>
        <w:t xml:space="preserve">4% </w:t>
      </w:r>
      <w:r w:rsidR="00F04911">
        <w:rPr>
          <w:rFonts w:ascii="Times New Roman" w:hAnsi="Times New Roman"/>
        </w:rPr>
        <w:t xml:space="preserve">slots in that duration should be used for SRS transmission of a UE with 15 kHz subcarrier spacing. </w:t>
      </w:r>
      <w:r w:rsidR="00403958">
        <w:rPr>
          <w:rFonts w:ascii="Times New Roman" w:hAnsi="Times New Roman"/>
        </w:rPr>
        <w:t xml:space="preserve">Assuming </w:t>
      </w:r>
      <w:r w:rsidR="00F04911">
        <w:rPr>
          <w:rFonts w:ascii="Times New Roman" w:hAnsi="Times New Roman"/>
        </w:rPr>
        <w:t>100 UEs</w:t>
      </w:r>
      <w:r w:rsidR="00403958">
        <w:rPr>
          <w:rFonts w:ascii="Times New Roman" w:hAnsi="Times New Roman"/>
        </w:rPr>
        <w:t xml:space="preserve"> in a cell</w:t>
      </w:r>
      <w:r w:rsidR="00F04911">
        <w:rPr>
          <w:rFonts w:ascii="Times New Roman" w:hAnsi="Times New Roman"/>
        </w:rPr>
        <w:t>, about 4.5% slots are required for gNB to update pre-compensation value of each UE.</w:t>
      </w:r>
      <w:r w:rsidR="00BB1A8E">
        <w:rPr>
          <w:rFonts w:ascii="Times New Roman" w:hAnsi="Times New Roman"/>
        </w:rPr>
        <w:t xml:space="preserve"> </w:t>
      </w:r>
      <w:r w:rsidR="00196DDD">
        <w:rPr>
          <w:rFonts w:ascii="Times New Roman" w:hAnsi="Times New Roman"/>
        </w:rPr>
        <w:t>As a result,</w:t>
      </w:r>
      <w:r w:rsidR="00756147">
        <w:rPr>
          <w:rFonts w:ascii="Times New Roman" w:hAnsi="Times New Roman"/>
        </w:rPr>
        <w:t xml:space="preserve"> it is not clear TRP-based </w:t>
      </w:r>
      <w:r w:rsidR="00756147">
        <w:rPr>
          <w:rFonts w:ascii="Times New Roman" w:hAnsi="Times New Roman"/>
        </w:rPr>
        <w:lastRenderedPageBreak/>
        <w:t xml:space="preserve">scheme can provide better performance than UE-based scheme. </w:t>
      </w:r>
      <w:r w:rsidR="00403958">
        <w:rPr>
          <w:rFonts w:ascii="Times New Roman" w:hAnsi="Times New Roman" w:hint="eastAsia"/>
        </w:rPr>
        <w:t>I</w:t>
      </w:r>
      <w:r w:rsidR="002E7EBA">
        <w:rPr>
          <w:rFonts w:ascii="Times New Roman" w:hAnsi="Times New Roman"/>
        </w:rPr>
        <w:t>f TRP-based scheme is introduced based on link-level performance gain despite impact to UL signal</w:t>
      </w:r>
      <w:r w:rsidR="00403958">
        <w:rPr>
          <w:rFonts w:ascii="Times New Roman" w:hAnsi="Times New Roman"/>
        </w:rPr>
        <w:t>ling</w:t>
      </w:r>
      <w:r w:rsidR="001F25D7">
        <w:rPr>
          <w:rFonts w:ascii="Times New Roman" w:hAnsi="Times New Roman"/>
        </w:rPr>
        <w:t xml:space="preserve"> overhead</w:t>
      </w:r>
      <w:r w:rsidR="002E7EBA">
        <w:rPr>
          <w:rFonts w:ascii="Times New Roman" w:hAnsi="Times New Roman"/>
        </w:rPr>
        <w:t xml:space="preserve">, </w:t>
      </w:r>
      <w:r w:rsidR="000361B1">
        <w:rPr>
          <w:rFonts w:ascii="Times New Roman" w:hAnsi="Times New Roman"/>
        </w:rPr>
        <w:t xml:space="preserve">one of the </w:t>
      </w:r>
      <w:r w:rsidR="002E7EBA">
        <w:rPr>
          <w:rFonts w:ascii="Times New Roman" w:hAnsi="Times New Roman"/>
        </w:rPr>
        <w:t xml:space="preserve">issues </w:t>
      </w:r>
      <w:r w:rsidR="000361B1">
        <w:rPr>
          <w:rFonts w:ascii="Times New Roman" w:hAnsi="Times New Roman"/>
        </w:rPr>
        <w:t xml:space="preserve">is how to indicate DL Doppler shift to gNB. Figure 1 shows Doppler shift compensation at TRPs.  </w:t>
      </w:r>
    </w:p>
    <w:p w14:paraId="37F455CC" w14:textId="639CF98A" w:rsidR="005515D4" w:rsidRDefault="005515D4" w:rsidP="005515D4">
      <w:pPr>
        <w:ind w:firstLineChars="193" w:firstLine="425"/>
        <w:jc w:val="center"/>
        <w:rPr>
          <w:rFonts w:ascii="Times New Roman" w:hAnsi="Times New Roman"/>
        </w:rPr>
      </w:pPr>
      <w:r w:rsidRPr="005515D4">
        <w:rPr>
          <w:rFonts w:ascii="Times New Roman" w:hAnsi="Times New Roman"/>
          <w:noProof/>
        </w:rPr>
        <w:drawing>
          <wp:inline distT="0" distB="0" distL="0" distR="0" wp14:anchorId="181E1C4B" wp14:editId="6CBFD389">
            <wp:extent cx="4320000" cy="3266680"/>
            <wp:effectExtent l="0" t="0" r="4445" b="0"/>
            <wp:docPr id="65"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4"/>
                    <pic:cNvPicPr>
                      <a:picLocks noChangeAspect="1"/>
                    </pic:cNvPicPr>
                  </pic:nvPicPr>
                  <pic:blipFill>
                    <a:blip r:embed="rId8"/>
                    <a:stretch>
                      <a:fillRect/>
                    </a:stretch>
                  </pic:blipFill>
                  <pic:spPr>
                    <a:xfrm>
                      <a:off x="0" y="0"/>
                      <a:ext cx="4320000" cy="3266680"/>
                    </a:xfrm>
                    <a:prstGeom prst="rect">
                      <a:avLst/>
                    </a:prstGeom>
                  </pic:spPr>
                </pic:pic>
              </a:graphicData>
            </a:graphic>
          </wp:inline>
        </w:drawing>
      </w:r>
    </w:p>
    <w:p w14:paraId="380BCC0C" w14:textId="3927FE7A"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1. </w:t>
      </w:r>
      <w:r w:rsidR="000361B1">
        <w:rPr>
          <w:rFonts w:ascii="Times New Roman" w:hAnsi="Times New Roman"/>
          <w:b/>
        </w:rPr>
        <w:t>Doppler shift c</w:t>
      </w:r>
      <w:r w:rsidR="000361B1" w:rsidRPr="005515D4">
        <w:rPr>
          <w:rFonts w:ascii="Times New Roman" w:hAnsi="Times New Roman"/>
          <w:b/>
        </w:rPr>
        <w:t xml:space="preserve">ompensation </w:t>
      </w:r>
      <w:r w:rsidRPr="005515D4">
        <w:rPr>
          <w:rFonts w:ascii="Times New Roman" w:hAnsi="Times New Roman"/>
          <w:b/>
        </w:rPr>
        <w:t>at two TRPs</w:t>
      </w:r>
    </w:p>
    <w:p w14:paraId="0827B080" w14:textId="7A6ED786" w:rsidR="005515D4" w:rsidRPr="005515D4" w:rsidRDefault="000361B1" w:rsidP="000361B1">
      <w:pPr>
        <w:ind w:firstLineChars="193" w:firstLine="425"/>
        <w:jc w:val="both"/>
        <w:rPr>
          <w:rFonts w:ascii="Times New Roman" w:hAnsi="Times New Roman"/>
        </w:rPr>
      </w:pPr>
      <w:r>
        <w:rPr>
          <w:rFonts w:ascii="Times New Roman" w:hAnsi="Times New Roman"/>
        </w:rPr>
        <w:t>I</w:t>
      </w:r>
      <w:r w:rsidR="00FB2F43">
        <w:rPr>
          <w:rFonts w:ascii="Times New Roman" w:hAnsi="Times New Roman"/>
        </w:rPr>
        <w:t xml:space="preserve">f DL Doppler shift is compensated at a specific TRP </w:t>
      </w:r>
      <w:r w:rsidR="00F91827">
        <w:rPr>
          <w:rFonts w:ascii="Times New Roman" w:hAnsi="Times New Roman"/>
        </w:rPr>
        <w:t xml:space="preserve">by using difference between TRPs as shown in Figure 1, then </w:t>
      </w:r>
      <w:r w:rsidR="00541381">
        <w:rPr>
          <w:rFonts w:ascii="Times New Roman" w:hAnsi="Times New Roman"/>
        </w:rPr>
        <w:t xml:space="preserve">gNB can compensate DL Doppler shift by gNB implementation. </w:t>
      </w:r>
      <w:r w:rsidR="009C0224">
        <w:rPr>
          <w:rFonts w:ascii="Times New Roman" w:hAnsi="Times New Roman"/>
        </w:rPr>
        <w:t>Consequently, in order to avoid</w:t>
      </w:r>
      <w:r>
        <w:rPr>
          <w:rFonts w:ascii="Times New Roman" w:hAnsi="Times New Roman"/>
        </w:rPr>
        <w:t xml:space="preserve"> </w:t>
      </w:r>
      <w:r w:rsidRPr="000361B1">
        <w:rPr>
          <w:rFonts w:ascii="Times New Roman" w:hAnsi="Times New Roman"/>
        </w:rPr>
        <w:t>unnecessary</w:t>
      </w:r>
      <w:r>
        <w:rPr>
          <w:rFonts w:ascii="Times New Roman" w:hAnsi="Times New Roman"/>
        </w:rPr>
        <w:t xml:space="preserve"> specification impact</w:t>
      </w:r>
      <w:r w:rsidR="009C0224">
        <w:rPr>
          <w:rFonts w:ascii="Times New Roman" w:hAnsi="Times New Roman"/>
        </w:rPr>
        <w:t>, pre-compensation for DL Doppler shift should be based on</w:t>
      </w:r>
      <w:r>
        <w:rPr>
          <w:rFonts w:ascii="Times New Roman" w:hAnsi="Times New Roman"/>
        </w:rPr>
        <w:t xml:space="preserve"> </w:t>
      </w:r>
      <w:r w:rsidR="009C0224">
        <w:rPr>
          <w:rFonts w:ascii="Times New Roman" w:hAnsi="Times New Roman"/>
        </w:rPr>
        <w:t>gNB implementation without having</w:t>
      </w:r>
      <w:r w:rsidR="007F0504">
        <w:rPr>
          <w:rFonts w:ascii="Times New Roman" w:hAnsi="Times New Roman"/>
        </w:rPr>
        <w:t xml:space="preserve"> specification enhancement</w:t>
      </w:r>
      <w:r w:rsidR="009C0224">
        <w:rPr>
          <w:rFonts w:ascii="Times New Roman" w:hAnsi="Times New Roman"/>
        </w:rPr>
        <w:t xml:space="preserve">. </w:t>
      </w:r>
    </w:p>
    <w:p w14:paraId="54C5B8C9" w14:textId="3EEF7736" w:rsidR="005515D4" w:rsidRPr="009C0224" w:rsidRDefault="005515D4" w:rsidP="00FE37F2">
      <w:pPr>
        <w:ind w:firstLineChars="193" w:firstLine="425"/>
        <w:jc w:val="both"/>
        <w:rPr>
          <w:rFonts w:ascii="Times New Roman" w:hAnsi="Times New Roman"/>
          <w:b/>
        </w:rPr>
      </w:pPr>
      <w:r w:rsidRPr="009C0224">
        <w:rPr>
          <w:rFonts w:ascii="Times New Roman" w:hAnsi="Times New Roman"/>
          <w:b/>
        </w:rPr>
        <w:t xml:space="preserve"> </w:t>
      </w:r>
      <w:r w:rsidR="009C0224" w:rsidRPr="009C0224">
        <w:rPr>
          <w:rFonts w:ascii="Times New Roman" w:hAnsi="Times New Roman"/>
          <w:b/>
        </w:rPr>
        <w:t>Proposal #</w:t>
      </w:r>
      <w:r w:rsidR="006765CA">
        <w:rPr>
          <w:rFonts w:ascii="Times New Roman" w:hAnsi="Times New Roman"/>
          <w:b/>
        </w:rPr>
        <w:t>4</w:t>
      </w:r>
      <w:r w:rsidR="009C0224" w:rsidRPr="009C0224">
        <w:rPr>
          <w:rFonts w:ascii="Times New Roman" w:hAnsi="Times New Roman"/>
          <w:b/>
        </w:rPr>
        <w:t xml:space="preserve">: </w:t>
      </w:r>
      <w:r w:rsidR="0006074C">
        <w:rPr>
          <w:rFonts w:ascii="Times New Roman" w:hAnsi="Times New Roman"/>
          <w:b/>
        </w:rPr>
        <w:t xml:space="preserve">If TRP-based scheme is supported, </w:t>
      </w:r>
      <w:r w:rsidR="00347C3B" w:rsidRPr="009C0224">
        <w:rPr>
          <w:rFonts w:ascii="Times New Roman" w:hAnsi="Times New Roman"/>
          <w:b/>
        </w:rPr>
        <w:t xml:space="preserve">Doppler shift </w:t>
      </w:r>
      <w:r w:rsidR="00347C3B">
        <w:rPr>
          <w:rFonts w:ascii="Times New Roman" w:hAnsi="Times New Roman"/>
          <w:b/>
        </w:rPr>
        <w:t>p</w:t>
      </w:r>
      <w:r w:rsidR="00347C3B" w:rsidRPr="009C0224">
        <w:rPr>
          <w:rFonts w:ascii="Times New Roman" w:hAnsi="Times New Roman"/>
          <w:b/>
        </w:rPr>
        <w:t>re</w:t>
      </w:r>
      <w:r w:rsidR="009C0224" w:rsidRPr="009C0224">
        <w:rPr>
          <w:rFonts w:ascii="Times New Roman" w:hAnsi="Times New Roman"/>
          <w:b/>
        </w:rPr>
        <w:t xml:space="preserve">-compensation for </w:t>
      </w:r>
      <w:r w:rsidR="00347C3B">
        <w:rPr>
          <w:rFonts w:ascii="Times New Roman" w:hAnsi="Times New Roman"/>
          <w:b/>
        </w:rPr>
        <w:t xml:space="preserve">PDCCH/PDSCH </w:t>
      </w:r>
      <w:r w:rsidR="009C0224" w:rsidRPr="009C0224">
        <w:rPr>
          <w:rFonts w:ascii="Times New Roman" w:hAnsi="Times New Roman"/>
          <w:b/>
        </w:rPr>
        <w:t>should be based on</w:t>
      </w:r>
      <w:r w:rsidR="0006074C">
        <w:rPr>
          <w:rFonts w:ascii="Times New Roman" w:hAnsi="Times New Roman"/>
          <w:b/>
        </w:rPr>
        <w:t xml:space="preserve"> </w:t>
      </w:r>
      <w:r w:rsidR="009C0224" w:rsidRPr="009C0224">
        <w:rPr>
          <w:rFonts w:ascii="Times New Roman" w:hAnsi="Times New Roman"/>
          <w:b/>
        </w:rPr>
        <w:t xml:space="preserve">gNB implementation without having </w:t>
      </w:r>
      <w:r w:rsidR="007F0504">
        <w:rPr>
          <w:rFonts w:ascii="Times New Roman" w:hAnsi="Times New Roman"/>
          <w:b/>
        </w:rPr>
        <w:t>specification enhancement</w:t>
      </w:r>
      <w:r w:rsidR="009C0224" w:rsidRPr="009C0224">
        <w:rPr>
          <w:rFonts w:ascii="Times New Roman" w:hAnsi="Times New Roman"/>
          <w:b/>
        </w:rPr>
        <w:t>.</w:t>
      </w:r>
    </w:p>
    <w:p w14:paraId="6E40ACD8" w14:textId="367B47EE" w:rsidR="007C68F0" w:rsidRDefault="007C68F0" w:rsidP="00FF22E8">
      <w:pPr>
        <w:ind w:firstLineChars="193" w:firstLine="425"/>
        <w:jc w:val="both"/>
        <w:rPr>
          <w:rFonts w:ascii="Times New Roman" w:hAnsi="Times New Roman"/>
        </w:rPr>
      </w:pPr>
    </w:p>
    <w:p w14:paraId="5D047A9F" w14:textId="03BD195A" w:rsidR="007F0504" w:rsidRPr="005E10BF" w:rsidRDefault="007F0504" w:rsidP="007F0504">
      <w:pPr>
        <w:pStyle w:val="2"/>
      </w:pPr>
      <w:r>
        <w:t xml:space="preserve">Enhancements </w:t>
      </w:r>
      <w:r w:rsidR="00FD6E0B">
        <w:t xml:space="preserve">on </w:t>
      </w:r>
      <w:r>
        <w:t>PDCCH</w:t>
      </w:r>
    </w:p>
    <w:p w14:paraId="12E79801" w14:textId="274D5EEB" w:rsidR="003E7674" w:rsidRDefault="003A6A15" w:rsidP="00FF22E8">
      <w:pPr>
        <w:ind w:firstLineChars="193" w:firstLine="425"/>
        <w:jc w:val="both"/>
        <w:rPr>
          <w:rFonts w:ascii="Times New Roman" w:hAnsi="Times New Roman"/>
        </w:rPr>
      </w:pPr>
      <w:r w:rsidRPr="003A6A15">
        <w:rPr>
          <w:rFonts w:ascii="Times New Roman" w:hAnsi="Times New Roman"/>
        </w:rPr>
        <w:t xml:space="preserve">As </w:t>
      </w:r>
      <w:r>
        <w:rPr>
          <w:rFonts w:ascii="Times New Roman" w:hAnsi="Times New Roman"/>
        </w:rPr>
        <w:t>described in our companion’s contribution [</w:t>
      </w:r>
      <w:r w:rsidR="00856ECE">
        <w:rPr>
          <w:rFonts w:ascii="Times New Roman" w:hAnsi="Times New Roman"/>
        </w:rPr>
        <w:t>3</w:t>
      </w:r>
      <w:r>
        <w:rPr>
          <w:rFonts w:ascii="Times New Roman" w:hAnsi="Times New Roman"/>
        </w:rPr>
        <w:t>]</w:t>
      </w:r>
      <w:r w:rsidRPr="003A6A15">
        <w:rPr>
          <w:rFonts w:ascii="Times New Roman" w:hAnsi="Times New Roman"/>
        </w:rPr>
        <w:t>,</w:t>
      </w:r>
      <w:r>
        <w:rPr>
          <w:rFonts w:ascii="Times New Roman" w:hAnsi="Times New Roman"/>
        </w:rPr>
        <w:t xml:space="preserve"> </w:t>
      </w:r>
      <w:r w:rsidR="00232012">
        <w:rPr>
          <w:rFonts w:ascii="Times New Roman" w:hAnsi="Times New Roman"/>
        </w:rPr>
        <w:t xml:space="preserve">the UE </w:t>
      </w:r>
      <w:r w:rsidR="004014F4">
        <w:rPr>
          <w:rFonts w:ascii="Times New Roman" w:hAnsi="Times New Roman"/>
        </w:rPr>
        <w:t>behavior</w:t>
      </w:r>
      <w:r w:rsidR="00232012">
        <w:rPr>
          <w:rFonts w:ascii="Times New Roman" w:hAnsi="Times New Roman"/>
        </w:rPr>
        <w:t>s for default beam</w:t>
      </w:r>
      <w:r w:rsidR="003E7674">
        <w:rPr>
          <w:rFonts w:ascii="Times New Roman" w:hAnsi="Times New Roman"/>
        </w:rPr>
        <w:t>, i.e., QCL TypeD indication method,</w:t>
      </w:r>
      <w:r w:rsidR="004014F4">
        <w:rPr>
          <w:rFonts w:ascii="Times New Roman" w:hAnsi="Times New Roman" w:hint="eastAsia"/>
        </w:rPr>
        <w:t xml:space="preserve"> </w:t>
      </w:r>
      <w:r w:rsidR="00232012">
        <w:rPr>
          <w:rFonts w:ascii="Times New Roman" w:hAnsi="Times New Roman"/>
        </w:rPr>
        <w:t>and BFD</w:t>
      </w:r>
      <w:r w:rsidR="00280F13">
        <w:rPr>
          <w:rFonts w:ascii="Times New Roman" w:hAnsi="Times New Roman"/>
        </w:rPr>
        <w:t>, i.e., TRP-specific BFD,</w:t>
      </w:r>
      <w:r w:rsidR="00232012">
        <w:rPr>
          <w:rFonts w:ascii="Times New Roman" w:hAnsi="Times New Roman"/>
        </w:rPr>
        <w:t xml:space="preserve"> </w:t>
      </w:r>
      <w:r w:rsidR="004014F4">
        <w:rPr>
          <w:rFonts w:ascii="Times New Roman" w:hAnsi="Times New Roman"/>
        </w:rPr>
        <w:t xml:space="preserve">should also be </w:t>
      </w:r>
      <w:r w:rsidR="003E7674">
        <w:rPr>
          <w:rFonts w:ascii="Times New Roman" w:hAnsi="Times New Roman"/>
        </w:rPr>
        <w:t>discussed</w:t>
      </w:r>
      <w:r w:rsidR="004014F4">
        <w:rPr>
          <w:rFonts w:ascii="Times New Roman" w:hAnsi="Times New Roman"/>
        </w:rPr>
        <w:t xml:space="preserve"> for the case that two TCI states are configured for a CORESET.</w:t>
      </w:r>
      <w:r w:rsidR="003E7674">
        <w:rPr>
          <w:rFonts w:ascii="Times New Roman" w:hAnsi="Times New Roman"/>
        </w:rPr>
        <w:t xml:space="preserve"> </w:t>
      </w:r>
      <w:r w:rsidR="00232012">
        <w:rPr>
          <w:rFonts w:ascii="Times New Roman" w:hAnsi="Times New Roman"/>
        </w:rPr>
        <w:t>Firstly, f</w:t>
      </w:r>
      <w:r w:rsidR="003E7674">
        <w:rPr>
          <w:rFonts w:ascii="Times New Roman" w:hAnsi="Times New Roman"/>
        </w:rPr>
        <w:t>or the discussion</w:t>
      </w:r>
      <w:r w:rsidR="00232012">
        <w:rPr>
          <w:rFonts w:ascii="Times New Roman" w:hAnsi="Times New Roman"/>
        </w:rPr>
        <w:t xml:space="preserve"> of default beam behavior</w:t>
      </w:r>
      <w:r w:rsidR="003E7674">
        <w:rPr>
          <w:rFonts w:ascii="Times New Roman" w:hAnsi="Times New Roman"/>
        </w:rPr>
        <w:t xml:space="preserve">, three cases can be considered as follows. </w:t>
      </w:r>
    </w:p>
    <w:p w14:paraId="167E29C1" w14:textId="42C9903F" w:rsidR="003E7674" w:rsidRDefault="003E7674" w:rsidP="00FF22E8">
      <w:pPr>
        <w:ind w:firstLineChars="193" w:firstLine="425"/>
        <w:jc w:val="both"/>
        <w:rPr>
          <w:rFonts w:ascii="Times New Roman" w:hAnsi="Times New Roman"/>
        </w:rPr>
      </w:pPr>
      <w:r>
        <w:rPr>
          <w:rFonts w:ascii="Times New Roman" w:hAnsi="Times New Roman"/>
        </w:rPr>
        <w:t>- Case1: For DCI format not having the TCI field</w:t>
      </w:r>
    </w:p>
    <w:p w14:paraId="3664A888" w14:textId="212F2EEE" w:rsidR="003E7674" w:rsidRDefault="003E7674" w:rsidP="00FF22E8">
      <w:pPr>
        <w:ind w:firstLineChars="193" w:firstLine="425"/>
        <w:jc w:val="both"/>
        <w:rPr>
          <w:rFonts w:ascii="Times New Roman" w:hAnsi="Times New Roman"/>
        </w:rPr>
      </w:pPr>
      <w:r>
        <w:rPr>
          <w:rFonts w:ascii="Times New Roman" w:hAnsi="Times New Roman"/>
        </w:rPr>
        <w:t xml:space="preserve">- Case2: For less scheduling offset for PDSCH than the threshold </w:t>
      </w:r>
      <w:r w:rsidRPr="003D59B7">
        <w:rPr>
          <w:rFonts w:ascii="Times New Roman" w:hAnsi="Times New Roman"/>
          <w:i/>
        </w:rPr>
        <w:t>timeDurationForQCL</w:t>
      </w:r>
    </w:p>
    <w:p w14:paraId="11CBBA67" w14:textId="32835512" w:rsidR="003E7674" w:rsidRDefault="003E7674" w:rsidP="00FF22E8">
      <w:pPr>
        <w:ind w:firstLineChars="193" w:firstLine="425"/>
        <w:jc w:val="both"/>
        <w:rPr>
          <w:rFonts w:ascii="Times New Roman" w:hAnsi="Times New Roman"/>
        </w:rPr>
      </w:pPr>
      <w:r>
        <w:rPr>
          <w:rFonts w:ascii="Times New Roman" w:hAnsi="Times New Roman" w:hint="eastAsia"/>
        </w:rPr>
        <w:t>- C</w:t>
      </w:r>
      <w:r>
        <w:rPr>
          <w:rFonts w:ascii="Times New Roman" w:hAnsi="Times New Roman"/>
        </w:rPr>
        <w:t xml:space="preserve">ase3: For less scheduling offset for AP CSI-RS than the threshold </w:t>
      </w:r>
      <w:r w:rsidR="00EB03C2" w:rsidRPr="003D59B7">
        <w:rPr>
          <w:rFonts w:ascii="Times New Roman" w:hAnsi="Times New Roman"/>
          <w:i/>
        </w:rPr>
        <w:t>beamSwitchTiming-r16</w:t>
      </w:r>
    </w:p>
    <w:p w14:paraId="279F291D" w14:textId="709C6150" w:rsidR="008D62B7" w:rsidRPr="003D59B7" w:rsidRDefault="00232012">
      <w:pPr>
        <w:ind w:firstLineChars="193" w:firstLine="425"/>
        <w:jc w:val="both"/>
        <w:rPr>
          <w:rFonts w:ascii="Times New Roman" w:hAnsi="Times New Roman"/>
          <w:lang w:val="x-none"/>
        </w:rPr>
      </w:pPr>
      <w:r>
        <w:rPr>
          <w:rFonts w:ascii="Times New Roman" w:hAnsi="Times New Roman"/>
        </w:rPr>
        <w:lastRenderedPageBreak/>
        <w:t xml:space="preserve">Based on the current specification, </w:t>
      </w:r>
      <w:r w:rsidR="00AB5720">
        <w:rPr>
          <w:rFonts w:ascii="Times New Roman" w:hAnsi="Times New Roman"/>
        </w:rPr>
        <w:t xml:space="preserve">default beam behavior using </w:t>
      </w:r>
      <w:r w:rsidR="00AB5720" w:rsidRPr="00AB5720">
        <w:rPr>
          <w:rFonts w:ascii="Times New Roman" w:hAnsi="Times New Roman"/>
        </w:rPr>
        <w:t xml:space="preserve">the QCL parameter(s) of </w:t>
      </w:r>
      <w:r w:rsidR="00AB5720">
        <w:rPr>
          <w:rFonts w:ascii="Times New Roman" w:hAnsi="Times New Roman"/>
        </w:rPr>
        <w:t>a</w:t>
      </w:r>
      <w:r w:rsidR="00AB5720" w:rsidRPr="00AB5720">
        <w:rPr>
          <w:rFonts w:ascii="Times New Roman" w:hAnsi="Times New Roman"/>
        </w:rPr>
        <w:t xml:space="preserve"> CORESET</w:t>
      </w:r>
      <w:r w:rsidR="00AB5720">
        <w:rPr>
          <w:rFonts w:ascii="Times New Roman" w:hAnsi="Times New Roman"/>
        </w:rPr>
        <w:t xml:space="preserve"> is defined</w:t>
      </w:r>
      <w:r>
        <w:rPr>
          <w:rFonts w:ascii="Times New Roman" w:hAnsi="Times New Roman"/>
        </w:rPr>
        <w:t xml:space="preserve"> for the cases</w:t>
      </w:r>
      <w:r w:rsidR="00AB5720">
        <w:rPr>
          <w:rFonts w:ascii="Times New Roman" w:hAnsi="Times New Roman"/>
        </w:rPr>
        <w:t xml:space="preserve">. So, the UE behavior should be clarified for the case </w:t>
      </w:r>
      <w:r>
        <w:rPr>
          <w:rFonts w:ascii="Times New Roman" w:hAnsi="Times New Roman"/>
        </w:rPr>
        <w:t>when</w:t>
      </w:r>
      <w:r w:rsidR="00AB5720">
        <w:rPr>
          <w:rFonts w:ascii="Times New Roman" w:hAnsi="Times New Roman"/>
        </w:rPr>
        <w:t xml:space="preserve"> two TCI states are configured for the CORESET. </w:t>
      </w:r>
      <w:r w:rsidR="0082183B">
        <w:rPr>
          <w:rFonts w:ascii="Times New Roman" w:hAnsi="Times New Roman"/>
        </w:rPr>
        <w:t xml:space="preserve">Since two TCI states are applied to the SFNed </w:t>
      </w:r>
      <w:r w:rsidR="00E2131F">
        <w:rPr>
          <w:rFonts w:ascii="Times New Roman" w:hAnsi="Times New Roman"/>
        </w:rPr>
        <w:t>PDCCH</w:t>
      </w:r>
      <w:r w:rsidR="0082183B">
        <w:rPr>
          <w:rFonts w:ascii="Times New Roman" w:hAnsi="Times New Roman"/>
        </w:rPr>
        <w:t xml:space="preserve"> scheduling a PDSCH, </w:t>
      </w:r>
      <w:r w:rsidR="00E2131F">
        <w:rPr>
          <w:rFonts w:ascii="Times New Roman" w:hAnsi="Times New Roman"/>
        </w:rPr>
        <w:t xml:space="preserve">QCL assumption(s) for </w:t>
      </w:r>
      <w:r w:rsidR="0082183B">
        <w:rPr>
          <w:rFonts w:ascii="Times New Roman" w:hAnsi="Times New Roman"/>
        </w:rPr>
        <w:t xml:space="preserve">the PDSCH can follow one of the two or both in Case 1. Specifically, if </w:t>
      </w:r>
      <w:r w:rsidR="00E2131F">
        <w:rPr>
          <w:rFonts w:ascii="Times New Roman" w:hAnsi="Times New Roman"/>
        </w:rPr>
        <w:t xml:space="preserve">a </w:t>
      </w:r>
      <w:r w:rsidR="0082183B">
        <w:rPr>
          <w:rFonts w:ascii="Times New Roman" w:hAnsi="Times New Roman"/>
        </w:rPr>
        <w:t>PDSCH is transmitted from STRP,</w:t>
      </w:r>
      <w:r w:rsidR="00E2131F">
        <w:rPr>
          <w:rFonts w:ascii="Times New Roman" w:hAnsi="Times New Roman"/>
        </w:rPr>
        <w:t xml:space="preserve"> QCL assumption(s) for the</w:t>
      </w:r>
      <w:r w:rsidR="0082183B">
        <w:rPr>
          <w:rFonts w:ascii="Times New Roman" w:hAnsi="Times New Roman"/>
        </w:rPr>
        <w:t xml:space="preserve"> PDSCH should be one of the two </w:t>
      </w:r>
      <w:r w:rsidR="00E2131F">
        <w:rPr>
          <w:rFonts w:ascii="Times New Roman" w:hAnsi="Times New Roman"/>
        </w:rPr>
        <w:t xml:space="preserve">TCI states configured to scheduling </w:t>
      </w:r>
      <w:r w:rsidR="0082183B">
        <w:rPr>
          <w:rFonts w:ascii="Times New Roman" w:hAnsi="Times New Roman"/>
        </w:rPr>
        <w:t xml:space="preserve">PDCCH. However, if </w:t>
      </w:r>
      <w:r w:rsidR="00E2131F">
        <w:rPr>
          <w:rFonts w:ascii="Times New Roman" w:hAnsi="Times New Roman"/>
        </w:rPr>
        <w:t xml:space="preserve">a </w:t>
      </w:r>
      <w:r w:rsidR="0082183B">
        <w:rPr>
          <w:rFonts w:ascii="Times New Roman" w:hAnsi="Times New Roman"/>
        </w:rPr>
        <w:t xml:space="preserve">PDSCH is transmitted from MTRP such as Rel-16 MTRP TDM scheme A/B, </w:t>
      </w:r>
      <w:r w:rsidR="00E2131F">
        <w:rPr>
          <w:rFonts w:ascii="Times New Roman" w:hAnsi="Times New Roman"/>
        </w:rPr>
        <w:t xml:space="preserve">QCL assumptions for the </w:t>
      </w:r>
      <w:r w:rsidR="0082183B">
        <w:rPr>
          <w:rFonts w:ascii="Times New Roman" w:hAnsi="Times New Roman"/>
        </w:rPr>
        <w:t>PDSCH should follow both</w:t>
      </w:r>
      <w:r w:rsidR="00E2131F">
        <w:rPr>
          <w:rFonts w:ascii="Times New Roman" w:hAnsi="Times New Roman"/>
        </w:rPr>
        <w:t xml:space="preserve"> TCI states configured to scheduling</w:t>
      </w:r>
      <w:r w:rsidR="0082183B">
        <w:rPr>
          <w:rFonts w:ascii="Times New Roman" w:hAnsi="Times New Roman"/>
        </w:rPr>
        <w:t xml:space="preserve"> PDCCH. To this end, </w:t>
      </w:r>
      <w:r w:rsidR="00E2131F">
        <w:rPr>
          <w:rFonts w:ascii="Times New Roman" w:hAnsi="Times New Roman"/>
        </w:rPr>
        <w:t xml:space="preserve">a </w:t>
      </w:r>
      <w:r w:rsidR="0082183B">
        <w:rPr>
          <w:rFonts w:ascii="Times New Roman" w:hAnsi="Times New Roman"/>
        </w:rPr>
        <w:t>UE first needs to know whether PDSCH from MTRP or from STRP when TCI field is not present</w:t>
      </w:r>
      <w:r w:rsidR="00E2131F">
        <w:rPr>
          <w:rFonts w:ascii="Times New Roman" w:hAnsi="Times New Roman"/>
        </w:rPr>
        <w:t xml:space="preserve"> in a scheduling DCI</w:t>
      </w:r>
      <w:r w:rsidR="0082183B">
        <w:rPr>
          <w:rFonts w:ascii="Times New Roman" w:hAnsi="Times New Roman"/>
        </w:rPr>
        <w:t>. It can be done by using conventional conditions to determine Rel-16 MTRP PDSCH scheme except for the number of TCI state</w:t>
      </w:r>
      <w:r w:rsidR="00DE3967">
        <w:rPr>
          <w:rFonts w:ascii="Times New Roman" w:hAnsi="Times New Roman" w:hint="eastAsia"/>
        </w:rPr>
        <w:t>s</w:t>
      </w:r>
      <w:r w:rsidR="0082183B">
        <w:rPr>
          <w:rFonts w:ascii="Times New Roman" w:hAnsi="Times New Roman"/>
        </w:rPr>
        <w:t xml:space="preserve"> indicated by TCI field. For example, if </w:t>
      </w:r>
      <w:r w:rsidR="0082183B" w:rsidRPr="002877B1">
        <w:rPr>
          <w:rFonts w:ascii="Times New Roman" w:hAnsi="Times New Roman"/>
          <w:i/>
        </w:rPr>
        <w:t>repetitionNumber-r16</w:t>
      </w:r>
      <w:r w:rsidR="0082183B">
        <w:rPr>
          <w:rFonts w:ascii="Times New Roman" w:hAnsi="Times New Roman"/>
        </w:rPr>
        <w:t xml:space="preserve"> in TDRA field is indicated and the number of </w:t>
      </w:r>
      <w:r w:rsidR="00C349F5">
        <w:rPr>
          <w:rFonts w:ascii="Times New Roman" w:hAnsi="Times New Roman"/>
        </w:rPr>
        <w:t xml:space="preserve">indicated </w:t>
      </w:r>
      <w:r w:rsidR="0082183B">
        <w:rPr>
          <w:rFonts w:ascii="Times New Roman" w:hAnsi="Times New Roman"/>
        </w:rPr>
        <w:t xml:space="preserve">DMRS CDM group is one, then UE assumes MTRP TDM scheme B for PDSCH and uses two TCI states </w:t>
      </w:r>
      <w:r w:rsidR="00D814F2">
        <w:rPr>
          <w:rFonts w:ascii="Times New Roman" w:hAnsi="Times New Roman"/>
        </w:rPr>
        <w:t>configured to scheduling</w:t>
      </w:r>
      <w:r w:rsidR="0082183B">
        <w:rPr>
          <w:rFonts w:ascii="Times New Roman" w:hAnsi="Times New Roman"/>
        </w:rPr>
        <w:t xml:space="preserve"> PDCCH to receive PDSCH.</w:t>
      </w:r>
      <w:r w:rsidR="002E266A">
        <w:rPr>
          <w:rFonts w:ascii="Times New Roman" w:hAnsi="Times New Roman"/>
        </w:rPr>
        <w:t xml:space="preserve"> </w:t>
      </w:r>
      <w:r w:rsidR="002E266A">
        <w:rPr>
          <w:rFonts w:ascii="Times New Roman" w:hAnsi="Times New Roman" w:hint="eastAsia"/>
        </w:rPr>
        <w:t>R</w:t>
      </w:r>
      <w:r w:rsidR="002E266A">
        <w:rPr>
          <w:rFonts w:ascii="Times New Roman" w:hAnsi="Times New Roman"/>
        </w:rPr>
        <w:t>egarding Case 2/3, TCI state(s)</w:t>
      </w:r>
      <w:r w:rsidR="002E266A" w:rsidRPr="002E266A">
        <w:rPr>
          <w:rFonts w:ascii="Times New Roman" w:hAnsi="Times New Roman"/>
        </w:rPr>
        <w:t xml:space="preserve"> used for PDCCH</w:t>
      </w:r>
      <w:r w:rsidR="002E266A">
        <w:rPr>
          <w:rFonts w:ascii="Times New Roman" w:hAnsi="Times New Roman"/>
        </w:rPr>
        <w:t xml:space="preserve"> also can be reference QCL source RS(s) for PDSCH/AP CSI-RS, so </w:t>
      </w:r>
      <w:r w:rsidR="002E266A" w:rsidRPr="002E266A">
        <w:rPr>
          <w:rFonts w:ascii="Times New Roman" w:hAnsi="Times New Roman"/>
        </w:rPr>
        <w:t>QCL assumption(s) for PDSCH</w:t>
      </w:r>
      <w:r w:rsidR="002E266A">
        <w:rPr>
          <w:rFonts w:ascii="Times New Roman" w:hAnsi="Times New Roman"/>
        </w:rPr>
        <w:t>/AP CSI-RS</w:t>
      </w:r>
      <w:r w:rsidR="002E266A" w:rsidRPr="002E266A">
        <w:rPr>
          <w:rFonts w:ascii="Times New Roman" w:hAnsi="Times New Roman"/>
        </w:rPr>
        <w:t xml:space="preserve"> can follow one of the two or both in Case </w:t>
      </w:r>
      <w:r w:rsidR="002E266A">
        <w:rPr>
          <w:rFonts w:ascii="Times New Roman" w:hAnsi="Times New Roman"/>
        </w:rPr>
        <w:t>2/3</w:t>
      </w:r>
      <w:r w:rsidR="002E266A" w:rsidRPr="002E266A">
        <w:rPr>
          <w:rFonts w:ascii="Times New Roman" w:hAnsi="Times New Roman"/>
        </w:rPr>
        <w:t>.</w:t>
      </w:r>
      <w:r w:rsidR="002E266A">
        <w:rPr>
          <w:rFonts w:ascii="Times New Roman" w:hAnsi="Times New Roman"/>
        </w:rPr>
        <w:t xml:space="preserve"> Based on the current specification, </w:t>
      </w:r>
      <w:r w:rsidR="008D62B7">
        <w:rPr>
          <w:rFonts w:ascii="Times New Roman" w:hAnsi="Times New Roman"/>
        </w:rPr>
        <w:t xml:space="preserve">for Case 3, </w:t>
      </w:r>
      <w:r w:rsidR="005133A7">
        <w:rPr>
          <w:rFonts w:ascii="Times New Roman" w:hAnsi="Times New Roman"/>
        </w:rPr>
        <w:t xml:space="preserve">simple </w:t>
      </w:r>
      <w:r w:rsidR="005133A7" w:rsidRPr="00BD3A97">
        <w:rPr>
          <w:rFonts w:ascii="Times New Roman" w:hAnsi="Times New Roman"/>
        </w:rPr>
        <w:t>method</w:t>
      </w:r>
      <w:r w:rsidR="002E266A" w:rsidRPr="00BD3A97">
        <w:rPr>
          <w:rFonts w:ascii="Times New Roman" w:hAnsi="Times New Roman"/>
        </w:rPr>
        <w:t xml:space="preserve"> is to use the first one of two TCI states for AP CSI-RS.</w:t>
      </w:r>
      <w:r w:rsidR="00246B12" w:rsidRPr="00BD3A97">
        <w:rPr>
          <w:rFonts w:ascii="Times New Roman" w:hAnsi="Times New Roman"/>
        </w:rPr>
        <w:t xml:space="preserve"> </w:t>
      </w:r>
      <w:r w:rsidR="008D62B7" w:rsidRPr="00BD3A97">
        <w:rPr>
          <w:rFonts w:ascii="Times New Roman" w:hAnsi="Times New Roman"/>
        </w:rPr>
        <w:t xml:space="preserve">For Case 2, if a UE is configured with </w:t>
      </w:r>
      <w:r w:rsidR="008D62B7" w:rsidRPr="00BD3A97">
        <w:rPr>
          <w:rFonts w:ascii="Times New Roman" w:hAnsi="Times New Roman"/>
          <w:i/>
        </w:rPr>
        <w:t>enableDefaultTCIStatePerCoresetPoolIndex</w:t>
      </w:r>
      <w:r w:rsidR="008D62B7" w:rsidRPr="00BD3A97">
        <w:rPr>
          <w:rFonts w:ascii="Times New Roman" w:hAnsi="Times New Roman"/>
        </w:rPr>
        <w:t xml:space="preserve"> and the UE is configured by higher layer parameter </w:t>
      </w:r>
      <w:r w:rsidR="008D62B7" w:rsidRPr="00BD3A97">
        <w:rPr>
          <w:rFonts w:ascii="Times New Roman" w:hAnsi="Times New Roman"/>
          <w:i/>
        </w:rPr>
        <w:t>PDCCH-Config</w:t>
      </w:r>
      <w:r w:rsidR="008D62B7" w:rsidRPr="00BD3A97">
        <w:rPr>
          <w:rFonts w:ascii="Times New Roman" w:hAnsi="Times New Roman"/>
        </w:rPr>
        <w:t xml:space="preserve"> that contains two different values of </w:t>
      </w:r>
      <w:r w:rsidR="008D62B7" w:rsidRPr="00BD3A97">
        <w:rPr>
          <w:rFonts w:ascii="Times New Roman" w:hAnsi="Times New Roman"/>
          <w:i/>
          <w:lang w:eastAsia="x-none"/>
        </w:rPr>
        <w:t>coresetPoolIndex</w:t>
      </w:r>
      <w:r w:rsidR="008D62B7" w:rsidRPr="00BD3A97">
        <w:rPr>
          <w:rFonts w:ascii="Times New Roman" w:hAnsi="Times New Roman"/>
          <w:lang w:eastAsia="x-none"/>
        </w:rPr>
        <w:t xml:space="preserve"> in different </w:t>
      </w:r>
      <w:r w:rsidR="008D62B7" w:rsidRPr="00BD3A97">
        <w:rPr>
          <w:rFonts w:ascii="Times New Roman" w:hAnsi="Times New Roman"/>
          <w:i/>
        </w:rPr>
        <w:t>ControlResourceSets,</w:t>
      </w:r>
      <w:r w:rsidR="008D62B7" w:rsidRPr="00BD3A97">
        <w:rPr>
          <w:rFonts w:ascii="Times New Roman" w:hAnsi="Times New Roman"/>
        </w:rPr>
        <w:t xml:space="preserve"> one of two TCI states of CORESET in the same </w:t>
      </w:r>
      <w:r w:rsidR="008D62B7" w:rsidRPr="00BD3A97">
        <w:rPr>
          <w:rFonts w:ascii="Times New Roman" w:hAnsi="Times New Roman"/>
          <w:i/>
          <w:lang w:eastAsia="x-none"/>
        </w:rPr>
        <w:t>coresetPoolIndex</w:t>
      </w:r>
      <w:r w:rsidR="008D62B7" w:rsidRPr="00BD3A97">
        <w:rPr>
          <w:rFonts w:ascii="Times New Roman" w:hAnsi="Times New Roman"/>
          <w:lang w:eastAsia="x-none"/>
        </w:rPr>
        <w:t xml:space="preserve"> should be used </w:t>
      </w:r>
      <w:r w:rsidR="008D62B7" w:rsidRPr="00BD3A97">
        <w:rPr>
          <w:rFonts w:ascii="Times New Roman" w:hAnsi="Times New Roman"/>
        </w:rPr>
        <w:t>for the PDSCH reception because</w:t>
      </w:r>
      <w:r w:rsidR="00E058C4" w:rsidRPr="00BD3A97">
        <w:rPr>
          <w:rFonts w:ascii="Times New Roman" w:hAnsi="Times New Roman"/>
        </w:rPr>
        <w:t xml:space="preserve"> only</w:t>
      </w:r>
      <w:r w:rsidR="008D62B7" w:rsidRPr="00BD3A97">
        <w:rPr>
          <w:rFonts w:ascii="Times New Roman" w:hAnsi="Times New Roman"/>
        </w:rPr>
        <w:t xml:space="preserve"> </w:t>
      </w:r>
      <w:r w:rsidR="00E058C4" w:rsidRPr="00BD3A97">
        <w:rPr>
          <w:rFonts w:ascii="Times New Roman" w:hAnsi="Times New Roman"/>
        </w:rPr>
        <w:t xml:space="preserve">one default beam can be used per </w:t>
      </w:r>
      <w:r w:rsidR="00E058C4" w:rsidRPr="00BD3A97">
        <w:rPr>
          <w:rFonts w:ascii="Times New Roman" w:hAnsi="Times New Roman"/>
          <w:i/>
          <w:lang w:eastAsia="x-none"/>
        </w:rPr>
        <w:t>coresetPoolIndex</w:t>
      </w:r>
      <w:r w:rsidR="008D62B7" w:rsidRPr="00BD3A97">
        <w:rPr>
          <w:rFonts w:ascii="Times New Roman" w:hAnsi="Times New Roman"/>
        </w:rPr>
        <w:t>. Otherwise, both TCI states of CORESET can</w:t>
      </w:r>
      <w:r w:rsidR="008D62B7" w:rsidRPr="00BD3A97">
        <w:rPr>
          <w:rFonts w:ascii="Times New Roman" w:hAnsi="Times New Roman"/>
          <w:lang w:eastAsia="x-none"/>
        </w:rPr>
        <w:t xml:space="preserve"> be used </w:t>
      </w:r>
      <w:r w:rsidR="008D62B7" w:rsidRPr="00BD3A97">
        <w:rPr>
          <w:rFonts w:ascii="Times New Roman" w:hAnsi="Times New Roman"/>
        </w:rPr>
        <w:t>for the PDSCH reception.</w:t>
      </w:r>
    </w:p>
    <w:p w14:paraId="406998EC" w14:textId="39F3C744" w:rsidR="00AB5720" w:rsidRPr="003D59B7" w:rsidRDefault="00AB5720" w:rsidP="00FF22E8">
      <w:pPr>
        <w:ind w:firstLineChars="193" w:firstLine="425"/>
        <w:jc w:val="both"/>
        <w:rPr>
          <w:rFonts w:ascii="Times New Roman" w:hAnsi="Times New Roman"/>
          <w:b/>
        </w:rPr>
      </w:pPr>
      <w:r w:rsidRPr="003D59B7">
        <w:rPr>
          <w:rFonts w:ascii="Times New Roman" w:hAnsi="Times New Roman"/>
          <w:b/>
        </w:rPr>
        <w:t>Proposal #</w:t>
      </w:r>
      <w:r w:rsidR="006765CA">
        <w:rPr>
          <w:rFonts w:ascii="Times New Roman" w:hAnsi="Times New Roman"/>
          <w:b/>
        </w:rPr>
        <w:t>5</w:t>
      </w:r>
      <w:r w:rsidRPr="003D59B7">
        <w:rPr>
          <w:rFonts w:ascii="Times New Roman" w:hAnsi="Times New Roman"/>
          <w:b/>
        </w:rPr>
        <w:t xml:space="preserve">: Clarify the UE default beam behavior for the case </w:t>
      </w:r>
      <w:r w:rsidR="00232012">
        <w:rPr>
          <w:rFonts w:ascii="Times New Roman" w:hAnsi="Times New Roman"/>
          <w:b/>
        </w:rPr>
        <w:t xml:space="preserve">when </w:t>
      </w:r>
      <w:r w:rsidRPr="003D59B7">
        <w:rPr>
          <w:rFonts w:ascii="Times New Roman" w:hAnsi="Times New Roman"/>
          <w:b/>
        </w:rPr>
        <w:t xml:space="preserve">two TCI states are configured for </w:t>
      </w:r>
      <w:r>
        <w:rPr>
          <w:rFonts w:ascii="Times New Roman" w:hAnsi="Times New Roman"/>
          <w:b/>
        </w:rPr>
        <w:t>a</w:t>
      </w:r>
      <w:r w:rsidRPr="003D59B7">
        <w:rPr>
          <w:rFonts w:ascii="Times New Roman" w:hAnsi="Times New Roman"/>
          <w:b/>
        </w:rPr>
        <w:t xml:space="preserve"> CORESET.</w:t>
      </w:r>
    </w:p>
    <w:p w14:paraId="263AF492" w14:textId="77777777" w:rsidR="00AB5720" w:rsidRDefault="00AB5720" w:rsidP="00FF22E8">
      <w:pPr>
        <w:ind w:firstLineChars="193" w:firstLine="425"/>
        <w:jc w:val="both"/>
        <w:rPr>
          <w:rFonts w:ascii="Times New Roman" w:hAnsi="Times New Roman"/>
        </w:rPr>
      </w:pPr>
    </w:p>
    <w:p w14:paraId="3D545305" w14:textId="3107A6AE" w:rsidR="00232012" w:rsidRDefault="00232012" w:rsidP="00FF22E8">
      <w:pPr>
        <w:ind w:firstLineChars="193" w:firstLine="425"/>
        <w:jc w:val="both"/>
        <w:rPr>
          <w:rFonts w:ascii="Times New Roman" w:hAnsi="Times New Roman"/>
        </w:rPr>
      </w:pPr>
      <w:r>
        <w:rPr>
          <w:rFonts w:ascii="Times New Roman" w:hAnsi="Times New Roman"/>
        </w:rPr>
        <w:t>S</w:t>
      </w:r>
      <w:r>
        <w:rPr>
          <w:rFonts w:ascii="Times New Roman" w:hAnsi="Times New Roman" w:hint="eastAsia"/>
        </w:rPr>
        <w:t>econdly,</w:t>
      </w:r>
      <w:r>
        <w:rPr>
          <w:rFonts w:ascii="Times New Roman" w:hAnsi="Times New Roman"/>
        </w:rPr>
        <w:t xml:space="preserve"> the UE behavior </w:t>
      </w:r>
      <w:r w:rsidR="00AC72DF">
        <w:rPr>
          <w:rFonts w:ascii="Times New Roman" w:hAnsi="Times New Roman"/>
        </w:rPr>
        <w:t>regarding</w:t>
      </w:r>
      <w:r>
        <w:rPr>
          <w:rFonts w:ascii="Times New Roman" w:hAnsi="Times New Roman"/>
        </w:rPr>
        <w:t xml:space="preserve"> </w:t>
      </w:r>
      <w:r w:rsidR="00AC72DF">
        <w:rPr>
          <w:rFonts w:ascii="Times New Roman" w:hAnsi="Times New Roman"/>
        </w:rPr>
        <w:t>beam failure</w:t>
      </w:r>
      <w:r>
        <w:rPr>
          <w:rFonts w:ascii="Times New Roman" w:hAnsi="Times New Roman"/>
        </w:rPr>
        <w:t xml:space="preserve"> for the case</w:t>
      </w:r>
      <w:r w:rsidRPr="00232012">
        <w:t xml:space="preserve"> </w:t>
      </w:r>
      <w:r w:rsidRPr="00232012">
        <w:rPr>
          <w:rFonts w:ascii="Times New Roman" w:hAnsi="Times New Roman"/>
        </w:rPr>
        <w:t>when two TCI states are configured for a CORESET</w:t>
      </w:r>
      <w:r>
        <w:rPr>
          <w:rFonts w:ascii="Times New Roman" w:hAnsi="Times New Roman"/>
        </w:rPr>
        <w:t xml:space="preserve"> should be discussed</w:t>
      </w:r>
      <w:r w:rsidR="00535580">
        <w:rPr>
          <w:rFonts w:ascii="Times New Roman" w:hAnsi="Times New Roman"/>
        </w:rPr>
        <w:t xml:space="preserve"> and clarified</w:t>
      </w:r>
      <w:r>
        <w:rPr>
          <w:rFonts w:ascii="Times New Roman" w:hAnsi="Times New Roman"/>
        </w:rPr>
        <w:t xml:space="preserve">. </w:t>
      </w:r>
      <w:r w:rsidR="00AC72DF">
        <w:rPr>
          <w:rFonts w:ascii="Times New Roman" w:hAnsi="Times New Roman"/>
        </w:rPr>
        <w:t xml:space="preserve">The issue is related to relationship between BFD RS sets and two TCI states configured for a CORESET. The UE should know how to use two TCI states for BFD. For example, if TRP-specific BFD is supported, two TCI states can be related to different TRPs. So, mapping rule between TCI state and TRP should be clarified. </w:t>
      </w:r>
      <w:r w:rsidR="0082183B">
        <w:rPr>
          <w:rFonts w:ascii="Times New Roman" w:hAnsi="Times New Roman"/>
        </w:rPr>
        <w:t>I</w:t>
      </w:r>
      <w:r w:rsidR="0082183B">
        <w:rPr>
          <w:rFonts w:ascii="Times New Roman" w:hAnsi="Times New Roman" w:hint="eastAsia"/>
        </w:rPr>
        <w:t>f</w:t>
      </w:r>
      <w:r w:rsidR="0082183B">
        <w:rPr>
          <w:rFonts w:ascii="Times New Roman" w:hAnsi="Times New Roman"/>
        </w:rPr>
        <w:t xml:space="preserve"> the 1</w:t>
      </w:r>
      <w:r w:rsidR="0082183B" w:rsidRPr="003D59B7">
        <w:rPr>
          <w:rFonts w:ascii="Times New Roman" w:hAnsi="Times New Roman"/>
          <w:vertAlign w:val="superscript"/>
        </w:rPr>
        <w:t>st</w:t>
      </w:r>
      <w:r w:rsidR="0082183B">
        <w:rPr>
          <w:rFonts w:ascii="Times New Roman" w:hAnsi="Times New Roman"/>
        </w:rPr>
        <w:t xml:space="preserve"> and 2</w:t>
      </w:r>
      <w:r w:rsidR="0082183B" w:rsidRPr="003D59B7">
        <w:rPr>
          <w:rFonts w:ascii="Times New Roman" w:hAnsi="Times New Roman"/>
          <w:vertAlign w:val="superscript"/>
        </w:rPr>
        <w:t>nd</w:t>
      </w:r>
      <w:r w:rsidR="0082183B">
        <w:rPr>
          <w:rFonts w:ascii="Times New Roman" w:hAnsi="Times New Roman"/>
        </w:rPr>
        <w:t xml:space="preserve"> TCI state of the CORESET corresponds to TRP 1 and 2, respectively, 1</w:t>
      </w:r>
      <w:r w:rsidR="0082183B" w:rsidRPr="002877B1">
        <w:rPr>
          <w:rFonts w:ascii="Times New Roman" w:hAnsi="Times New Roman"/>
          <w:vertAlign w:val="superscript"/>
        </w:rPr>
        <w:t>st</w:t>
      </w:r>
      <w:r w:rsidR="0082183B">
        <w:rPr>
          <w:rFonts w:ascii="Times New Roman" w:hAnsi="Times New Roman"/>
        </w:rPr>
        <w:t xml:space="preserve"> TCI state needs to be included in BFD RS </w:t>
      </w:r>
      <w:r w:rsidR="00C349F5">
        <w:rPr>
          <w:rFonts w:ascii="Times New Roman" w:hAnsi="Times New Roman"/>
        </w:rPr>
        <w:t xml:space="preserve">set </w:t>
      </w:r>
      <w:r w:rsidR="0082183B">
        <w:rPr>
          <w:rFonts w:ascii="Times New Roman" w:hAnsi="Times New Roman"/>
        </w:rPr>
        <w:t>for TRP 1 but 2</w:t>
      </w:r>
      <w:r w:rsidR="0082183B" w:rsidRPr="003D59B7">
        <w:rPr>
          <w:rFonts w:ascii="Times New Roman" w:hAnsi="Times New Roman"/>
          <w:vertAlign w:val="superscript"/>
        </w:rPr>
        <w:t>nd</w:t>
      </w:r>
      <w:r w:rsidR="0082183B">
        <w:rPr>
          <w:rFonts w:ascii="Times New Roman" w:hAnsi="Times New Roman"/>
        </w:rPr>
        <w:t xml:space="preserve"> TCI state </w:t>
      </w:r>
      <w:r w:rsidR="00C349F5">
        <w:rPr>
          <w:rFonts w:ascii="Times New Roman" w:hAnsi="Times New Roman"/>
        </w:rPr>
        <w:t>should be</w:t>
      </w:r>
      <w:r w:rsidR="0082183B">
        <w:rPr>
          <w:rFonts w:ascii="Times New Roman" w:hAnsi="Times New Roman"/>
        </w:rPr>
        <w:t xml:space="preserve"> included in BFD RS</w:t>
      </w:r>
      <w:r w:rsidR="00C349F5">
        <w:rPr>
          <w:rFonts w:ascii="Times New Roman" w:hAnsi="Times New Roman"/>
        </w:rPr>
        <w:t xml:space="preserve"> set</w:t>
      </w:r>
      <w:r w:rsidR="0082183B">
        <w:rPr>
          <w:rFonts w:ascii="Times New Roman" w:hAnsi="Times New Roman"/>
        </w:rPr>
        <w:t xml:space="preserve"> for TRP 2.</w:t>
      </w:r>
      <w:r w:rsidR="00DA6290">
        <w:rPr>
          <w:rFonts w:ascii="Times New Roman" w:hAnsi="Times New Roman"/>
        </w:rPr>
        <w:t xml:space="preserve"> For legacy BFD, i.e. for Rel-15/16 BFR, it should also be clarified whether both TCIs should be included as BFD RSs considering UE complexity on BFD/RLM. </w:t>
      </w:r>
    </w:p>
    <w:p w14:paraId="56AC6EB8" w14:textId="4E324AFE" w:rsidR="00AC72DF" w:rsidRPr="003D59B7" w:rsidRDefault="00AC72DF" w:rsidP="00FF22E8">
      <w:pPr>
        <w:ind w:firstLineChars="193" w:firstLine="425"/>
        <w:jc w:val="both"/>
        <w:rPr>
          <w:rFonts w:ascii="Times New Roman" w:hAnsi="Times New Roman"/>
          <w:b/>
        </w:rPr>
      </w:pPr>
      <w:r w:rsidRPr="003D59B7">
        <w:rPr>
          <w:rFonts w:ascii="Times New Roman" w:hAnsi="Times New Roman"/>
          <w:b/>
        </w:rPr>
        <w:t>Proposal #</w:t>
      </w:r>
      <w:r w:rsidR="006765CA">
        <w:rPr>
          <w:rFonts w:ascii="Times New Roman" w:hAnsi="Times New Roman"/>
          <w:b/>
        </w:rPr>
        <w:t>6</w:t>
      </w:r>
      <w:r w:rsidRPr="003D59B7">
        <w:rPr>
          <w:rFonts w:ascii="Times New Roman" w:hAnsi="Times New Roman"/>
          <w:b/>
        </w:rPr>
        <w:t xml:space="preserve">: Clarify </w:t>
      </w:r>
      <w:r>
        <w:rPr>
          <w:rFonts w:ascii="Times New Roman" w:hAnsi="Times New Roman"/>
          <w:b/>
        </w:rPr>
        <w:t xml:space="preserve">the </w:t>
      </w:r>
      <w:r w:rsidR="00DA6290">
        <w:rPr>
          <w:rFonts w:ascii="Times New Roman" w:hAnsi="Times New Roman"/>
          <w:b/>
        </w:rPr>
        <w:t xml:space="preserve">BFD </w:t>
      </w:r>
      <w:r>
        <w:rPr>
          <w:rFonts w:ascii="Times New Roman" w:hAnsi="Times New Roman"/>
          <w:b/>
        </w:rPr>
        <w:t xml:space="preserve">behavior for </w:t>
      </w:r>
      <w:r w:rsidR="00DA6290">
        <w:rPr>
          <w:rFonts w:ascii="Times New Roman" w:hAnsi="Times New Roman"/>
          <w:b/>
        </w:rPr>
        <w:t>Rel-17</w:t>
      </w:r>
      <w:r>
        <w:rPr>
          <w:rFonts w:ascii="Times New Roman" w:hAnsi="Times New Roman"/>
          <w:b/>
        </w:rPr>
        <w:t xml:space="preserve"> BF</w:t>
      </w:r>
      <w:r w:rsidR="00DA6290">
        <w:rPr>
          <w:rFonts w:ascii="Times New Roman" w:hAnsi="Times New Roman"/>
          <w:b/>
        </w:rPr>
        <w:t xml:space="preserve">R and for Rel-15/16 BFR </w:t>
      </w:r>
      <w:r>
        <w:rPr>
          <w:rFonts w:ascii="Times New Roman" w:hAnsi="Times New Roman"/>
          <w:b/>
        </w:rPr>
        <w:t xml:space="preserve">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7BA84732" w14:textId="75881134" w:rsidR="00870C95" w:rsidRPr="0006074C" w:rsidRDefault="00870C95" w:rsidP="00870C95">
      <w:pPr>
        <w:ind w:firstLineChars="193" w:firstLine="425"/>
        <w:jc w:val="both"/>
        <w:rPr>
          <w:rFonts w:ascii="Times New Roman" w:hAnsi="Times New Roman"/>
        </w:rPr>
      </w:pPr>
    </w:p>
    <w:p w14:paraId="196B55BE" w14:textId="0B565B9F" w:rsidR="00870C95" w:rsidRPr="00B84F31" w:rsidRDefault="00870C95" w:rsidP="00870C95">
      <w:pPr>
        <w:ind w:firstLineChars="193" w:firstLine="425"/>
        <w:jc w:val="both"/>
        <w:rPr>
          <w:rFonts w:ascii="Times New Roman" w:hAnsi="Times New Roman"/>
        </w:rPr>
      </w:pPr>
      <w:r w:rsidRPr="00810E3E">
        <w:rPr>
          <w:rFonts w:ascii="Times New Roman" w:hAnsi="Times New Roman"/>
        </w:rPr>
        <w:t>For SFN based M</w:t>
      </w:r>
      <w:r>
        <w:rPr>
          <w:rFonts w:ascii="Times New Roman" w:hAnsi="Times New Roman"/>
        </w:rPr>
        <w:t>-</w:t>
      </w:r>
      <w:r w:rsidRPr="00810E3E">
        <w:rPr>
          <w:rFonts w:ascii="Times New Roman" w:hAnsi="Times New Roman"/>
        </w:rPr>
        <w:t xml:space="preserve">TRP PDCCH transmission, </w:t>
      </w:r>
      <w:r w:rsidR="004B5C41">
        <w:rPr>
          <w:rFonts w:ascii="Times New Roman" w:hAnsi="Times New Roman"/>
        </w:rPr>
        <w:t>i</w:t>
      </w:r>
      <w:r w:rsidR="002D2B57">
        <w:rPr>
          <w:rFonts w:ascii="Times New Roman" w:hAnsi="Times New Roman"/>
        </w:rPr>
        <w:t xml:space="preserve">n addition, </w:t>
      </w:r>
      <w:r w:rsidRPr="00372241">
        <w:rPr>
          <w:rFonts w:ascii="Times New Roman" w:hAnsi="Times New Roman"/>
        </w:rPr>
        <w:t xml:space="preserve">PDCCH monitoring </w:t>
      </w:r>
      <w:r w:rsidRPr="00B84F31">
        <w:rPr>
          <w:rFonts w:ascii="Times New Roman" w:hAnsi="Times New Roman"/>
        </w:rPr>
        <w:t xml:space="preserve">behavior in case of colliding multiple CORESETs with different QCL type-D should be carefully investigated. For example, if only one of two QCL type-D properties of SFNed CORESET is the same as monitoring CORESET, PDCCH from the SFNed CORESET should not be transmitted in SFN manner, which means dynamic fallback to non-SFN transmission. </w:t>
      </w:r>
    </w:p>
    <w:p w14:paraId="45C5167E" w14:textId="45F1B726" w:rsidR="00870C95" w:rsidRPr="003D59B7" w:rsidRDefault="00870C95" w:rsidP="00870C95">
      <w:pPr>
        <w:ind w:firstLineChars="193" w:firstLine="425"/>
        <w:jc w:val="both"/>
        <w:rPr>
          <w:rFonts w:ascii="Times New Roman" w:hAnsi="Times New Roman"/>
          <w:b/>
        </w:rPr>
      </w:pPr>
      <w:r w:rsidRPr="003D59B7">
        <w:rPr>
          <w:rFonts w:ascii="Times New Roman" w:hAnsi="Times New Roman"/>
          <w:b/>
        </w:rPr>
        <w:lastRenderedPageBreak/>
        <w:t>Proposal #</w:t>
      </w:r>
      <w:r w:rsidR="006765CA">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6D0CA6E3" w14:textId="77777777" w:rsidR="00870C95" w:rsidRPr="00870C95" w:rsidRDefault="00870C95" w:rsidP="00FF22E8">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6D0AE484" w14:textId="77777777" w:rsidR="002D45AF" w:rsidRPr="00644C8C" w:rsidRDefault="002D45AF" w:rsidP="002D45AF">
      <w:pPr>
        <w:ind w:firstLineChars="193" w:firstLine="425"/>
        <w:jc w:val="both"/>
        <w:rPr>
          <w:rFonts w:ascii="Times New Roman" w:hAnsi="Times New Roman"/>
          <w:b/>
        </w:rPr>
      </w:pPr>
      <w:r w:rsidRPr="00644C8C">
        <w:rPr>
          <w:rFonts w:ascii="Times New Roman" w:hAnsi="Times New Roman"/>
          <w:b/>
        </w:rPr>
        <w:t>Proposal #1: Support dynamic switching of scheme 1 with single TRP scheme</w:t>
      </w:r>
      <w:r>
        <w:rPr>
          <w:rFonts w:ascii="Times New Roman" w:hAnsi="Times New Roman"/>
          <w:b/>
        </w:rPr>
        <w:t xml:space="preserve"> without defining a UE</w:t>
      </w:r>
      <w:r w:rsidRPr="00644C8C">
        <w:rPr>
          <w:rFonts w:ascii="Times New Roman" w:hAnsi="Times New Roman"/>
          <w:b/>
        </w:rPr>
        <w:t xml:space="preserve"> capability to indicate </w:t>
      </w:r>
      <w:r>
        <w:rPr>
          <w:rFonts w:ascii="Times New Roman" w:hAnsi="Times New Roman"/>
          <w:b/>
        </w:rPr>
        <w:t xml:space="preserve">the </w:t>
      </w:r>
      <w:r w:rsidRPr="00644C8C">
        <w:rPr>
          <w:rFonts w:ascii="Times New Roman" w:hAnsi="Times New Roman"/>
          <w:b/>
        </w:rPr>
        <w:t>support of dynamic switching.</w:t>
      </w:r>
    </w:p>
    <w:p w14:paraId="16FCC2BF" w14:textId="77777777" w:rsidR="002D45AF" w:rsidRPr="00644C8C" w:rsidRDefault="002D45AF" w:rsidP="002D45AF">
      <w:pPr>
        <w:ind w:firstLineChars="193" w:firstLine="425"/>
        <w:jc w:val="both"/>
        <w:rPr>
          <w:rFonts w:ascii="Times New Roman" w:hAnsi="Times New Roman"/>
          <w:b/>
        </w:rPr>
      </w:pPr>
      <w:r w:rsidRPr="00644C8C">
        <w:rPr>
          <w:rFonts w:ascii="Times New Roman" w:hAnsi="Times New Roman"/>
          <w:b/>
        </w:rPr>
        <w:t>Proposal #2: Support two transmission layers for scheme 1.</w:t>
      </w:r>
    </w:p>
    <w:p w14:paraId="04274823" w14:textId="77777777" w:rsidR="002D45AF" w:rsidRPr="00644C8C" w:rsidRDefault="002D45AF" w:rsidP="002D45AF">
      <w:pPr>
        <w:ind w:firstLineChars="193" w:firstLine="425"/>
        <w:jc w:val="both"/>
        <w:rPr>
          <w:rFonts w:ascii="Times New Roman" w:hAnsi="Times New Roman"/>
          <w:b/>
        </w:rPr>
      </w:pPr>
      <w:r w:rsidRPr="00644C8C">
        <w:rPr>
          <w:rFonts w:ascii="Times New Roman" w:hAnsi="Times New Roman"/>
          <w:b/>
        </w:rPr>
        <w:t>Proposal #</w:t>
      </w:r>
      <w:r>
        <w:rPr>
          <w:rFonts w:ascii="Times New Roman" w:hAnsi="Times New Roman"/>
          <w:b/>
        </w:rPr>
        <w:t>3</w:t>
      </w:r>
      <w:r w:rsidRPr="00644C8C">
        <w:rPr>
          <w:rFonts w:ascii="Times New Roman" w:hAnsi="Times New Roman"/>
          <w:b/>
        </w:rPr>
        <w:t xml:space="preserve">: Support dynamic switching of scheme 1 with Rel-16 </w:t>
      </w:r>
      <w:r>
        <w:rPr>
          <w:rFonts w:ascii="Times New Roman" w:hAnsi="Times New Roman"/>
          <w:b/>
        </w:rPr>
        <w:t xml:space="preserve">MTRP </w:t>
      </w:r>
      <w:r w:rsidRPr="00644C8C">
        <w:rPr>
          <w:rFonts w:ascii="Times New Roman" w:hAnsi="Times New Roman"/>
          <w:b/>
        </w:rPr>
        <w:t>1a scheme.</w:t>
      </w:r>
    </w:p>
    <w:p w14:paraId="16DD8BF5" w14:textId="77777777" w:rsidR="002D45AF" w:rsidRPr="009C0224" w:rsidRDefault="002D45AF" w:rsidP="002D45AF">
      <w:pPr>
        <w:ind w:firstLineChars="193" w:firstLine="425"/>
        <w:jc w:val="both"/>
        <w:rPr>
          <w:rFonts w:ascii="Times New Roman" w:hAnsi="Times New Roman"/>
          <w:b/>
        </w:rPr>
      </w:pPr>
      <w:r w:rsidRPr="009C0224">
        <w:rPr>
          <w:rFonts w:ascii="Times New Roman" w:hAnsi="Times New Roman"/>
          <w:b/>
        </w:rPr>
        <w:t>Proposal #</w:t>
      </w:r>
      <w:r>
        <w:rPr>
          <w:rFonts w:ascii="Times New Roman" w:hAnsi="Times New Roman"/>
          <w:b/>
        </w:rPr>
        <w:t>4</w:t>
      </w:r>
      <w:r w:rsidRPr="009C0224">
        <w:rPr>
          <w:rFonts w:ascii="Times New Roman" w:hAnsi="Times New Roman"/>
          <w:b/>
        </w:rPr>
        <w:t xml:space="preserve">: </w:t>
      </w:r>
      <w:r>
        <w:rPr>
          <w:rFonts w:ascii="Times New Roman" w:hAnsi="Times New Roman"/>
          <w:b/>
        </w:rPr>
        <w:t xml:space="preserve">If TRP-based scheme is supported, </w:t>
      </w:r>
      <w:r w:rsidRPr="009C0224">
        <w:rPr>
          <w:rFonts w:ascii="Times New Roman" w:hAnsi="Times New Roman"/>
          <w:b/>
        </w:rPr>
        <w:t xml:space="preserve">Doppler shift </w:t>
      </w:r>
      <w:r>
        <w:rPr>
          <w:rFonts w:ascii="Times New Roman" w:hAnsi="Times New Roman"/>
          <w:b/>
        </w:rPr>
        <w:t>p</w:t>
      </w:r>
      <w:r w:rsidRPr="009C0224">
        <w:rPr>
          <w:rFonts w:ascii="Times New Roman" w:hAnsi="Times New Roman"/>
          <w:b/>
        </w:rPr>
        <w:t xml:space="preserve">re-compensation for </w:t>
      </w:r>
      <w:r>
        <w:rPr>
          <w:rFonts w:ascii="Times New Roman" w:hAnsi="Times New Roman"/>
          <w:b/>
        </w:rPr>
        <w:t xml:space="preserve">PDCCH/PDSCH </w:t>
      </w:r>
      <w:r w:rsidRPr="009C0224">
        <w:rPr>
          <w:rFonts w:ascii="Times New Roman" w:hAnsi="Times New Roman"/>
          <w:b/>
        </w:rPr>
        <w:t>should be based on</w:t>
      </w:r>
      <w:r>
        <w:rPr>
          <w:rFonts w:ascii="Times New Roman" w:hAnsi="Times New Roman"/>
          <w:b/>
        </w:rPr>
        <w:t xml:space="preserve"> </w:t>
      </w:r>
      <w:r w:rsidRPr="009C0224">
        <w:rPr>
          <w:rFonts w:ascii="Times New Roman" w:hAnsi="Times New Roman"/>
          <w:b/>
        </w:rPr>
        <w:t xml:space="preserve">gNB implementation without having </w:t>
      </w:r>
      <w:r>
        <w:rPr>
          <w:rFonts w:ascii="Times New Roman" w:hAnsi="Times New Roman"/>
          <w:b/>
        </w:rPr>
        <w:t>specification enhancement</w:t>
      </w:r>
      <w:r w:rsidRPr="009C0224">
        <w:rPr>
          <w:rFonts w:ascii="Times New Roman" w:hAnsi="Times New Roman"/>
          <w:b/>
        </w:rPr>
        <w:t>.</w:t>
      </w:r>
    </w:p>
    <w:p w14:paraId="0AF55EA2" w14:textId="77777777" w:rsidR="002D45AF" w:rsidRPr="003D59B7" w:rsidRDefault="002D45AF" w:rsidP="002D45AF">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5</w:t>
      </w:r>
      <w:r w:rsidRPr="003D59B7">
        <w:rPr>
          <w:rFonts w:ascii="Times New Roman" w:hAnsi="Times New Roman"/>
          <w:b/>
        </w:rPr>
        <w:t xml:space="preserve">: Clarify the UE default beam behavior for the case </w:t>
      </w:r>
      <w:r>
        <w:rPr>
          <w:rFonts w:ascii="Times New Roman" w:hAnsi="Times New Roman"/>
          <w:b/>
        </w:rPr>
        <w:t xml:space="preserve">when </w:t>
      </w:r>
      <w:r w:rsidRPr="003D59B7">
        <w:rPr>
          <w:rFonts w:ascii="Times New Roman" w:hAnsi="Times New Roman"/>
          <w:b/>
        </w:rPr>
        <w:t xml:space="preserve">two TCI states are configured for </w:t>
      </w:r>
      <w:r>
        <w:rPr>
          <w:rFonts w:ascii="Times New Roman" w:hAnsi="Times New Roman"/>
          <w:b/>
        </w:rPr>
        <w:t>a</w:t>
      </w:r>
      <w:r w:rsidRPr="003D59B7">
        <w:rPr>
          <w:rFonts w:ascii="Times New Roman" w:hAnsi="Times New Roman"/>
          <w:b/>
        </w:rPr>
        <w:t xml:space="preserve"> CORESET.</w:t>
      </w:r>
    </w:p>
    <w:p w14:paraId="5A012D8C" w14:textId="77777777" w:rsidR="002D45AF" w:rsidRPr="003D59B7" w:rsidRDefault="002D45AF" w:rsidP="002D45AF">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6</w:t>
      </w:r>
      <w:r w:rsidRPr="003D59B7">
        <w:rPr>
          <w:rFonts w:ascii="Times New Roman" w:hAnsi="Times New Roman"/>
          <w:b/>
        </w:rPr>
        <w:t xml:space="preserve">: Clarify </w:t>
      </w:r>
      <w:r>
        <w:rPr>
          <w:rFonts w:ascii="Times New Roman" w:hAnsi="Times New Roman"/>
          <w:b/>
        </w:rPr>
        <w:t xml:space="preserve">the BFD behavior for Rel-17 BFR and for Rel-15/16 BFR 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17401E04" w14:textId="77777777" w:rsidR="002D45AF" w:rsidRPr="003D59B7" w:rsidRDefault="002D45AF" w:rsidP="002D45AF">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67A64C9B" w14:textId="77777777" w:rsidR="00440CED" w:rsidRPr="002D45AF" w:rsidRDefault="00440CED" w:rsidP="005A3A83">
      <w:pPr>
        <w:ind w:firstLineChars="193" w:firstLine="425"/>
        <w:jc w:val="both"/>
        <w:rPr>
          <w:rFonts w:ascii="Times New Roman" w:hAnsi="Times New Roman"/>
        </w:rPr>
      </w:pPr>
      <w:bookmarkStart w:id="0" w:name="_GoBack"/>
      <w:bookmarkEnd w:id="0"/>
    </w:p>
    <w:p w14:paraId="7E3EA029" w14:textId="47B1F394"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762FE3B9"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440CED">
        <w:rPr>
          <w:rFonts w:ascii="Times New Roman" w:hAnsi="Times New Roman"/>
        </w:rPr>
        <w:t>10</w:t>
      </w:r>
      <w:r w:rsidR="00667DEB">
        <w:rPr>
          <w:rFonts w:ascii="Times New Roman" w:hAnsi="Times New Roman"/>
        </w:rPr>
        <w:t>4</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667DEB">
        <w:rPr>
          <w:rFonts w:ascii="Times New Roman" w:hAnsi="Times New Roman"/>
        </w:rPr>
        <w:t>Jan. 25</w:t>
      </w:r>
      <w:r w:rsidR="00667DEB" w:rsidRPr="006F6D22">
        <w:rPr>
          <w:rFonts w:ascii="Times New Roman" w:hAnsi="Times New Roman"/>
          <w:vertAlign w:val="superscript"/>
        </w:rPr>
        <w:t>th</w:t>
      </w:r>
      <w:r w:rsidR="00667DEB">
        <w:rPr>
          <w:rFonts w:ascii="Times New Roman" w:hAnsi="Times New Roman"/>
        </w:rPr>
        <w:t xml:space="preserve"> </w:t>
      </w:r>
      <w:r w:rsidR="006F6D22">
        <w:rPr>
          <w:rFonts w:ascii="Times New Roman" w:hAnsi="Times New Roman"/>
        </w:rPr>
        <w:t xml:space="preserve">– </w:t>
      </w:r>
      <w:r w:rsidR="00667DEB">
        <w:rPr>
          <w:rFonts w:ascii="Times New Roman" w:hAnsi="Times New Roman"/>
        </w:rPr>
        <w:t>Feb. 5</w:t>
      </w:r>
      <w:r w:rsidR="00667DEB"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w:t>
      </w:r>
      <w:r w:rsidR="00667DEB">
        <w:rPr>
          <w:rFonts w:ascii="Times New Roman" w:hAnsi="Times New Roman"/>
        </w:rPr>
        <w:t>1</w:t>
      </w:r>
    </w:p>
    <w:p w14:paraId="61D5B302" w14:textId="74B6CD32" w:rsidR="00856ECE" w:rsidRPr="00644C8C" w:rsidRDefault="00856ECE" w:rsidP="00AF10F7">
      <w:pPr>
        <w:ind w:firstLineChars="193" w:firstLine="425"/>
        <w:jc w:val="both"/>
        <w:rPr>
          <w:rFonts w:ascii="Times New Roman" w:hAnsi="Times New Roman"/>
          <w:lang w:val="x-none"/>
        </w:rPr>
      </w:pPr>
      <w:r>
        <w:rPr>
          <w:rFonts w:ascii="Times New Roman" w:hAnsi="Times New Roman"/>
        </w:rPr>
        <w:t xml:space="preserve">[2] 3GPP </w:t>
      </w:r>
      <w:r w:rsidRPr="00856ECE">
        <w:rPr>
          <w:rFonts w:ascii="Times New Roman" w:hAnsi="Times New Roman"/>
        </w:rPr>
        <w:t>TS 38.101-1</w:t>
      </w:r>
      <w:r>
        <w:rPr>
          <w:rFonts w:ascii="Times New Roman" w:hAnsi="Times New Roman"/>
        </w:rPr>
        <w:t xml:space="preserve">, </w:t>
      </w:r>
      <w:r w:rsidRPr="00856ECE">
        <w:rPr>
          <w:rFonts w:ascii="Times New Roman" w:hAnsi="Times New Roman"/>
        </w:rPr>
        <w:t>User Equipment (UE) radio transmission and reception</w:t>
      </w:r>
    </w:p>
    <w:p w14:paraId="6B3B0645" w14:textId="26401A88" w:rsidR="0098231B" w:rsidRPr="006F6D22" w:rsidRDefault="0098231B" w:rsidP="00AF10F7">
      <w:pPr>
        <w:ind w:firstLineChars="193" w:firstLine="425"/>
        <w:jc w:val="both"/>
        <w:rPr>
          <w:rFonts w:ascii="Times New Roman" w:hAnsi="Times New Roman"/>
          <w:lang w:val="x-none"/>
        </w:rPr>
      </w:pPr>
      <w:r>
        <w:rPr>
          <w:rFonts w:ascii="Times New Roman" w:hAnsi="Times New Roman"/>
        </w:rPr>
        <w:t>[</w:t>
      </w:r>
      <w:r w:rsidR="00856ECE">
        <w:rPr>
          <w:rFonts w:ascii="Times New Roman" w:hAnsi="Times New Roman"/>
        </w:rPr>
        <w:t>3</w:t>
      </w:r>
      <w:r>
        <w:rPr>
          <w:rFonts w:ascii="Times New Roman" w:hAnsi="Times New Roman"/>
        </w:rPr>
        <w:t xml:space="preserve">] </w:t>
      </w:r>
      <w:r w:rsidR="00535580" w:rsidRPr="00535580">
        <w:rPr>
          <w:rFonts w:ascii="Times New Roman" w:hAnsi="Times New Roman"/>
        </w:rPr>
        <w:t>R1-210</w:t>
      </w:r>
      <w:r w:rsidR="00E2131F">
        <w:rPr>
          <w:rFonts w:ascii="Times New Roman" w:hAnsi="Times New Roman"/>
        </w:rPr>
        <w:t>0621</w:t>
      </w:r>
      <w:r w:rsidR="00535580">
        <w:rPr>
          <w:rFonts w:ascii="Times New Roman" w:hAnsi="Times New Roman"/>
        </w:rPr>
        <w:t xml:space="preserve">, </w:t>
      </w:r>
      <w:r w:rsidR="00535580" w:rsidRPr="00535580">
        <w:rPr>
          <w:rFonts w:ascii="Times New Roman" w:hAnsi="Times New Roman"/>
        </w:rPr>
        <w:t>Enhancements on beam management for multi-TRP</w:t>
      </w:r>
      <w:r>
        <w:rPr>
          <w:rFonts w:ascii="Times New Roman" w:hAnsi="Times New Roman"/>
        </w:rPr>
        <w:t>, LG Electronics</w:t>
      </w:r>
    </w:p>
    <w:sectPr w:rsidR="0098231B" w:rsidRPr="006F6D22"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103FE" w14:textId="77777777" w:rsidR="00590C6F" w:rsidRDefault="00590C6F" w:rsidP="00C01439">
      <w:pPr>
        <w:spacing w:after="0" w:line="240" w:lineRule="auto"/>
      </w:pPr>
      <w:r>
        <w:separator/>
      </w:r>
    </w:p>
  </w:endnote>
  <w:endnote w:type="continuationSeparator" w:id="0">
    <w:p w14:paraId="267DF212" w14:textId="77777777" w:rsidR="00590C6F" w:rsidRDefault="00590C6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D45AF">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D45AF" w:rsidRPr="002D45AF">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F081B" w14:textId="77777777" w:rsidR="00590C6F" w:rsidRDefault="00590C6F" w:rsidP="00C01439">
      <w:pPr>
        <w:spacing w:after="0" w:line="240" w:lineRule="auto"/>
      </w:pPr>
      <w:r>
        <w:separator/>
      </w:r>
    </w:p>
  </w:footnote>
  <w:footnote w:type="continuationSeparator" w:id="0">
    <w:p w14:paraId="3BE60590" w14:textId="77777777" w:rsidR="00590C6F" w:rsidRDefault="00590C6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7">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7">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3">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6">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2">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6">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1"/>
  </w:num>
  <w:num w:numId="2">
    <w:abstractNumId w:val="58"/>
  </w:num>
  <w:num w:numId="3">
    <w:abstractNumId w:val="60"/>
  </w:num>
  <w:num w:numId="4">
    <w:abstractNumId w:val="64"/>
  </w:num>
  <w:num w:numId="5">
    <w:abstractNumId w:val="1"/>
  </w:num>
  <w:num w:numId="6">
    <w:abstractNumId w:val="15"/>
  </w:num>
  <w:num w:numId="7">
    <w:abstractNumId w:val="42"/>
  </w:num>
  <w:num w:numId="8">
    <w:abstractNumId w:val="21"/>
  </w:num>
  <w:num w:numId="9">
    <w:abstractNumId w:val="41"/>
  </w:num>
  <w:num w:numId="10">
    <w:abstractNumId w:val="25"/>
  </w:num>
  <w:num w:numId="11">
    <w:abstractNumId w:val="34"/>
  </w:num>
  <w:num w:numId="12">
    <w:abstractNumId w:val="30"/>
  </w:num>
  <w:num w:numId="13">
    <w:abstractNumId w:val="56"/>
  </w:num>
  <w:num w:numId="14">
    <w:abstractNumId w:val="63"/>
  </w:num>
  <w:num w:numId="15">
    <w:abstractNumId w:val="20"/>
  </w:num>
  <w:num w:numId="16">
    <w:abstractNumId w:val="60"/>
  </w:num>
  <w:num w:numId="17">
    <w:abstractNumId w:val="60"/>
  </w:num>
  <w:num w:numId="18">
    <w:abstractNumId w:val="57"/>
  </w:num>
  <w:num w:numId="19">
    <w:abstractNumId w:val="27"/>
  </w:num>
  <w:num w:numId="20">
    <w:abstractNumId w:val="13"/>
  </w:num>
  <w:num w:numId="21">
    <w:abstractNumId w:val="12"/>
  </w:num>
  <w:num w:numId="22">
    <w:abstractNumId w:val="39"/>
  </w:num>
  <w:num w:numId="23">
    <w:abstractNumId w:val="28"/>
  </w:num>
  <w:num w:numId="24">
    <w:abstractNumId w:val="49"/>
  </w:num>
  <w:num w:numId="25">
    <w:abstractNumId w:val="48"/>
  </w:num>
  <w:num w:numId="26">
    <w:abstractNumId w:val="6"/>
  </w:num>
  <w:num w:numId="27">
    <w:abstractNumId w:val="65"/>
  </w:num>
  <w:num w:numId="28">
    <w:abstractNumId w:val="37"/>
  </w:num>
  <w:num w:numId="29">
    <w:abstractNumId w:val="46"/>
  </w:num>
  <w:num w:numId="30">
    <w:abstractNumId w:val="44"/>
  </w:num>
  <w:num w:numId="31">
    <w:abstractNumId w:val="53"/>
  </w:num>
  <w:num w:numId="32">
    <w:abstractNumId w:val="9"/>
  </w:num>
  <w:num w:numId="33">
    <w:abstractNumId w:val="22"/>
  </w:num>
  <w:num w:numId="34">
    <w:abstractNumId w:val="40"/>
  </w:num>
  <w:num w:numId="35">
    <w:abstractNumId w:val="23"/>
  </w:num>
  <w:num w:numId="36">
    <w:abstractNumId w:val="2"/>
  </w:num>
  <w:num w:numId="37">
    <w:abstractNumId w:val="16"/>
  </w:num>
  <w:num w:numId="38">
    <w:abstractNumId w:val="43"/>
  </w:num>
  <w:num w:numId="39">
    <w:abstractNumId w:val="18"/>
  </w:num>
  <w:num w:numId="40">
    <w:abstractNumId w:val="60"/>
  </w:num>
  <w:num w:numId="41">
    <w:abstractNumId w:val="60"/>
  </w:num>
  <w:num w:numId="42">
    <w:abstractNumId w:val="55"/>
  </w:num>
  <w:num w:numId="43">
    <w:abstractNumId w:val="3"/>
  </w:num>
  <w:num w:numId="44">
    <w:abstractNumId w:val="50"/>
  </w:num>
  <w:num w:numId="45">
    <w:abstractNumId w:val="36"/>
  </w:num>
  <w:num w:numId="46">
    <w:abstractNumId w:val="0"/>
  </w:num>
  <w:num w:numId="47">
    <w:abstractNumId w:val="26"/>
  </w:num>
  <w:num w:numId="48">
    <w:abstractNumId w:val="54"/>
  </w:num>
  <w:num w:numId="49">
    <w:abstractNumId w:val="31"/>
  </w:num>
  <w:num w:numId="50">
    <w:abstractNumId w:val="60"/>
  </w:num>
  <w:num w:numId="51">
    <w:abstractNumId w:val="66"/>
  </w:num>
  <w:num w:numId="52">
    <w:abstractNumId w:val="7"/>
  </w:num>
  <w:num w:numId="53">
    <w:abstractNumId w:val="17"/>
  </w:num>
  <w:num w:numId="54">
    <w:abstractNumId w:val="10"/>
  </w:num>
  <w:num w:numId="55">
    <w:abstractNumId w:val="35"/>
  </w:num>
  <w:num w:numId="56">
    <w:abstractNumId w:val="8"/>
  </w:num>
  <w:num w:numId="57">
    <w:abstractNumId w:val="61"/>
  </w:num>
  <w:num w:numId="58">
    <w:abstractNumId w:val="14"/>
  </w:num>
  <w:num w:numId="59">
    <w:abstractNumId w:val="4"/>
  </w:num>
  <w:num w:numId="60">
    <w:abstractNumId w:val="29"/>
  </w:num>
  <w:num w:numId="61">
    <w:abstractNumId w:val="45"/>
  </w:num>
  <w:num w:numId="62">
    <w:abstractNumId w:val="47"/>
  </w:num>
  <w:num w:numId="63">
    <w:abstractNumId w:val="19"/>
  </w:num>
  <w:num w:numId="64">
    <w:abstractNumId w:val="38"/>
  </w:num>
  <w:num w:numId="65">
    <w:abstractNumId w:val="11"/>
  </w:num>
  <w:num w:numId="66">
    <w:abstractNumId w:val="24"/>
  </w:num>
  <w:num w:numId="67">
    <w:abstractNumId w:val="32"/>
  </w:num>
  <w:num w:numId="68">
    <w:abstractNumId w:val="62"/>
  </w:num>
  <w:num w:numId="69">
    <w:abstractNumId w:val="33"/>
  </w:num>
  <w:num w:numId="70">
    <w:abstractNumId w:val="59"/>
  </w:num>
  <w:num w:numId="71">
    <w:abstractNumId w:val="5"/>
  </w:num>
  <w:num w:numId="72">
    <w:abstractNumId w:val="52"/>
  </w:num>
  <w:num w:numId="73">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4B97"/>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2D09"/>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B4E"/>
    <w:rsid w:val="00035E75"/>
    <w:rsid w:val="00035F40"/>
    <w:rsid w:val="00035F49"/>
    <w:rsid w:val="000361B1"/>
    <w:rsid w:val="000363B7"/>
    <w:rsid w:val="00036632"/>
    <w:rsid w:val="00036716"/>
    <w:rsid w:val="00036B2B"/>
    <w:rsid w:val="0003751B"/>
    <w:rsid w:val="000401A6"/>
    <w:rsid w:val="00041360"/>
    <w:rsid w:val="00041768"/>
    <w:rsid w:val="00042B67"/>
    <w:rsid w:val="00042F21"/>
    <w:rsid w:val="00042FEF"/>
    <w:rsid w:val="00043370"/>
    <w:rsid w:val="000439E9"/>
    <w:rsid w:val="00043D66"/>
    <w:rsid w:val="00044095"/>
    <w:rsid w:val="00044355"/>
    <w:rsid w:val="0004445F"/>
    <w:rsid w:val="00044928"/>
    <w:rsid w:val="00044BE9"/>
    <w:rsid w:val="00045E0F"/>
    <w:rsid w:val="000460E5"/>
    <w:rsid w:val="0004747E"/>
    <w:rsid w:val="0004761F"/>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074C"/>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66D"/>
    <w:rsid w:val="000B0B1B"/>
    <w:rsid w:val="000B1942"/>
    <w:rsid w:val="000B2141"/>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E87"/>
    <w:rsid w:val="00140FAA"/>
    <w:rsid w:val="00141048"/>
    <w:rsid w:val="001413FA"/>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9A9"/>
    <w:rsid w:val="00157B91"/>
    <w:rsid w:val="00157C15"/>
    <w:rsid w:val="00157C70"/>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0F0"/>
    <w:rsid w:val="0017283D"/>
    <w:rsid w:val="00172B93"/>
    <w:rsid w:val="00173419"/>
    <w:rsid w:val="0017489B"/>
    <w:rsid w:val="00174996"/>
    <w:rsid w:val="00174AA5"/>
    <w:rsid w:val="00174E2B"/>
    <w:rsid w:val="001752F2"/>
    <w:rsid w:val="00175D34"/>
    <w:rsid w:val="00176805"/>
    <w:rsid w:val="001771F6"/>
    <w:rsid w:val="0017788B"/>
    <w:rsid w:val="00177EA6"/>
    <w:rsid w:val="00180A12"/>
    <w:rsid w:val="0018109F"/>
    <w:rsid w:val="001826A8"/>
    <w:rsid w:val="001826AF"/>
    <w:rsid w:val="00182914"/>
    <w:rsid w:val="00182FD6"/>
    <w:rsid w:val="00183F87"/>
    <w:rsid w:val="00184C11"/>
    <w:rsid w:val="0018580E"/>
    <w:rsid w:val="001859AB"/>
    <w:rsid w:val="00185ADC"/>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6760"/>
    <w:rsid w:val="00196DDD"/>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57C"/>
    <w:rsid w:val="001E1C2C"/>
    <w:rsid w:val="001E1FCF"/>
    <w:rsid w:val="001E48DA"/>
    <w:rsid w:val="001E4C9B"/>
    <w:rsid w:val="001E6451"/>
    <w:rsid w:val="001E6680"/>
    <w:rsid w:val="001E697D"/>
    <w:rsid w:val="001E727C"/>
    <w:rsid w:val="001E745E"/>
    <w:rsid w:val="001E74D3"/>
    <w:rsid w:val="001E7577"/>
    <w:rsid w:val="001F053D"/>
    <w:rsid w:val="001F113D"/>
    <w:rsid w:val="001F125E"/>
    <w:rsid w:val="001F139F"/>
    <w:rsid w:val="001F13A0"/>
    <w:rsid w:val="001F13D8"/>
    <w:rsid w:val="001F1C19"/>
    <w:rsid w:val="001F1D02"/>
    <w:rsid w:val="001F25D7"/>
    <w:rsid w:val="001F2B62"/>
    <w:rsid w:val="001F2FE8"/>
    <w:rsid w:val="001F3C88"/>
    <w:rsid w:val="001F3D05"/>
    <w:rsid w:val="001F3DD3"/>
    <w:rsid w:val="001F495C"/>
    <w:rsid w:val="001F49CC"/>
    <w:rsid w:val="001F5486"/>
    <w:rsid w:val="001F5991"/>
    <w:rsid w:val="001F5E8C"/>
    <w:rsid w:val="001F5FE3"/>
    <w:rsid w:val="001F66FE"/>
    <w:rsid w:val="001F6855"/>
    <w:rsid w:val="001F6A76"/>
    <w:rsid w:val="0020141D"/>
    <w:rsid w:val="002014BE"/>
    <w:rsid w:val="002015AA"/>
    <w:rsid w:val="00201EC7"/>
    <w:rsid w:val="0020275F"/>
    <w:rsid w:val="00202A7A"/>
    <w:rsid w:val="00202BA0"/>
    <w:rsid w:val="002031BF"/>
    <w:rsid w:val="0020344D"/>
    <w:rsid w:val="002034CB"/>
    <w:rsid w:val="00203A15"/>
    <w:rsid w:val="002040AF"/>
    <w:rsid w:val="00204BD1"/>
    <w:rsid w:val="00204BF3"/>
    <w:rsid w:val="00204BF5"/>
    <w:rsid w:val="002056E9"/>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4100"/>
    <w:rsid w:val="002541DD"/>
    <w:rsid w:val="00254D03"/>
    <w:rsid w:val="00255EF3"/>
    <w:rsid w:val="0025635D"/>
    <w:rsid w:val="002565FC"/>
    <w:rsid w:val="002569CD"/>
    <w:rsid w:val="002578D5"/>
    <w:rsid w:val="00257A31"/>
    <w:rsid w:val="00260D43"/>
    <w:rsid w:val="00260D9E"/>
    <w:rsid w:val="00260DD1"/>
    <w:rsid w:val="00261975"/>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713"/>
    <w:rsid w:val="00290FA3"/>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CBC"/>
    <w:rsid w:val="002A0102"/>
    <w:rsid w:val="002A0E54"/>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E09"/>
    <w:rsid w:val="002C1521"/>
    <w:rsid w:val="002C1604"/>
    <w:rsid w:val="002C28EE"/>
    <w:rsid w:val="002C3BE0"/>
    <w:rsid w:val="002C4FB5"/>
    <w:rsid w:val="002C504E"/>
    <w:rsid w:val="002C59D1"/>
    <w:rsid w:val="002C64DF"/>
    <w:rsid w:val="002C6C61"/>
    <w:rsid w:val="002C726F"/>
    <w:rsid w:val="002D08D7"/>
    <w:rsid w:val="002D090A"/>
    <w:rsid w:val="002D117B"/>
    <w:rsid w:val="002D2978"/>
    <w:rsid w:val="002D2AFF"/>
    <w:rsid w:val="002D2B57"/>
    <w:rsid w:val="002D2EB7"/>
    <w:rsid w:val="002D31A7"/>
    <w:rsid w:val="002D32F3"/>
    <w:rsid w:val="002D3926"/>
    <w:rsid w:val="002D42BD"/>
    <w:rsid w:val="002D45AF"/>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5234"/>
    <w:rsid w:val="002E52B9"/>
    <w:rsid w:val="002E5DC3"/>
    <w:rsid w:val="002E7D73"/>
    <w:rsid w:val="002E7EBA"/>
    <w:rsid w:val="002F0609"/>
    <w:rsid w:val="002F0C7A"/>
    <w:rsid w:val="002F10C5"/>
    <w:rsid w:val="002F11E5"/>
    <w:rsid w:val="002F2008"/>
    <w:rsid w:val="002F21CB"/>
    <w:rsid w:val="002F234E"/>
    <w:rsid w:val="002F2C99"/>
    <w:rsid w:val="002F2F5D"/>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B8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64C7"/>
    <w:rsid w:val="003370E9"/>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47C3B"/>
    <w:rsid w:val="0035034B"/>
    <w:rsid w:val="00350E75"/>
    <w:rsid w:val="0035226E"/>
    <w:rsid w:val="00352996"/>
    <w:rsid w:val="00353B29"/>
    <w:rsid w:val="00353E12"/>
    <w:rsid w:val="0035425E"/>
    <w:rsid w:val="0035475B"/>
    <w:rsid w:val="00354AC2"/>
    <w:rsid w:val="00354F39"/>
    <w:rsid w:val="003553C4"/>
    <w:rsid w:val="003555C2"/>
    <w:rsid w:val="00355761"/>
    <w:rsid w:val="00355A4B"/>
    <w:rsid w:val="00355F53"/>
    <w:rsid w:val="00356300"/>
    <w:rsid w:val="00356807"/>
    <w:rsid w:val="003577B9"/>
    <w:rsid w:val="00357C04"/>
    <w:rsid w:val="00357FEF"/>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34B7"/>
    <w:rsid w:val="00383DFA"/>
    <w:rsid w:val="0038492F"/>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E3D"/>
    <w:rsid w:val="00402A42"/>
    <w:rsid w:val="00402D4B"/>
    <w:rsid w:val="004032FD"/>
    <w:rsid w:val="00403958"/>
    <w:rsid w:val="00403F86"/>
    <w:rsid w:val="004040C5"/>
    <w:rsid w:val="0040427F"/>
    <w:rsid w:val="00404EC0"/>
    <w:rsid w:val="00405438"/>
    <w:rsid w:val="00405871"/>
    <w:rsid w:val="004059AF"/>
    <w:rsid w:val="0040636B"/>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CD4"/>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6AAB"/>
    <w:rsid w:val="004373CE"/>
    <w:rsid w:val="004376AC"/>
    <w:rsid w:val="00437A6A"/>
    <w:rsid w:val="00437C43"/>
    <w:rsid w:val="004405FE"/>
    <w:rsid w:val="00440CED"/>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A50"/>
    <w:rsid w:val="00481E5B"/>
    <w:rsid w:val="004824F1"/>
    <w:rsid w:val="00482D1E"/>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3719"/>
    <w:rsid w:val="004B3932"/>
    <w:rsid w:val="004B443D"/>
    <w:rsid w:val="004B4EEA"/>
    <w:rsid w:val="004B511E"/>
    <w:rsid w:val="004B5215"/>
    <w:rsid w:val="004B5339"/>
    <w:rsid w:val="004B5C41"/>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4D73"/>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7C"/>
    <w:rsid w:val="004D3684"/>
    <w:rsid w:val="004D478A"/>
    <w:rsid w:val="004D4A0E"/>
    <w:rsid w:val="004D5340"/>
    <w:rsid w:val="004D5B9A"/>
    <w:rsid w:val="004D5D1A"/>
    <w:rsid w:val="004D5F74"/>
    <w:rsid w:val="004D662B"/>
    <w:rsid w:val="004D682C"/>
    <w:rsid w:val="004D6B25"/>
    <w:rsid w:val="004D6CEE"/>
    <w:rsid w:val="004D6E0D"/>
    <w:rsid w:val="004D71D6"/>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05C"/>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6B1"/>
    <w:rsid w:val="0052574C"/>
    <w:rsid w:val="00526797"/>
    <w:rsid w:val="00527143"/>
    <w:rsid w:val="0052730B"/>
    <w:rsid w:val="00527A61"/>
    <w:rsid w:val="0053068C"/>
    <w:rsid w:val="00530827"/>
    <w:rsid w:val="00530D7F"/>
    <w:rsid w:val="00531145"/>
    <w:rsid w:val="00531E00"/>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4D2"/>
    <w:rsid w:val="00545869"/>
    <w:rsid w:val="0054627E"/>
    <w:rsid w:val="005466EA"/>
    <w:rsid w:val="00546B56"/>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C0E"/>
    <w:rsid w:val="00555DFD"/>
    <w:rsid w:val="005562D5"/>
    <w:rsid w:val="005564CF"/>
    <w:rsid w:val="0055668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9A5"/>
    <w:rsid w:val="00563CD6"/>
    <w:rsid w:val="00563DCD"/>
    <w:rsid w:val="00563EC6"/>
    <w:rsid w:val="00564003"/>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0C6F"/>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6CC0"/>
    <w:rsid w:val="005C729C"/>
    <w:rsid w:val="005C7490"/>
    <w:rsid w:val="005C785D"/>
    <w:rsid w:val="005C7D84"/>
    <w:rsid w:val="005D0E4E"/>
    <w:rsid w:val="005D22AE"/>
    <w:rsid w:val="005D2B9B"/>
    <w:rsid w:val="005D31B5"/>
    <w:rsid w:val="005D3573"/>
    <w:rsid w:val="005D35C6"/>
    <w:rsid w:val="005D3918"/>
    <w:rsid w:val="005D3B17"/>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6CE3"/>
    <w:rsid w:val="00637E2D"/>
    <w:rsid w:val="006400E2"/>
    <w:rsid w:val="00640195"/>
    <w:rsid w:val="006405BD"/>
    <w:rsid w:val="006414BA"/>
    <w:rsid w:val="00641A21"/>
    <w:rsid w:val="00641BFB"/>
    <w:rsid w:val="006423FB"/>
    <w:rsid w:val="0064281D"/>
    <w:rsid w:val="00642F66"/>
    <w:rsid w:val="00643159"/>
    <w:rsid w:val="00643243"/>
    <w:rsid w:val="0064456A"/>
    <w:rsid w:val="00644601"/>
    <w:rsid w:val="006446AD"/>
    <w:rsid w:val="00644AA8"/>
    <w:rsid w:val="00644C8C"/>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814"/>
    <w:rsid w:val="00662E1C"/>
    <w:rsid w:val="0066314F"/>
    <w:rsid w:val="00663594"/>
    <w:rsid w:val="00663605"/>
    <w:rsid w:val="00664186"/>
    <w:rsid w:val="006643B2"/>
    <w:rsid w:val="006646AC"/>
    <w:rsid w:val="006661AD"/>
    <w:rsid w:val="0066656E"/>
    <w:rsid w:val="00666619"/>
    <w:rsid w:val="00666DF7"/>
    <w:rsid w:val="006670FC"/>
    <w:rsid w:val="00667D9A"/>
    <w:rsid w:val="00667DEB"/>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5CA"/>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59F1"/>
    <w:rsid w:val="006D67E6"/>
    <w:rsid w:val="006D6FCB"/>
    <w:rsid w:val="006D776D"/>
    <w:rsid w:val="006E01CA"/>
    <w:rsid w:val="006E117B"/>
    <w:rsid w:val="006E1952"/>
    <w:rsid w:val="006E19BC"/>
    <w:rsid w:val="006E22E3"/>
    <w:rsid w:val="006E2D73"/>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2E4"/>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64E7"/>
    <w:rsid w:val="007476F1"/>
    <w:rsid w:val="00747753"/>
    <w:rsid w:val="00747FA7"/>
    <w:rsid w:val="007509D5"/>
    <w:rsid w:val="00750B1D"/>
    <w:rsid w:val="00750D5C"/>
    <w:rsid w:val="00751702"/>
    <w:rsid w:val="00751A05"/>
    <w:rsid w:val="0075222E"/>
    <w:rsid w:val="007525E1"/>
    <w:rsid w:val="00752631"/>
    <w:rsid w:val="00752FC3"/>
    <w:rsid w:val="007536C4"/>
    <w:rsid w:val="00753A64"/>
    <w:rsid w:val="00753EFA"/>
    <w:rsid w:val="00754526"/>
    <w:rsid w:val="007545D3"/>
    <w:rsid w:val="007546AA"/>
    <w:rsid w:val="0075544F"/>
    <w:rsid w:val="00755806"/>
    <w:rsid w:val="00755F96"/>
    <w:rsid w:val="00756147"/>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B03"/>
    <w:rsid w:val="00777502"/>
    <w:rsid w:val="00777BD0"/>
    <w:rsid w:val="00780251"/>
    <w:rsid w:val="007802E3"/>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0504"/>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26C"/>
    <w:rsid w:val="00841C5A"/>
    <w:rsid w:val="00841F85"/>
    <w:rsid w:val="008424C3"/>
    <w:rsid w:val="00842544"/>
    <w:rsid w:val="008425A1"/>
    <w:rsid w:val="00843C3B"/>
    <w:rsid w:val="00843C45"/>
    <w:rsid w:val="008443CC"/>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6ECE"/>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253A"/>
    <w:rsid w:val="00872692"/>
    <w:rsid w:val="008728CE"/>
    <w:rsid w:val="0087361E"/>
    <w:rsid w:val="0087438B"/>
    <w:rsid w:val="00874ED3"/>
    <w:rsid w:val="00875196"/>
    <w:rsid w:val="008751D0"/>
    <w:rsid w:val="00875B7B"/>
    <w:rsid w:val="00875C5F"/>
    <w:rsid w:val="00875DD2"/>
    <w:rsid w:val="00876369"/>
    <w:rsid w:val="008772A4"/>
    <w:rsid w:val="008778FC"/>
    <w:rsid w:val="00877AE3"/>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3FB1"/>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0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669"/>
    <w:rsid w:val="008D5749"/>
    <w:rsid w:val="008D5FF8"/>
    <w:rsid w:val="008D62B7"/>
    <w:rsid w:val="008D651F"/>
    <w:rsid w:val="008D6CD2"/>
    <w:rsid w:val="008D7363"/>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497F"/>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BAC"/>
    <w:rsid w:val="00935E86"/>
    <w:rsid w:val="00937FD9"/>
    <w:rsid w:val="00940721"/>
    <w:rsid w:val="009407A5"/>
    <w:rsid w:val="00940E1E"/>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960"/>
    <w:rsid w:val="00953D7B"/>
    <w:rsid w:val="00954797"/>
    <w:rsid w:val="00954A2C"/>
    <w:rsid w:val="00956569"/>
    <w:rsid w:val="00956B6F"/>
    <w:rsid w:val="00956DEC"/>
    <w:rsid w:val="00957A5E"/>
    <w:rsid w:val="0096027B"/>
    <w:rsid w:val="0096084D"/>
    <w:rsid w:val="00960881"/>
    <w:rsid w:val="00962566"/>
    <w:rsid w:val="009635EC"/>
    <w:rsid w:val="00963AE9"/>
    <w:rsid w:val="00963FC8"/>
    <w:rsid w:val="00964443"/>
    <w:rsid w:val="00964760"/>
    <w:rsid w:val="00965611"/>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883"/>
    <w:rsid w:val="009D15B4"/>
    <w:rsid w:val="009D1836"/>
    <w:rsid w:val="009D185E"/>
    <w:rsid w:val="009D22D2"/>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2B4"/>
    <w:rsid w:val="00A403C5"/>
    <w:rsid w:val="00A40C67"/>
    <w:rsid w:val="00A40F2C"/>
    <w:rsid w:val="00A410E8"/>
    <w:rsid w:val="00A41A6B"/>
    <w:rsid w:val="00A41A79"/>
    <w:rsid w:val="00A41CBF"/>
    <w:rsid w:val="00A42287"/>
    <w:rsid w:val="00A42D95"/>
    <w:rsid w:val="00A430D8"/>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479A"/>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C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CCC"/>
    <w:rsid w:val="00AA5F05"/>
    <w:rsid w:val="00AA63C4"/>
    <w:rsid w:val="00AA748E"/>
    <w:rsid w:val="00AA76AD"/>
    <w:rsid w:val="00AA7893"/>
    <w:rsid w:val="00AA7B1B"/>
    <w:rsid w:val="00AB01DB"/>
    <w:rsid w:val="00AB128F"/>
    <w:rsid w:val="00AB17D5"/>
    <w:rsid w:val="00AB1FC9"/>
    <w:rsid w:val="00AB2CF1"/>
    <w:rsid w:val="00AB31D7"/>
    <w:rsid w:val="00AB3318"/>
    <w:rsid w:val="00AB3B18"/>
    <w:rsid w:val="00AB3C40"/>
    <w:rsid w:val="00AB40BF"/>
    <w:rsid w:val="00AB4180"/>
    <w:rsid w:val="00AB4325"/>
    <w:rsid w:val="00AB45E5"/>
    <w:rsid w:val="00AB4893"/>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2F66"/>
    <w:rsid w:val="00AC3F8E"/>
    <w:rsid w:val="00AC4A38"/>
    <w:rsid w:val="00AC4D3A"/>
    <w:rsid w:val="00AC4DB8"/>
    <w:rsid w:val="00AC59F4"/>
    <w:rsid w:val="00AC5BD4"/>
    <w:rsid w:val="00AC5DBB"/>
    <w:rsid w:val="00AC5EBB"/>
    <w:rsid w:val="00AC6294"/>
    <w:rsid w:val="00AC6A56"/>
    <w:rsid w:val="00AC6E3A"/>
    <w:rsid w:val="00AC717B"/>
    <w:rsid w:val="00AC71CB"/>
    <w:rsid w:val="00AC72DF"/>
    <w:rsid w:val="00AC7E2C"/>
    <w:rsid w:val="00AD0D83"/>
    <w:rsid w:val="00AD0ED5"/>
    <w:rsid w:val="00AD0F2E"/>
    <w:rsid w:val="00AD0F45"/>
    <w:rsid w:val="00AD27B0"/>
    <w:rsid w:val="00AD2FDE"/>
    <w:rsid w:val="00AD3204"/>
    <w:rsid w:val="00AD41E7"/>
    <w:rsid w:val="00AD4848"/>
    <w:rsid w:val="00AD4EB8"/>
    <w:rsid w:val="00AD5084"/>
    <w:rsid w:val="00AD5A90"/>
    <w:rsid w:val="00AD5AAC"/>
    <w:rsid w:val="00AD6013"/>
    <w:rsid w:val="00AD73C6"/>
    <w:rsid w:val="00AE01D2"/>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9AA"/>
    <w:rsid w:val="00AF237C"/>
    <w:rsid w:val="00AF284E"/>
    <w:rsid w:val="00AF299E"/>
    <w:rsid w:val="00AF370F"/>
    <w:rsid w:val="00AF3C7D"/>
    <w:rsid w:val="00AF3D91"/>
    <w:rsid w:val="00AF3E71"/>
    <w:rsid w:val="00AF3FC0"/>
    <w:rsid w:val="00AF494E"/>
    <w:rsid w:val="00AF49AE"/>
    <w:rsid w:val="00AF4EBB"/>
    <w:rsid w:val="00AF5795"/>
    <w:rsid w:val="00AF59EB"/>
    <w:rsid w:val="00AF5EC1"/>
    <w:rsid w:val="00AF5F7C"/>
    <w:rsid w:val="00AF6633"/>
    <w:rsid w:val="00AF6D5B"/>
    <w:rsid w:val="00AF714E"/>
    <w:rsid w:val="00AF7C3A"/>
    <w:rsid w:val="00AF7F00"/>
    <w:rsid w:val="00AF7F7C"/>
    <w:rsid w:val="00B00F16"/>
    <w:rsid w:val="00B0313B"/>
    <w:rsid w:val="00B05043"/>
    <w:rsid w:val="00B05280"/>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63B0"/>
    <w:rsid w:val="00B36DDF"/>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992"/>
    <w:rsid w:val="00B47A6C"/>
    <w:rsid w:val="00B500BB"/>
    <w:rsid w:val="00B502E8"/>
    <w:rsid w:val="00B508BD"/>
    <w:rsid w:val="00B51054"/>
    <w:rsid w:val="00B510DF"/>
    <w:rsid w:val="00B51BD5"/>
    <w:rsid w:val="00B52225"/>
    <w:rsid w:val="00B526E6"/>
    <w:rsid w:val="00B5275C"/>
    <w:rsid w:val="00B529D2"/>
    <w:rsid w:val="00B53536"/>
    <w:rsid w:val="00B535C7"/>
    <w:rsid w:val="00B540B1"/>
    <w:rsid w:val="00B54404"/>
    <w:rsid w:val="00B548B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A8E"/>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498"/>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4717"/>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893"/>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2CDB"/>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E7F"/>
    <w:rsid w:val="00CB29ED"/>
    <w:rsid w:val="00CB3335"/>
    <w:rsid w:val="00CB4838"/>
    <w:rsid w:val="00CB4E79"/>
    <w:rsid w:val="00CB5560"/>
    <w:rsid w:val="00CB5754"/>
    <w:rsid w:val="00CB6DD3"/>
    <w:rsid w:val="00CC085F"/>
    <w:rsid w:val="00CC12A8"/>
    <w:rsid w:val="00CC1828"/>
    <w:rsid w:val="00CC1B03"/>
    <w:rsid w:val="00CC20B3"/>
    <w:rsid w:val="00CC295E"/>
    <w:rsid w:val="00CC2E08"/>
    <w:rsid w:val="00CC30AC"/>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4EB6"/>
    <w:rsid w:val="00CD54D7"/>
    <w:rsid w:val="00CD5571"/>
    <w:rsid w:val="00CD5808"/>
    <w:rsid w:val="00CD58BE"/>
    <w:rsid w:val="00CD5BBF"/>
    <w:rsid w:val="00CD6614"/>
    <w:rsid w:val="00CD6CF9"/>
    <w:rsid w:val="00CD75FC"/>
    <w:rsid w:val="00CD7722"/>
    <w:rsid w:val="00CD797B"/>
    <w:rsid w:val="00CD7D11"/>
    <w:rsid w:val="00CE03B9"/>
    <w:rsid w:val="00CE0C20"/>
    <w:rsid w:val="00CE23AC"/>
    <w:rsid w:val="00CE2471"/>
    <w:rsid w:val="00CE28FA"/>
    <w:rsid w:val="00CE290F"/>
    <w:rsid w:val="00CE360E"/>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70E"/>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D07"/>
    <w:rsid w:val="00D80FA6"/>
    <w:rsid w:val="00D814F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82"/>
    <w:rsid w:val="00DD647B"/>
    <w:rsid w:val="00DD6FD5"/>
    <w:rsid w:val="00DD76D5"/>
    <w:rsid w:val="00DE06A7"/>
    <w:rsid w:val="00DE07DB"/>
    <w:rsid w:val="00DE0E4C"/>
    <w:rsid w:val="00DE1841"/>
    <w:rsid w:val="00DE273B"/>
    <w:rsid w:val="00DE3084"/>
    <w:rsid w:val="00DE34F7"/>
    <w:rsid w:val="00DE396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7D9"/>
    <w:rsid w:val="00E06A37"/>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C3"/>
    <w:rsid w:val="00E95F71"/>
    <w:rsid w:val="00E96145"/>
    <w:rsid w:val="00E96BA6"/>
    <w:rsid w:val="00E97124"/>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482"/>
    <w:rsid w:val="00EC4BE4"/>
    <w:rsid w:val="00EC5342"/>
    <w:rsid w:val="00EC53B2"/>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4911"/>
    <w:rsid w:val="00F054F1"/>
    <w:rsid w:val="00F05743"/>
    <w:rsid w:val="00F05847"/>
    <w:rsid w:val="00F05AD4"/>
    <w:rsid w:val="00F06123"/>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16"/>
    <w:rsid w:val="00F515A8"/>
    <w:rsid w:val="00F51929"/>
    <w:rsid w:val="00F51AB8"/>
    <w:rsid w:val="00F5223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876"/>
    <w:rsid w:val="00FA478B"/>
    <w:rsid w:val="00FA602E"/>
    <w:rsid w:val="00FA6135"/>
    <w:rsid w:val="00FA6C53"/>
    <w:rsid w:val="00FA6E2A"/>
    <w:rsid w:val="00FA7B7E"/>
    <w:rsid w:val="00FA7B84"/>
    <w:rsid w:val="00FA7C80"/>
    <w:rsid w:val="00FB122A"/>
    <w:rsid w:val="00FB1B6A"/>
    <w:rsid w:val="00FB1B90"/>
    <w:rsid w:val="00FB2F43"/>
    <w:rsid w:val="00FB3558"/>
    <w:rsid w:val="00FB3E06"/>
    <w:rsid w:val="00FB456D"/>
    <w:rsid w:val="00FB45C8"/>
    <w:rsid w:val="00FB4C80"/>
    <w:rsid w:val="00FB5C67"/>
    <w:rsid w:val="00FB6A7D"/>
    <w:rsid w:val="00FC0290"/>
    <w:rsid w:val="00FC0A79"/>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62"/>
    <w:rsid w:val="00FD2E97"/>
    <w:rsid w:val="00FD37AD"/>
    <w:rsid w:val="00FD3CCE"/>
    <w:rsid w:val="00FD4FA8"/>
    <w:rsid w:val="00FD57C3"/>
    <w:rsid w:val="00FD5E1D"/>
    <w:rsid w:val="00FD6056"/>
    <w:rsid w:val="00FD6AEA"/>
    <w:rsid w:val="00FD6E0B"/>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527E"/>
    <w:rsid w:val="00FE6AFA"/>
    <w:rsid w:val="00FE722B"/>
    <w:rsid w:val="00FE77FB"/>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B57817F-8C36-4A68-87C5-FD79698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C2F8B-8589-45FF-B59E-F7D89B01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1710</Words>
  <Characters>9750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kyuseok</cp:lastModifiedBy>
  <cp:revision>13</cp:revision>
  <cp:lastPrinted>2019-08-16T06:32:00Z</cp:lastPrinted>
  <dcterms:created xsi:type="dcterms:W3CDTF">2021-04-05T09:43:00Z</dcterms:created>
  <dcterms:modified xsi:type="dcterms:W3CDTF">2021-04-06T05:09:00Z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