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1DC9C4A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7179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WG1#10</w:t>
      </w:r>
      <w:r w:rsidR="00C90627">
        <w:rPr>
          <w:rFonts w:ascii="Arial" w:hAnsi="Arial" w:cs="Arial"/>
          <w:b/>
          <w:noProof/>
          <w:kern w:val="2"/>
          <w:lang w:eastAsia="zh-CN"/>
        </w:rPr>
        <w:t>4</w:t>
      </w:r>
      <w:r w:rsidR="00AD6141">
        <w:rPr>
          <w:rFonts w:ascii="Arial" w:hAnsi="Arial" w:cs="Arial"/>
          <w:b/>
          <w:noProof/>
          <w:kern w:val="2"/>
          <w:lang w:eastAsia="zh-CN"/>
        </w:rPr>
        <w:t>b</w:t>
      </w:r>
      <w:r w:rsidR="00A259AC">
        <w:rPr>
          <w:rFonts w:ascii="Arial" w:hAnsi="Arial" w:cs="Arial"/>
          <w:b/>
          <w:noProof/>
          <w:kern w:val="2"/>
          <w:lang w:eastAsia="zh-CN"/>
        </w:rPr>
        <w:t>-e</w:t>
      </w:r>
      <w:r w:rsidR="00972929" w:rsidRPr="00D74B92">
        <w:rPr>
          <w:rFonts w:ascii="Arial" w:hAnsi="Arial" w:cs="Arial"/>
          <w:b/>
          <w:kern w:val="2"/>
          <w:lang w:eastAsia="zh-CN"/>
        </w:rPr>
        <w:tab/>
      </w:r>
      <w:r w:rsidR="00A0647D" w:rsidRPr="00A0647D">
        <w:rPr>
          <w:rFonts w:ascii="Arial" w:hAnsi="Arial" w:cs="Arial"/>
          <w:b/>
          <w:kern w:val="2"/>
          <w:lang w:eastAsia="zh-CN"/>
        </w:rPr>
        <w:t>R1-2102778</w:t>
      </w:r>
    </w:p>
    <w:p w14:paraId="2A9D85E6" w14:textId="54888C15"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AD6141">
        <w:rPr>
          <w:rFonts w:ascii="Arial" w:hAnsi="Arial" w:cs="Arial"/>
          <w:b/>
          <w:kern w:val="2"/>
          <w:lang w:eastAsia="zh-CN"/>
        </w:rPr>
        <w:t>April</w:t>
      </w:r>
      <w:r w:rsidRPr="000F75A1">
        <w:rPr>
          <w:rFonts w:ascii="Arial" w:hAnsi="Arial" w:cs="Arial"/>
          <w:b/>
          <w:kern w:val="2"/>
          <w:lang w:eastAsia="zh-CN"/>
        </w:rPr>
        <w:t xml:space="preserve"> </w:t>
      </w:r>
      <w:r w:rsidR="00AD6141">
        <w:rPr>
          <w:rFonts w:ascii="Arial" w:hAnsi="Arial" w:cs="Arial"/>
          <w:b/>
          <w:kern w:val="2"/>
          <w:lang w:eastAsia="zh-CN"/>
        </w:rPr>
        <w:t>12</w:t>
      </w:r>
      <w:r w:rsidRPr="000F75A1">
        <w:rPr>
          <w:rFonts w:ascii="Arial" w:hAnsi="Arial" w:cs="Arial"/>
          <w:b/>
          <w:kern w:val="2"/>
          <w:lang w:eastAsia="zh-CN"/>
        </w:rPr>
        <w:t xml:space="preserve"> – </w:t>
      </w:r>
      <w:r w:rsidR="00AD6141">
        <w:rPr>
          <w:rFonts w:ascii="Arial" w:hAnsi="Arial" w:cs="Arial"/>
          <w:b/>
          <w:kern w:val="2"/>
          <w:lang w:eastAsia="zh-CN"/>
        </w:rPr>
        <w:t>20</w:t>
      </w:r>
      <w:r w:rsidRPr="000F75A1">
        <w:rPr>
          <w:rFonts w:ascii="Arial" w:hAnsi="Arial" w:cs="Arial"/>
          <w:b/>
          <w:kern w:val="2"/>
          <w:lang w:eastAsia="zh-CN"/>
        </w:rPr>
        <w:t>, 202</w:t>
      </w:r>
      <w:r w:rsidR="00C90627">
        <w:rPr>
          <w:rFonts w:ascii="Arial" w:hAnsi="Arial" w:cs="Arial"/>
          <w:b/>
          <w:kern w:val="2"/>
          <w:lang w:eastAsia="zh-CN"/>
        </w:rPr>
        <w:t>1</w:t>
      </w:r>
    </w:p>
    <w:p w14:paraId="7826937B" w14:textId="735DE7A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.1</w:t>
      </w:r>
      <w:r w:rsidR="00B413E2">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49D4709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74B" w:rsidRPr="00C4274B">
        <w:rPr>
          <w:rFonts w:ascii="Arial" w:hAnsi="Arial" w:cs="Arial"/>
          <w:b/>
          <w:lang w:eastAsia="zh-CN"/>
        </w:rPr>
        <w:t>Bandwidth reduction for RedCap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180DD1D" w14:textId="4FBCD335" w:rsidR="00B64B78" w:rsidRDefault="00B64B78" w:rsidP="00B64B78">
      <w:pPr>
        <w:rPr>
          <w:rFonts w:eastAsia="Yu Mincho"/>
          <w:bCs/>
          <w:iCs/>
          <w:lang w:eastAsia="ja-JP"/>
        </w:rPr>
      </w:pPr>
      <w:r>
        <w:t xml:space="preserve">The 3GPP Rel-17 work item for </w:t>
      </w:r>
      <w:r w:rsidRPr="00276D8B">
        <w:t xml:space="preserve">reduced capability </w:t>
      </w:r>
      <w:r>
        <w:t xml:space="preserve">(RedCap) devices was revised in </w:t>
      </w:r>
      <w:r>
        <w:fldChar w:fldCharType="begin"/>
      </w:r>
      <w:r>
        <w:instrText xml:space="preserve"> REF _Ref60902124 \r \h </w:instrText>
      </w:r>
      <w:r>
        <w:fldChar w:fldCharType="separate"/>
      </w:r>
      <w:r w:rsidR="004F7156">
        <w:t>[1]</w:t>
      </w:r>
      <w:r>
        <w:fldChar w:fldCharType="end"/>
      </w:r>
      <w:r>
        <w:rPr>
          <w:rFonts w:eastAsia="Yu Mincho"/>
          <w:bCs/>
          <w:iCs/>
          <w:lang w:eastAsia="ja-JP"/>
        </w:rPr>
        <w:t>. Among the objectives, the scope of this WI includes specifying</w:t>
      </w:r>
      <w:r w:rsidRPr="00276D8B">
        <w:t xml:space="preserve"> </w:t>
      </w:r>
      <w:r w:rsidRPr="00276D8B">
        <w:rPr>
          <w:rFonts w:eastAsia="Yu Mincho"/>
          <w:bCs/>
          <w:iCs/>
          <w:lang w:eastAsia="ja-JP"/>
        </w:rPr>
        <w:t xml:space="preserve">support for </w:t>
      </w:r>
      <w:r>
        <w:rPr>
          <w:rFonts w:eastAsia="Yu Mincho"/>
          <w:bCs/>
          <w:iCs/>
          <w:lang w:eastAsia="ja-JP"/>
        </w:rPr>
        <w:t>five</w:t>
      </w:r>
      <w:r w:rsidRPr="00276D8B">
        <w:rPr>
          <w:rFonts w:eastAsia="Yu Mincho"/>
          <w:bCs/>
          <w:iCs/>
          <w:lang w:eastAsia="ja-JP"/>
        </w:rPr>
        <w:t xml:space="preserve"> UE complexity reduction features</w:t>
      </w:r>
      <w:r>
        <w:rPr>
          <w:rFonts w:eastAsia="Yu Mincho"/>
          <w:bCs/>
          <w:iCs/>
          <w:lang w:eastAsia="ja-JP"/>
        </w:rPr>
        <w:t xml:space="preserve"> (reduced maximum bandwidth, reduced minimum number of Rx branches, maximum number of DL MIMO layers, relaxed maximum modulation order, and half duplex operation). </w:t>
      </w:r>
    </w:p>
    <w:p w14:paraId="47AF59CE" w14:textId="77777777" w:rsidR="00B64B78" w:rsidRPr="00114C8C" w:rsidRDefault="00B64B78" w:rsidP="00B64B78">
      <w:pPr>
        <w:rPr>
          <w:rFonts w:eastAsia="Yu Mincho"/>
          <w:bCs/>
          <w:iCs/>
          <w:lang w:eastAsia="ja-JP"/>
        </w:rPr>
      </w:pPr>
      <w:r>
        <w:rPr>
          <w:rFonts w:eastAsia="Yu Mincho"/>
          <w:bCs/>
          <w:iCs/>
          <w:lang w:eastAsia="ja-JP"/>
        </w:rPr>
        <w:t>In RAN1#104, several agreements for the complexity reduction features were made as well as listing many open issues. In this contribution, discussions and proposals based on the agreements and open issues are provided for the bandwidth reduction feature. Based on the agreements from the RAN1#104 meeting, this contribution shows how a RedCap UE can perform initial access when bandwidth of the initial RedCap BWP is no larger than the maximum RedCap UE bandwidth.</w:t>
      </w:r>
    </w:p>
    <w:p w14:paraId="38A7F13E" w14:textId="767A89FB" w:rsidR="00D05F0A" w:rsidRDefault="00087F03" w:rsidP="00260236">
      <w:pPr>
        <w:pStyle w:val="Heading1"/>
      </w:pPr>
      <w:r>
        <w:t>Discussion</w:t>
      </w:r>
    </w:p>
    <w:p w14:paraId="33368A8A" w14:textId="76AC4131" w:rsidR="00B64B78" w:rsidRDefault="00B64B78" w:rsidP="00B64B78">
      <w:r>
        <w:t xml:space="preserve">In RAN1#104, several agreements regarding initial access and reduced UE bandwidth were reached and are presented below </w:t>
      </w:r>
      <w:r>
        <w:fldChar w:fldCharType="begin"/>
      </w:r>
      <w:r>
        <w:instrText xml:space="preserve"> REF _Ref65593867 \r \h </w:instrText>
      </w:r>
      <w:r>
        <w:fldChar w:fldCharType="separate"/>
      </w:r>
      <w:r w:rsidR="004F7156">
        <w:t>[2]</w:t>
      </w:r>
      <w:r>
        <w:fldChar w:fldCharType="end"/>
      </w:r>
      <w:r>
        <w:t xml:space="preserve">. The primary focus is to expand upon the first agreements below. Based on analysis provided in this section, the agreements are sufficient to make significant progress on the bandwidth reduction feature. The grey-out bullets are the FFS and will be discussed in the following section. </w:t>
      </w:r>
    </w:p>
    <w:tbl>
      <w:tblPr>
        <w:tblStyle w:val="TableGrid"/>
        <w:tblW w:w="0" w:type="auto"/>
        <w:tblLook w:val="04A0" w:firstRow="1" w:lastRow="0" w:firstColumn="1" w:lastColumn="0" w:noHBand="0" w:noVBand="1"/>
      </w:tblPr>
      <w:tblGrid>
        <w:gridCol w:w="9307"/>
      </w:tblGrid>
      <w:tr w:rsidR="003457AB" w:rsidRPr="00934720" w14:paraId="22BCB283" w14:textId="77777777" w:rsidTr="00920BCF">
        <w:tc>
          <w:tcPr>
            <w:tcW w:w="9350" w:type="dxa"/>
          </w:tcPr>
          <w:p w14:paraId="7A345EB7" w14:textId="77777777" w:rsidR="003457AB" w:rsidRPr="00934720" w:rsidRDefault="003457AB" w:rsidP="00A2126F">
            <w:pPr>
              <w:numPr>
                <w:ilvl w:val="0"/>
                <w:numId w:val="23"/>
              </w:numPr>
              <w:autoSpaceDE/>
              <w:autoSpaceDN/>
              <w:adjustRightInd/>
              <w:snapToGrid/>
              <w:contextualSpacing/>
              <w:jc w:val="left"/>
              <w:rPr>
                <w:rFonts w:eastAsia="Times New Roman"/>
                <w:sz w:val="18"/>
                <w:szCs w:val="20"/>
              </w:rPr>
            </w:pPr>
            <w:r w:rsidRPr="00934720">
              <w:rPr>
                <w:rFonts w:eastAsia="Times New Roman"/>
                <w:sz w:val="18"/>
                <w:szCs w:val="20"/>
              </w:rPr>
              <w:t>Sharing of the same SSB and CORESET#0 between RedCap and non-RedCap UEs is supported when the bandwidth is no wider than the RedCap UE bandwidth</w:t>
            </w:r>
          </w:p>
          <w:p w14:paraId="462288CB" w14:textId="77777777" w:rsidR="003457AB" w:rsidRPr="00934720" w:rsidRDefault="003457AB" w:rsidP="00A2126F">
            <w:pPr>
              <w:numPr>
                <w:ilvl w:val="0"/>
                <w:numId w:val="23"/>
              </w:numPr>
              <w:autoSpaceDE/>
              <w:autoSpaceDN/>
              <w:adjustRightInd/>
              <w:snapToGrid/>
              <w:contextualSpacing/>
              <w:jc w:val="left"/>
              <w:rPr>
                <w:rFonts w:eastAsia="Times New Roman"/>
                <w:sz w:val="18"/>
                <w:szCs w:val="20"/>
              </w:rPr>
            </w:pPr>
            <w:r w:rsidRPr="00934720">
              <w:rPr>
                <w:rFonts w:eastAsia="Times New Roman"/>
                <w:sz w:val="18"/>
                <w:szCs w:val="20"/>
              </w:rPr>
              <w:t>The initial DL BWP (derived based on MIB/SIB) for RedCap UEs can be the same as the initial DL BWP for non-RedCap UEs at least when the initial DL BWP is no wider than the RedCap UE bandwidth.</w:t>
            </w:r>
          </w:p>
          <w:p w14:paraId="35E6A665" w14:textId="77777777" w:rsidR="003457AB" w:rsidRPr="006E3E10" w:rsidRDefault="003457AB" w:rsidP="001D5468">
            <w:pPr>
              <w:numPr>
                <w:ilvl w:val="1"/>
                <w:numId w:val="23"/>
              </w:numPr>
              <w:autoSpaceDE/>
              <w:autoSpaceDN/>
              <w:adjustRightInd/>
              <w:snapToGrid/>
              <w:spacing w:line="259" w:lineRule="auto"/>
              <w:contextualSpacing/>
              <w:jc w:val="left"/>
              <w:rPr>
                <w:rFonts w:eastAsia="Times New Roman"/>
                <w:color w:val="BFBFBF" w:themeColor="background1" w:themeShade="BF"/>
                <w:sz w:val="18"/>
                <w:szCs w:val="20"/>
              </w:rPr>
            </w:pPr>
            <w:r w:rsidRPr="006E3E10">
              <w:rPr>
                <w:rFonts w:eastAsia="Times New Roman"/>
                <w:color w:val="BFBFBF" w:themeColor="background1" w:themeShade="BF"/>
                <w:sz w:val="18"/>
                <w:szCs w:val="20"/>
              </w:rPr>
              <w:t xml:space="preserve">FFS: after initial access, whether a RedCap UE is allowed to operate with an initial DL BWP wider than the maximum RedCap UE bandwidth </w:t>
            </w:r>
          </w:p>
          <w:p w14:paraId="6C8A3194" w14:textId="77777777" w:rsidR="003457AB" w:rsidRPr="006E3E10" w:rsidRDefault="003457AB" w:rsidP="001D5468">
            <w:pPr>
              <w:numPr>
                <w:ilvl w:val="2"/>
                <w:numId w:val="23"/>
              </w:numPr>
              <w:autoSpaceDE/>
              <w:autoSpaceDN/>
              <w:adjustRightInd/>
              <w:snapToGrid/>
              <w:spacing w:line="259" w:lineRule="auto"/>
              <w:contextualSpacing/>
              <w:jc w:val="left"/>
              <w:rPr>
                <w:rFonts w:eastAsia="Times New Roman"/>
                <w:color w:val="BFBFBF" w:themeColor="background1" w:themeShade="BF"/>
                <w:sz w:val="18"/>
                <w:szCs w:val="20"/>
              </w:rPr>
            </w:pPr>
            <w:r w:rsidRPr="006E3E10">
              <w:rPr>
                <w:rFonts w:eastAsia="Times New Roman"/>
                <w:color w:val="BFBFBF" w:themeColor="background1" w:themeShade="BF"/>
                <w:sz w:val="18"/>
                <w:szCs w:val="20"/>
              </w:rPr>
              <w:t>Discuss further whether or not it is also applicable during initial access</w:t>
            </w:r>
          </w:p>
          <w:p w14:paraId="0C9CE026" w14:textId="77777777" w:rsidR="003457AB" w:rsidRPr="00934720" w:rsidRDefault="003457AB" w:rsidP="00A2126F">
            <w:pPr>
              <w:numPr>
                <w:ilvl w:val="0"/>
                <w:numId w:val="23"/>
              </w:numPr>
              <w:autoSpaceDE/>
              <w:autoSpaceDN/>
              <w:adjustRightInd/>
              <w:snapToGrid/>
              <w:contextualSpacing/>
              <w:jc w:val="left"/>
              <w:rPr>
                <w:rFonts w:eastAsia="Times New Roman"/>
                <w:sz w:val="18"/>
                <w:szCs w:val="20"/>
              </w:rPr>
            </w:pPr>
            <w:r w:rsidRPr="00934720">
              <w:rPr>
                <w:rFonts w:eastAsia="Times New Roman"/>
                <w:sz w:val="18"/>
                <w:szCs w:val="20"/>
              </w:rPr>
              <w:t>The initial UL BWP (derived based on SIB) for RedCap UEs can be the same as the initial UL BWP for non-RedCap UEs at least when the initial UL BWP is no wider than the RedCap UE bandwidth.</w:t>
            </w:r>
          </w:p>
          <w:p w14:paraId="794FBC23" w14:textId="77777777" w:rsidR="003457AB" w:rsidRPr="006E3E10" w:rsidRDefault="003457AB" w:rsidP="003457AB">
            <w:pPr>
              <w:numPr>
                <w:ilvl w:val="1"/>
                <w:numId w:val="23"/>
              </w:numPr>
              <w:autoSpaceDE/>
              <w:autoSpaceDN/>
              <w:adjustRightInd/>
              <w:snapToGrid/>
              <w:spacing w:after="0"/>
              <w:jc w:val="left"/>
              <w:rPr>
                <w:rFonts w:eastAsia="Times New Roman"/>
                <w:color w:val="BFBFBF" w:themeColor="background1" w:themeShade="BF"/>
                <w:sz w:val="18"/>
                <w:szCs w:val="20"/>
              </w:rPr>
            </w:pPr>
            <w:r w:rsidRPr="006E3E10">
              <w:rPr>
                <w:rFonts w:eastAsia="Times New Roman"/>
                <w:color w:val="BFBFBF" w:themeColor="background1" w:themeShade="BF"/>
                <w:sz w:val="18"/>
                <w:szCs w:val="20"/>
              </w:rPr>
              <w:t>FFS: during and after initial access, whether a RedCap UE is allowed to operate with an initial UL BWP wider than the maximum RedCap UE bandwidth</w:t>
            </w:r>
            <w:r w:rsidRPr="006E3E10">
              <w:rPr>
                <w:rFonts w:eastAsia="Times New Roman"/>
                <w:color w:val="BFBFBF" w:themeColor="background1" w:themeShade="BF"/>
                <w:sz w:val="18"/>
                <w:szCs w:val="20"/>
                <w:u w:val="single"/>
              </w:rPr>
              <w:t xml:space="preserve"> </w:t>
            </w:r>
          </w:p>
          <w:p w14:paraId="02F17C9C" w14:textId="70A058CF" w:rsidR="003457AB" w:rsidRPr="006E3E10" w:rsidRDefault="003457AB" w:rsidP="00A2126F">
            <w:pPr>
              <w:numPr>
                <w:ilvl w:val="0"/>
                <w:numId w:val="23"/>
              </w:numPr>
              <w:autoSpaceDE/>
              <w:autoSpaceDN/>
              <w:adjustRightInd/>
              <w:snapToGrid/>
              <w:contextualSpacing/>
              <w:jc w:val="left"/>
              <w:rPr>
                <w:rFonts w:eastAsia="Times New Roman"/>
                <w:color w:val="BFBFBF" w:themeColor="background1" w:themeShade="BF"/>
                <w:sz w:val="18"/>
                <w:szCs w:val="20"/>
              </w:rPr>
            </w:pPr>
            <w:r w:rsidRPr="006E3E10">
              <w:rPr>
                <w:rFonts w:eastAsia="Times New Roman"/>
                <w:color w:val="BFBFBF" w:themeColor="background1" w:themeShade="BF"/>
                <w:sz w:val="18"/>
                <w:szCs w:val="20"/>
              </w:rPr>
              <w:t>FFS whether or not to further introduce the following (e.g., for offloading purpose, for differentiation of RedCap vs. non RedCap UEs, for different BWP#0 configuration options, etc.)</w:t>
            </w:r>
          </w:p>
          <w:p w14:paraId="054623C0" w14:textId="48365B0C" w:rsidR="003457AB" w:rsidRPr="006E3E10" w:rsidRDefault="003457AB" w:rsidP="00A2126F">
            <w:pPr>
              <w:numPr>
                <w:ilvl w:val="0"/>
                <w:numId w:val="29"/>
              </w:numPr>
              <w:autoSpaceDE/>
              <w:autoSpaceDN/>
              <w:adjustRightInd/>
              <w:snapToGrid/>
              <w:ind w:left="1440"/>
              <w:contextualSpacing/>
              <w:jc w:val="left"/>
              <w:rPr>
                <w:color w:val="BFBFBF" w:themeColor="background1" w:themeShade="BF"/>
                <w:sz w:val="18"/>
                <w:szCs w:val="20"/>
              </w:rPr>
            </w:pPr>
            <w:r w:rsidRPr="006E3E10">
              <w:rPr>
                <w:color w:val="BFBFBF" w:themeColor="background1" w:themeShade="BF"/>
                <w:sz w:val="18"/>
                <w:szCs w:val="20"/>
              </w:rPr>
              <w:t>Whether an additional CORESET can be configured for scheduling of RACH (msg2 &amp; msg4)/Paging/SI messages for RedCap UEs</w:t>
            </w:r>
          </w:p>
          <w:p w14:paraId="6ED61D45" w14:textId="530FCC68" w:rsidR="003457AB" w:rsidRPr="006E3E10" w:rsidRDefault="003457AB" w:rsidP="00A2126F">
            <w:pPr>
              <w:numPr>
                <w:ilvl w:val="0"/>
                <w:numId w:val="29"/>
              </w:numPr>
              <w:autoSpaceDE/>
              <w:autoSpaceDN/>
              <w:adjustRightInd/>
              <w:snapToGrid/>
              <w:ind w:left="1440"/>
              <w:contextualSpacing/>
              <w:jc w:val="left"/>
              <w:rPr>
                <w:color w:val="BFBFBF" w:themeColor="background1" w:themeShade="BF"/>
                <w:sz w:val="18"/>
                <w:szCs w:val="20"/>
              </w:rPr>
            </w:pPr>
            <w:r w:rsidRPr="006E3E10">
              <w:rPr>
                <w:color w:val="BFBFBF" w:themeColor="background1" w:themeShade="BF"/>
                <w:sz w:val="18"/>
                <w:szCs w:val="20"/>
              </w:rPr>
              <w:t>Whether the SIB-configured initial DL BWP for RedCap UEs can also be configured to be different from the SIB-configured initial DL BWP for non-RedCap UEs.</w:t>
            </w:r>
          </w:p>
          <w:p w14:paraId="272DCA75" w14:textId="248AF413" w:rsidR="00C2776D" w:rsidRPr="006E3E10" w:rsidRDefault="003457AB" w:rsidP="00C2776D">
            <w:pPr>
              <w:numPr>
                <w:ilvl w:val="0"/>
                <w:numId w:val="29"/>
              </w:numPr>
              <w:autoSpaceDE/>
              <w:autoSpaceDN/>
              <w:adjustRightInd/>
              <w:snapToGrid/>
              <w:ind w:left="1440"/>
              <w:contextualSpacing/>
              <w:jc w:val="left"/>
              <w:rPr>
                <w:color w:val="BFBFBF" w:themeColor="background1" w:themeShade="BF"/>
                <w:sz w:val="18"/>
                <w:szCs w:val="20"/>
              </w:rPr>
            </w:pPr>
            <w:r w:rsidRPr="006E3E10">
              <w:rPr>
                <w:color w:val="BFBFBF" w:themeColor="background1" w:themeShade="BF"/>
                <w:sz w:val="18"/>
                <w:szCs w:val="20"/>
              </w:rPr>
              <w:t>Whether the SIB-configured initial UL BWP for RedCap UEs can also be configured to be different from the SIB-configured initial UL BWP for non-RedCap UEs.</w:t>
            </w:r>
          </w:p>
        </w:tc>
      </w:tr>
    </w:tbl>
    <w:p w14:paraId="3C19146C" w14:textId="67C932B4" w:rsidR="003457AB" w:rsidRDefault="003457AB" w:rsidP="003457AB"/>
    <w:p w14:paraId="440237AC" w14:textId="77777777" w:rsidR="00B64B78" w:rsidRDefault="00B64B78" w:rsidP="00B64B78">
      <w:r>
        <w:t xml:space="preserve">The agreements focus on the </w:t>
      </w:r>
      <w:r w:rsidRPr="00712840">
        <w:t xml:space="preserve">bandwidth </w:t>
      </w:r>
      <w:r>
        <w:t>being</w:t>
      </w:r>
      <w:r w:rsidRPr="00712840">
        <w:t xml:space="preserve"> no wider than the </w:t>
      </w:r>
      <w:r>
        <w:t>Redcap</w:t>
      </w:r>
      <w:r w:rsidRPr="00712840">
        <w:t xml:space="preserve"> UE bandwidth</w:t>
      </w:r>
      <w:r>
        <w:t xml:space="preserve">, </w:t>
      </w:r>
      <w:r w:rsidRPr="005C4670">
        <w:t>which can always be ensured by network configuration</w:t>
      </w:r>
      <w:r>
        <w:t>:</w:t>
      </w:r>
    </w:p>
    <w:p w14:paraId="241E9EFF" w14:textId="77777777" w:rsidR="00B64B78" w:rsidRPr="001E0853" w:rsidRDefault="00B64B78" w:rsidP="00B64B78">
      <w:pPr>
        <w:pStyle w:val="ListParagraph"/>
        <w:numPr>
          <w:ilvl w:val="0"/>
          <w:numId w:val="43"/>
        </w:numPr>
      </w:pPr>
      <w:r w:rsidRPr="001E0853">
        <w:rPr>
          <w:rFonts w:eastAsia="Times New Roman"/>
          <w:szCs w:val="24"/>
        </w:rPr>
        <w:t>Sharing of the same SSB and CORESET#0</w:t>
      </w:r>
    </w:p>
    <w:p w14:paraId="45C66A7D" w14:textId="77777777" w:rsidR="00B64B78" w:rsidRPr="001E0853" w:rsidRDefault="00B64B78" w:rsidP="00B64B78">
      <w:pPr>
        <w:pStyle w:val="ListParagraph"/>
        <w:numPr>
          <w:ilvl w:val="0"/>
          <w:numId w:val="43"/>
        </w:numPr>
      </w:pPr>
      <w:r>
        <w:rPr>
          <w:rFonts w:eastAsia="Times New Roman"/>
          <w:szCs w:val="24"/>
        </w:rPr>
        <w:t>The initial DL BWP</w:t>
      </w:r>
    </w:p>
    <w:p w14:paraId="67F00CAF" w14:textId="77777777" w:rsidR="00B64B78" w:rsidRDefault="00B64B78" w:rsidP="00B64B78">
      <w:pPr>
        <w:pStyle w:val="ListParagraph"/>
        <w:numPr>
          <w:ilvl w:val="0"/>
          <w:numId w:val="43"/>
        </w:numPr>
      </w:pPr>
      <w:r>
        <w:t xml:space="preserve">The </w:t>
      </w:r>
      <w:r w:rsidRPr="00712840">
        <w:t>initial UL BWP</w:t>
      </w:r>
    </w:p>
    <w:p w14:paraId="7F237627" w14:textId="77777777" w:rsidR="00B64B78" w:rsidRDefault="00B64B78" w:rsidP="00B64B78">
      <w:r>
        <w:t xml:space="preserve">With sharing supported and the initial BWPs for RedCap and non-RedCap UEs can be the same, we </w:t>
      </w:r>
      <w:r w:rsidRPr="00B31446">
        <w:t xml:space="preserve">check </w:t>
      </w:r>
      <w:r>
        <w:t xml:space="preserve">to see </w:t>
      </w:r>
      <w:r w:rsidRPr="00B31446">
        <w:t>whether any small specification changes are needed for system operation</w:t>
      </w:r>
      <w:r>
        <w:t>. For the most part, the examination and analysis are focused on FR1, but the approach is applicable for FR2.</w:t>
      </w:r>
    </w:p>
    <w:p w14:paraId="0D11E7C3" w14:textId="6B8FBD3F" w:rsidR="001F1D1C" w:rsidRDefault="001F1D1C" w:rsidP="00114C8C">
      <w:pPr>
        <w:pStyle w:val="Heading2"/>
      </w:pPr>
      <w:r>
        <w:lastRenderedPageBreak/>
        <w:t>Downlink</w:t>
      </w:r>
    </w:p>
    <w:p w14:paraId="379C3199" w14:textId="77777777" w:rsidR="00B64B78" w:rsidRPr="001F1D1C" w:rsidRDefault="00B64B78" w:rsidP="00B64B78">
      <w:r>
        <w:t>In general, most of the signals/channels are within a</w:t>
      </w:r>
      <w:r w:rsidRPr="001E0853">
        <w:t xml:space="preserve"> bandwidth </w:t>
      </w:r>
      <w:r>
        <w:t xml:space="preserve">that </w:t>
      </w:r>
      <w:r w:rsidRPr="001E0853">
        <w:t xml:space="preserve">is no wider than the </w:t>
      </w:r>
      <w:r>
        <w:t>Redcap</w:t>
      </w:r>
      <w:r w:rsidRPr="001E0853">
        <w:t xml:space="preserve"> UE bandwidth</w:t>
      </w:r>
      <w:r>
        <w:t>.</w:t>
      </w:r>
    </w:p>
    <w:p w14:paraId="7C343912" w14:textId="60C710FF" w:rsidR="00712840" w:rsidRDefault="001F1D1C" w:rsidP="00114C8C">
      <w:pPr>
        <w:pStyle w:val="Heading3"/>
      </w:pPr>
      <w:r>
        <w:t>SSB / CORESET#0</w:t>
      </w:r>
    </w:p>
    <w:p w14:paraId="35B644AC" w14:textId="050A1305" w:rsidR="00B64B78" w:rsidRDefault="00B64B78" w:rsidP="00B64B78">
      <w:r>
        <w:t>The SSB spans 20 RBs and is always less than 10 MHz in FR1. The following table determines the occupied bandwidth of the SSB (including the guardbands) as a function of channel bandwidth and SCS.</w:t>
      </w:r>
    </w:p>
    <w:p w14:paraId="2C754736" w14:textId="07F32945" w:rsidR="00B64B78" w:rsidRDefault="00B64B78" w:rsidP="00B64B78">
      <w:pPr>
        <w:pStyle w:val="Caption"/>
        <w:keepNext/>
      </w:pPr>
      <w:r>
        <w:t xml:space="preserve">Table </w:t>
      </w:r>
      <w:r w:rsidR="00084B66">
        <w:fldChar w:fldCharType="begin"/>
      </w:r>
      <w:r w:rsidR="00084B66">
        <w:instrText xml:space="preserve"> SEQ Table \* ARABIC </w:instrText>
      </w:r>
      <w:r w:rsidR="00084B66">
        <w:fldChar w:fldCharType="separate"/>
      </w:r>
      <w:r w:rsidR="004F7156">
        <w:rPr>
          <w:noProof/>
        </w:rPr>
        <w:t>1</w:t>
      </w:r>
      <w:r w:rsidR="00084B66">
        <w:rPr>
          <w:noProof/>
        </w:rPr>
        <w:fldChar w:fldCharType="end"/>
      </w:r>
      <w:r>
        <w:t>. Receive BW for SSB, FR1. The value of the guardband is obtained from 38.104.</w:t>
      </w:r>
    </w:p>
    <w:tbl>
      <w:tblPr>
        <w:tblStyle w:val="TableGrid"/>
        <w:tblW w:w="0" w:type="auto"/>
        <w:jc w:val="center"/>
        <w:tblLook w:val="04A0" w:firstRow="1" w:lastRow="0" w:firstColumn="1" w:lastColumn="0" w:noHBand="0" w:noVBand="1"/>
      </w:tblPr>
      <w:tblGrid>
        <w:gridCol w:w="855"/>
        <w:gridCol w:w="1584"/>
        <w:gridCol w:w="1584"/>
        <w:gridCol w:w="1584"/>
      </w:tblGrid>
      <w:tr w:rsidR="00B64B78" w14:paraId="156A3D39" w14:textId="77777777" w:rsidTr="00F63829">
        <w:trPr>
          <w:jc w:val="center"/>
        </w:trPr>
        <w:tc>
          <w:tcPr>
            <w:tcW w:w="855" w:type="dxa"/>
          </w:tcPr>
          <w:p w14:paraId="2A39BC75" w14:textId="77777777" w:rsidR="00B64B78" w:rsidRPr="001A5E47" w:rsidRDefault="00B64B78" w:rsidP="00F63829">
            <w:pPr>
              <w:pStyle w:val="TableCell0"/>
              <w:rPr>
                <w:sz w:val="16"/>
                <w:szCs w:val="16"/>
              </w:rPr>
            </w:pPr>
            <w:r w:rsidRPr="001A5E47">
              <w:rPr>
                <w:sz w:val="16"/>
                <w:szCs w:val="16"/>
              </w:rPr>
              <w:t>SCS, kHz</w:t>
            </w:r>
          </w:p>
        </w:tc>
        <w:tc>
          <w:tcPr>
            <w:tcW w:w="1584" w:type="dxa"/>
          </w:tcPr>
          <w:p w14:paraId="03FFA62E" w14:textId="77777777" w:rsidR="00B64B78" w:rsidRPr="001A5E47" w:rsidRDefault="00B64B78" w:rsidP="00F63829">
            <w:pPr>
              <w:pStyle w:val="TableCell0"/>
              <w:rPr>
                <w:sz w:val="16"/>
                <w:szCs w:val="16"/>
              </w:rPr>
            </w:pPr>
            <w:r>
              <w:rPr>
                <w:sz w:val="16"/>
                <w:szCs w:val="16"/>
              </w:rPr>
              <w:t>SSB BW in MHz for 5 MHz channel</w:t>
            </w:r>
          </w:p>
        </w:tc>
        <w:tc>
          <w:tcPr>
            <w:tcW w:w="1584" w:type="dxa"/>
          </w:tcPr>
          <w:p w14:paraId="0196E5BE" w14:textId="77777777" w:rsidR="00B64B78" w:rsidRPr="001A5E47" w:rsidRDefault="00B64B78" w:rsidP="00F63829">
            <w:pPr>
              <w:pStyle w:val="TableCell0"/>
              <w:rPr>
                <w:sz w:val="16"/>
                <w:szCs w:val="16"/>
              </w:rPr>
            </w:pPr>
            <w:r>
              <w:rPr>
                <w:sz w:val="16"/>
                <w:szCs w:val="16"/>
              </w:rPr>
              <w:t>SSB BW in MHz for 10 MHz channel</w:t>
            </w:r>
          </w:p>
        </w:tc>
        <w:tc>
          <w:tcPr>
            <w:tcW w:w="1584" w:type="dxa"/>
          </w:tcPr>
          <w:p w14:paraId="14F851E3" w14:textId="77777777" w:rsidR="00B64B78" w:rsidRPr="001A5E47" w:rsidRDefault="00B64B78" w:rsidP="00F63829">
            <w:pPr>
              <w:pStyle w:val="TableCell0"/>
              <w:rPr>
                <w:sz w:val="16"/>
                <w:szCs w:val="16"/>
              </w:rPr>
            </w:pPr>
            <w:r>
              <w:rPr>
                <w:sz w:val="16"/>
                <w:szCs w:val="16"/>
              </w:rPr>
              <w:t>SSB BW in MHz for 40 MHz channel</w:t>
            </w:r>
          </w:p>
        </w:tc>
      </w:tr>
      <w:tr w:rsidR="00B64B78" w14:paraId="0B6B8504" w14:textId="77777777" w:rsidTr="00F63829">
        <w:trPr>
          <w:jc w:val="center"/>
        </w:trPr>
        <w:tc>
          <w:tcPr>
            <w:tcW w:w="855" w:type="dxa"/>
          </w:tcPr>
          <w:p w14:paraId="27BB64D3" w14:textId="77777777" w:rsidR="00B64B78" w:rsidRPr="001A5E47" w:rsidRDefault="00B64B78" w:rsidP="00F63829">
            <w:pPr>
              <w:pStyle w:val="TableCell0"/>
              <w:rPr>
                <w:sz w:val="16"/>
                <w:szCs w:val="16"/>
              </w:rPr>
            </w:pPr>
            <w:r>
              <w:rPr>
                <w:sz w:val="16"/>
                <w:szCs w:val="16"/>
              </w:rPr>
              <w:t>15</w:t>
            </w:r>
          </w:p>
        </w:tc>
        <w:tc>
          <w:tcPr>
            <w:tcW w:w="1584" w:type="dxa"/>
          </w:tcPr>
          <w:p w14:paraId="5B17BBD2" w14:textId="77777777" w:rsidR="00B64B78" w:rsidRPr="001A5E47" w:rsidRDefault="00B64B78" w:rsidP="00F63829">
            <w:pPr>
              <w:pStyle w:val="TableCell0"/>
              <w:rPr>
                <w:sz w:val="16"/>
                <w:szCs w:val="16"/>
              </w:rPr>
            </w:pPr>
            <w:r>
              <w:rPr>
                <w:sz w:val="16"/>
                <w:szCs w:val="16"/>
              </w:rPr>
              <w:t>4.085</w:t>
            </w:r>
          </w:p>
        </w:tc>
        <w:tc>
          <w:tcPr>
            <w:tcW w:w="1584" w:type="dxa"/>
          </w:tcPr>
          <w:p w14:paraId="388D3C39" w14:textId="77777777" w:rsidR="00B64B78" w:rsidRPr="001A5E47" w:rsidRDefault="00B64B78" w:rsidP="00F63829">
            <w:pPr>
              <w:pStyle w:val="TableCell0"/>
              <w:rPr>
                <w:sz w:val="16"/>
                <w:szCs w:val="16"/>
              </w:rPr>
            </w:pPr>
            <w:r>
              <w:rPr>
                <w:sz w:val="16"/>
                <w:szCs w:val="16"/>
              </w:rPr>
              <w:t>4.225</w:t>
            </w:r>
          </w:p>
        </w:tc>
        <w:tc>
          <w:tcPr>
            <w:tcW w:w="1584" w:type="dxa"/>
          </w:tcPr>
          <w:p w14:paraId="1D4C1919" w14:textId="77777777" w:rsidR="00B64B78" w:rsidRPr="001A5E47" w:rsidRDefault="00B64B78" w:rsidP="00F63829">
            <w:pPr>
              <w:pStyle w:val="TableCell0"/>
              <w:rPr>
                <w:sz w:val="16"/>
                <w:szCs w:val="16"/>
              </w:rPr>
            </w:pPr>
          </w:p>
        </w:tc>
      </w:tr>
      <w:tr w:rsidR="00B64B78" w14:paraId="3C185550" w14:textId="77777777" w:rsidTr="00F63829">
        <w:trPr>
          <w:jc w:val="center"/>
        </w:trPr>
        <w:tc>
          <w:tcPr>
            <w:tcW w:w="855" w:type="dxa"/>
          </w:tcPr>
          <w:p w14:paraId="36DA8F05" w14:textId="77777777" w:rsidR="00B64B78" w:rsidRPr="001A5E47" w:rsidRDefault="00B64B78" w:rsidP="00F63829">
            <w:pPr>
              <w:pStyle w:val="TableCell0"/>
              <w:rPr>
                <w:sz w:val="16"/>
                <w:szCs w:val="16"/>
              </w:rPr>
            </w:pPr>
            <w:r>
              <w:rPr>
                <w:sz w:val="16"/>
                <w:szCs w:val="16"/>
              </w:rPr>
              <w:t>30</w:t>
            </w:r>
          </w:p>
        </w:tc>
        <w:tc>
          <w:tcPr>
            <w:tcW w:w="1584" w:type="dxa"/>
          </w:tcPr>
          <w:p w14:paraId="79AD7EDE" w14:textId="77777777" w:rsidR="00B64B78" w:rsidRPr="001A5E47" w:rsidRDefault="00B64B78" w:rsidP="00F63829">
            <w:pPr>
              <w:pStyle w:val="TableCell0"/>
              <w:rPr>
                <w:sz w:val="16"/>
                <w:szCs w:val="16"/>
              </w:rPr>
            </w:pPr>
          </w:p>
        </w:tc>
        <w:tc>
          <w:tcPr>
            <w:tcW w:w="1584" w:type="dxa"/>
          </w:tcPr>
          <w:p w14:paraId="0FE8F281" w14:textId="77777777" w:rsidR="00B64B78" w:rsidRPr="001A5E47" w:rsidRDefault="00B64B78" w:rsidP="00F63829">
            <w:pPr>
              <w:pStyle w:val="TableCell0"/>
              <w:rPr>
                <w:sz w:val="16"/>
                <w:szCs w:val="16"/>
              </w:rPr>
            </w:pPr>
            <w:r>
              <w:rPr>
                <w:sz w:val="16"/>
                <w:szCs w:val="16"/>
              </w:rPr>
              <w:t>8.53</w:t>
            </w:r>
          </w:p>
        </w:tc>
        <w:tc>
          <w:tcPr>
            <w:tcW w:w="1584" w:type="dxa"/>
          </w:tcPr>
          <w:p w14:paraId="76ABE90B" w14:textId="77777777" w:rsidR="00B64B78" w:rsidRPr="001A5E47" w:rsidRDefault="00B64B78" w:rsidP="00F63829">
            <w:pPr>
              <w:pStyle w:val="TableCell0"/>
              <w:rPr>
                <w:sz w:val="16"/>
                <w:szCs w:val="16"/>
              </w:rPr>
            </w:pPr>
            <w:r>
              <w:rPr>
                <w:sz w:val="16"/>
                <w:szCs w:val="16"/>
              </w:rPr>
              <w:t>9.01</w:t>
            </w:r>
          </w:p>
        </w:tc>
      </w:tr>
    </w:tbl>
    <w:p w14:paraId="0C8DC3E5" w14:textId="77777777" w:rsidR="00B64B78" w:rsidRDefault="00B64B78" w:rsidP="00B64B78"/>
    <w:p w14:paraId="35A0D5E6" w14:textId="044F434A" w:rsidR="00B64B78" w:rsidRDefault="00B64B78" w:rsidP="00B64B78">
      <w:r>
        <w:t xml:space="preserve">In </w:t>
      </w:r>
      <w:r>
        <w:fldChar w:fldCharType="begin"/>
      </w:r>
      <w:r>
        <w:instrText xml:space="preserve"> REF _Ref68265145 \h </w:instrText>
      </w:r>
      <w:r>
        <w:fldChar w:fldCharType="separate"/>
      </w:r>
      <w:r w:rsidR="004F7156">
        <w:t xml:space="preserve">Table </w:t>
      </w:r>
      <w:r w:rsidR="004F7156">
        <w:rPr>
          <w:noProof/>
        </w:rPr>
        <w:t>2</w:t>
      </w:r>
      <w:r>
        <w:fldChar w:fldCharType="end"/>
      </w:r>
      <w:r>
        <w:t xml:space="preserve">, an analysis of the CORESET#0 bandwidth as a function of SCS and signaled RB sizes in the MIB shows that each CORESET#0 acquired through the MIB is less than 20 MHz. Note the table lists the first available channel bandwidth that is greater than or equal to the bandwidth in RBs. For example, with 15 kHz SCS, 96 RBs corresponds to 17.28 MHz. Since a 20 MHz channel bandwidth supports 104 RBs (15 kHz SCS), </w:t>
      </w:r>
      <w:r w:rsidR="001754F5">
        <w:t xml:space="preserve">20 MHz </w:t>
      </w:r>
      <w:r>
        <w:t>is listed in the table.</w:t>
      </w:r>
    </w:p>
    <w:p w14:paraId="763AAABF" w14:textId="74C8B7A3" w:rsidR="00B64B78" w:rsidRDefault="00B64B78" w:rsidP="00B64B78">
      <w:pPr>
        <w:pStyle w:val="Caption"/>
        <w:keepNext/>
      </w:pPr>
      <w:bookmarkStart w:id="2" w:name="_Ref68265145"/>
      <w:r>
        <w:t xml:space="preserve">Table </w:t>
      </w:r>
      <w:r w:rsidR="00084B66">
        <w:fldChar w:fldCharType="begin"/>
      </w:r>
      <w:r w:rsidR="00084B66">
        <w:instrText xml:space="preserve"> SEQ Table \* ARABIC </w:instrText>
      </w:r>
      <w:r w:rsidR="00084B66">
        <w:fldChar w:fldCharType="separate"/>
      </w:r>
      <w:r w:rsidR="004F7156">
        <w:rPr>
          <w:noProof/>
        </w:rPr>
        <w:t>2</w:t>
      </w:r>
      <w:r w:rsidR="00084B66">
        <w:rPr>
          <w:noProof/>
        </w:rPr>
        <w:fldChar w:fldCharType="end"/>
      </w:r>
      <w:bookmarkEnd w:id="2"/>
      <w:r>
        <w:t xml:space="preserve">. CORESET#0 BW for SSB for FR1. References are to tables in 38.213, clause 13. </w:t>
      </w:r>
    </w:p>
    <w:tbl>
      <w:tblPr>
        <w:tblStyle w:val="TableGrid"/>
        <w:tblW w:w="5000" w:type="pct"/>
        <w:tblInd w:w="-5" w:type="dxa"/>
        <w:tblLook w:val="04A0" w:firstRow="1" w:lastRow="0" w:firstColumn="1" w:lastColumn="0" w:noHBand="0" w:noVBand="1"/>
      </w:tblPr>
      <w:tblGrid>
        <w:gridCol w:w="1142"/>
        <w:gridCol w:w="2721"/>
        <w:gridCol w:w="2723"/>
        <w:gridCol w:w="2721"/>
      </w:tblGrid>
      <w:tr w:rsidR="00B64B78" w14:paraId="799CA020" w14:textId="77777777" w:rsidTr="00F63829">
        <w:tc>
          <w:tcPr>
            <w:tcW w:w="613" w:type="pct"/>
          </w:tcPr>
          <w:p w14:paraId="43B56B8E" w14:textId="77777777" w:rsidR="00B64B78" w:rsidRPr="001A5E47" w:rsidRDefault="00B64B78" w:rsidP="00F63829">
            <w:pPr>
              <w:pStyle w:val="TableCell0"/>
              <w:rPr>
                <w:sz w:val="16"/>
                <w:szCs w:val="16"/>
              </w:rPr>
            </w:pPr>
            <w:r w:rsidRPr="001A5E47">
              <w:rPr>
                <w:sz w:val="16"/>
                <w:szCs w:val="16"/>
              </w:rPr>
              <w:t>SCS, kHz</w:t>
            </w:r>
            <w:r>
              <w:rPr>
                <w:sz w:val="16"/>
                <w:szCs w:val="16"/>
              </w:rPr>
              <w:t>, CORESET0</w:t>
            </w:r>
          </w:p>
        </w:tc>
        <w:tc>
          <w:tcPr>
            <w:tcW w:w="1462" w:type="pct"/>
          </w:tcPr>
          <w:p w14:paraId="21EBFE54" w14:textId="77777777" w:rsidR="00B64B78" w:rsidRPr="001A5E47" w:rsidRDefault="00B64B78" w:rsidP="00F63829">
            <w:pPr>
              <w:pStyle w:val="TableCell0"/>
              <w:rPr>
                <w:sz w:val="16"/>
                <w:szCs w:val="16"/>
              </w:rPr>
            </w:pPr>
            <w:r>
              <w:rPr>
                <w:sz w:val="16"/>
                <w:szCs w:val="16"/>
              </w:rPr>
              <w:t>24 RBs</w:t>
            </w:r>
          </w:p>
        </w:tc>
        <w:tc>
          <w:tcPr>
            <w:tcW w:w="1463" w:type="pct"/>
          </w:tcPr>
          <w:p w14:paraId="7588AAE3" w14:textId="77777777" w:rsidR="00B64B78" w:rsidRPr="001A5E47" w:rsidRDefault="00B64B78" w:rsidP="00F63829">
            <w:pPr>
              <w:pStyle w:val="TableCell0"/>
              <w:rPr>
                <w:sz w:val="16"/>
                <w:szCs w:val="16"/>
              </w:rPr>
            </w:pPr>
            <w:r>
              <w:rPr>
                <w:sz w:val="16"/>
                <w:szCs w:val="16"/>
              </w:rPr>
              <w:t>48 RBs</w:t>
            </w:r>
          </w:p>
        </w:tc>
        <w:tc>
          <w:tcPr>
            <w:tcW w:w="1462" w:type="pct"/>
          </w:tcPr>
          <w:p w14:paraId="1710C685" w14:textId="77777777" w:rsidR="00B64B78" w:rsidRPr="001A5E47" w:rsidRDefault="00B64B78" w:rsidP="00F63829">
            <w:pPr>
              <w:pStyle w:val="TableCell0"/>
              <w:rPr>
                <w:sz w:val="16"/>
                <w:szCs w:val="16"/>
              </w:rPr>
            </w:pPr>
            <w:r>
              <w:rPr>
                <w:sz w:val="16"/>
                <w:szCs w:val="16"/>
              </w:rPr>
              <w:t>96 RBs</w:t>
            </w:r>
          </w:p>
        </w:tc>
      </w:tr>
      <w:tr w:rsidR="00B64B78" w14:paraId="5AF5218A" w14:textId="77777777" w:rsidTr="00F63829">
        <w:tc>
          <w:tcPr>
            <w:tcW w:w="613" w:type="pct"/>
          </w:tcPr>
          <w:p w14:paraId="08B7D43B" w14:textId="77777777" w:rsidR="00B64B78" w:rsidRPr="001A5E47" w:rsidRDefault="00B64B78" w:rsidP="00F63829">
            <w:pPr>
              <w:pStyle w:val="TableCell0"/>
              <w:rPr>
                <w:sz w:val="16"/>
                <w:szCs w:val="16"/>
              </w:rPr>
            </w:pPr>
            <w:r>
              <w:rPr>
                <w:sz w:val="16"/>
                <w:szCs w:val="16"/>
              </w:rPr>
              <w:t>15</w:t>
            </w:r>
          </w:p>
        </w:tc>
        <w:tc>
          <w:tcPr>
            <w:tcW w:w="1462" w:type="pct"/>
          </w:tcPr>
          <w:p w14:paraId="0F557E6E" w14:textId="77777777" w:rsidR="00B64B78" w:rsidRPr="001A5E47" w:rsidRDefault="00B64B78" w:rsidP="00F63829">
            <w:pPr>
              <w:pStyle w:val="TableCell0"/>
              <w:rPr>
                <w:sz w:val="16"/>
                <w:szCs w:val="16"/>
              </w:rPr>
            </w:pPr>
            <w:r>
              <w:rPr>
                <w:sz w:val="16"/>
                <w:szCs w:val="16"/>
              </w:rPr>
              <w:t>5 MHz (13-1)</w:t>
            </w:r>
          </w:p>
        </w:tc>
        <w:tc>
          <w:tcPr>
            <w:tcW w:w="1463" w:type="pct"/>
          </w:tcPr>
          <w:p w14:paraId="5DDFEEC4" w14:textId="77777777" w:rsidR="00B64B78" w:rsidRPr="001A5E47" w:rsidRDefault="00B64B78" w:rsidP="00F63829">
            <w:pPr>
              <w:pStyle w:val="TableCell0"/>
              <w:rPr>
                <w:sz w:val="16"/>
                <w:szCs w:val="16"/>
              </w:rPr>
            </w:pPr>
            <w:r>
              <w:rPr>
                <w:sz w:val="16"/>
                <w:szCs w:val="16"/>
              </w:rPr>
              <w:t>10 MHz (13-1,-3,-5)</w:t>
            </w:r>
          </w:p>
        </w:tc>
        <w:tc>
          <w:tcPr>
            <w:tcW w:w="1462" w:type="pct"/>
          </w:tcPr>
          <w:p w14:paraId="72D7C6DE" w14:textId="77777777" w:rsidR="00B64B78" w:rsidRPr="001A5E47" w:rsidRDefault="00B64B78" w:rsidP="00F63829">
            <w:pPr>
              <w:pStyle w:val="TableCell0"/>
              <w:rPr>
                <w:sz w:val="16"/>
                <w:szCs w:val="16"/>
              </w:rPr>
            </w:pPr>
            <w:r>
              <w:rPr>
                <w:sz w:val="16"/>
                <w:szCs w:val="16"/>
              </w:rPr>
              <w:t>20 MHz (13-1,-1A,-3,-5)</w:t>
            </w:r>
          </w:p>
        </w:tc>
      </w:tr>
      <w:tr w:rsidR="00B64B78" w14:paraId="399CA14F" w14:textId="77777777" w:rsidTr="00F63829">
        <w:tc>
          <w:tcPr>
            <w:tcW w:w="613" w:type="pct"/>
          </w:tcPr>
          <w:p w14:paraId="0914A4BF" w14:textId="77777777" w:rsidR="00B64B78" w:rsidRPr="001A5E47" w:rsidRDefault="00B64B78" w:rsidP="00F63829">
            <w:pPr>
              <w:pStyle w:val="TableCell0"/>
              <w:rPr>
                <w:sz w:val="16"/>
                <w:szCs w:val="16"/>
              </w:rPr>
            </w:pPr>
            <w:r>
              <w:rPr>
                <w:sz w:val="16"/>
                <w:szCs w:val="16"/>
              </w:rPr>
              <w:t>30</w:t>
            </w:r>
          </w:p>
        </w:tc>
        <w:tc>
          <w:tcPr>
            <w:tcW w:w="1462" w:type="pct"/>
          </w:tcPr>
          <w:p w14:paraId="7800DF4B" w14:textId="77777777" w:rsidR="00B64B78" w:rsidRPr="001A5E47" w:rsidRDefault="00B64B78" w:rsidP="00F63829">
            <w:pPr>
              <w:pStyle w:val="TableCell0"/>
              <w:rPr>
                <w:sz w:val="16"/>
                <w:szCs w:val="16"/>
              </w:rPr>
            </w:pPr>
            <w:r>
              <w:rPr>
                <w:sz w:val="16"/>
                <w:szCs w:val="16"/>
              </w:rPr>
              <w:t>10 MHz (13-2,-4,-6)</w:t>
            </w:r>
          </w:p>
        </w:tc>
        <w:tc>
          <w:tcPr>
            <w:tcW w:w="1463" w:type="pct"/>
          </w:tcPr>
          <w:p w14:paraId="54832B05" w14:textId="77777777" w:rsidR="00B64B78" w:rsidRPr="001A5E47" w:rsidRDefault="00B64B78" w:rsidP="00F63829">
            <w:pPr>
              <w:pStyle w:val="TableCell0"/>
              <w:rPr>
                <w:sz w:val="16"/>
                <w:szCs w:val="16"/>
              </w:rPr>
            </w:pPr>
            <w:r>
              <w:rPr>
                <w:sz w:val="16"/>
                <w:szCs w:val="16"/>
              </w:rPr>
              <w:t>20 MHz (13-2,-4,-4A,-6)</w:t>
            </w:r>
          </w:p>
        </w:tc>
        <w:tc>
          <w:tcPr>
            <w:tcW w:w="1462" w:type="pct"/>
          </w:tcPr>
          <w:p w14:paraId="47163283" w14:textId="77777777" w:rsidR="00B64B78" w:rsidRPr="001A5E47" w:rsidRDefault="00B64B78" w:rsidP="00F63829">
            <w:pPr>
              <w:pStyle w:val="TableCell0"/>
              <w:rPr>
                <w:sz w:val="16"/>
                <w:szCs w:val="16"/>
              </w:rPr>
            </w:pPr>
          </w:p>
        </w:tc>
      </w:tr>
    </w:tbl>
    <w:p w14:paraId="48E525BF" w14:textId="77777777" w:rsidR="00B64B78" w:rsidRDefault="00B64B78" w:rsidP="00B64B78"/>
    <w:p w14:paraId="19E5E642" w14:textId="0795FA63" w:rsidR="00B64B78" w:rsidRDefault="00B64B78" w:rsidP="00B64B78">
      <w:pPr>
        <w:pStyle w:val="Caption"/>
        <w:keepNext/>
      </w:pPr>
      <w:r>
        <w:t xml:space="preserve">Table </w:t>
      </w:r>
      <w:r w:rsidR="00084B66">
        <w:fldChar w:fldCharType="begin"/>
      </w:r>
      <w:r w:rsidR="00084B66">
        <w:instrText xml:space="preserve"> SEQ Table \* ARABIC </w:instrText>
      </w:r>
      <w:r w:rsidR="00084B66">
        <w:fldChar w:fldCharType="separate"/>
      </w:r>
      <w:r w:rsidR="004F7156">
        <w:rPr>
          <w:noProof/>
        </w:rPr>
        <w:t>3</w:t>
      </w:r>
      <w:r w:rsidR="00084B66">
        <w:rPr>
          <w:noProof/>
        </w:rPr>
        <w:fldChar w:fldCharType="end"/>
      </w:r>
      <w:r>
        <w:t xml:space="preserve">. CORESET#0 BW for SSB for FR2. References are to tables in 38.213, clause 13. </w:t>
      </w:r>
    </w:p>
    <w:tbl>
      <w:tblPr>
        <w:tblStyle w:val="TableGrid"/>
        <w:tblW w:w="5000" w:type="pct"/>
        <w:tblInd w:w="-5" w:type="dxa"/>
        <w:tblLook w:val="04A0" w:firstRow="1" w:lastRow="0" w:firstColumn="1" w:lastColumn="0" w:noHBand="0" w:noVBand="1"/>
      </w:tblPr>
      <w:tblGrid>
        <w:gridCol w:w="1142"/>
        <w:gridCol w:w="2721"/>
        <w:gridCol w:w="2723"/>
        <w:gridCol w:w="2721"/>
      </w:tblGrid>
      <w:tr w:rsidR="00B64B78" w14:paraId="1F7B6A88" w14:textId="77777777" w:rsidTr="00F63829">
        <w:tc>
          <w:tcPr>
            <w:tcW w:w="613" w:type="pct"/>
          </w:tcPr>
          <w:p w14:paraId="23BF2B99" w14:textId="77777777" w:rsidR="00B64B78" w:rsidRPr="001A5E47" w:rsidRDefault="00B64B78" w:rsidP="00F63829">
            <w:pPr>
              <w:pStyle w:val="TableCell0"/>
              <w:rPr>
                <w:sz w:val="16"/>
                <w:szCs w:val="16"/>
              </w:rPr>
            </w:pPr>
            <w:r w:rsidRPr="001A5E47">
              <w:rPr>
                <w:sz w:val="16"/>
                <w:szCs w:val="16"/>
              </w:rPr>
              <w:t>SCS, kHz</w:t>
            </w:r>
            <w:r>
              <w:rPr>
                <w:sz w:val="16"/>
                <w:szCs w:val="16"/>
              </w:rPr>
              <w:t>, CORESET0</w:t>
            </w:r>
          </w:p>
        </w:tc>
        <w:tc>
          <w:tcPr>
            <w:tcW w:w="1462" w:type="pct"/>
          </w:tcPr>
          <w:p w14:paraId="77F85A34" w14:textId="77777777" w:rsidR="00B64B78" w:rsidRPr="001A5E47" w:rsidRDefault="00B64B78" w:rsidP="00F63829">
            <w:pPr>
              <w:pStyle w:val="TableCell0"/>
              <w:rPr>
                <w:sz w:val="16"/>
                <w:szCs w:val="16"/>
              </w:rPr>
            </w:pPr>
            <w:r>
              <w:rPr>
                <w:sz w:val="16"/>
                <w:szCs w:val="16"/>
              </w:rPr>
              <w:t>24 RBs</w:t>
            </w:r>
          </w:p>
        </w:tc>
        <w:tc>
          <w:tcPr>
            <w:tcW w:w="1463" w:type="pct"/>
          </w:tcPr>
          <w:p w14:paraId="0DA983FD" w14:textId="77777777" w:rsidR="00B64B78" w:rsidRPr="001A5E47" w:rsidRDefault="00B64B78" w:rsidP="00F63829">
            <w:pPr>
              <w:pStyle w:val="TableCell0"/>
              <w:rPr>
                <w:sz w:val="16"/>
                <w:szCs w:val="16"/>
              </w:rPr>
            </w:pPr>
            <w:r>
              <w:rPr>
                <w:sz w:val="16"/>
                <w:szCs w:val="16"/>
              </w:rPr>
              <w:t>48 RBs</w:t>
            </w:r>
          </w:p>
        </w:tc>
        <w:tc>
          <w:tcPr>
            <w:tcW w:w="1462" w:type="pct"/>
          </w:tcPr>
          <w:p w14:paraId="3B394791" w14:textId="77777777" w:rsidR="00B64B78" w:rsidRPr="001A5E47" w:rsidRDefault="00B64B78" w:rsidP="00F63829">
            <w:pPr>
              <w:pStyle w:val="TableCell0"/>
              <w:rPr>
                <w:sz w:val="16"/>
                <w:szCs w:val="16"/>
              </w:rPr>
            </w:pPr>
            <w:r>
              <w:rPr>
                <w:sz w:val="16"/>
                <w:szCs w:val="16"/>
              </w:rPr>
              <w:t>96 RBs</w:t>
            </w:r>
          </w:p>
        </w:tc>
      </w:tr>
      <w:tr w:rsidR="00B64B78" w14:paraId="1F28BD75" w14:textId="77777777" w:rsidTr="00F63829">
        <w:tc>
          <w:tcPr>
            <w:tcW w:w="613" w:type="pct"/>
          </w:tcPr>
          <w:p w14:paraId="5CB2A99D" w14:textId="77777777" w:rsidR="00B64B78" w:rsidRPr="001A5E47" w:rsidRDefault="00B64B78" w:rsidP="00F63829">
            <w:pPr>
              <w:pStyle w:val="TableCell0"/>
              <w:rPr>
                <w:sz w:val="16"/>
                <w:szCs w:val="16"/>
              </w:rPr>
            </w:pPr>
            <w:r>
              <w:rPr>
                <w:sz w:val="16"/>
                <w:szCs w:val="16"/>
              </w:rPr>
              <w:t>60</w:t>
            </w:r>
          </w:p>
        </w:tc>
        <w:tc>
          <w:tcPr>
            <w:tcW w:w="1462" w:type="pct"/>
          </w:tcPr>
          <w:p w14:paraId="4D21CD71" w14:textId="77777777" w:rsidR="00B64B78" w:rsidRPr="001A5E47" w:rsidRDefault="00B64B78" w:rsidP="00F63829">
            <w:pPr>
              <w:pStyle w:val="TableCell0"/>
              <w:rPr>
                <w:sz w:val="16"/>
                <w:szCs w:val="16"/>
              </w:rPr>
            </w:pPr>
          </w:p>
        </w:tc>
        <w:tc>
          <w:tcPr>
            <w:tcW w:w="1463" w:type="pct"/>
          </w:tcPr>
          <w:p w14:paraId="24D346FD" w14:textId="77777777" w:rsidR="00B64B78" w:rsidRPr="001A5E47" w:rsidRDefault="00B64B78" w:rsidP="00F63829">
            <w:pPr>
              <w:pStyle w:val="TableCell0"/>
              <w:rPr>
                <w:sz w:val="16"/>
                <w:szCs w:val="16"/>
              </w:rPr>
            </w:pPr>
            <w:r>
              <w:rPr>
                <w:sz w:val="16"/>
                <w:szCs w:val="16"/>
              </w:rPr>
              <w:t>50 MHz (13-7)</w:t>
            </w:r>
          </w:p>
        </w:tc>
        <w:tc>
          <w:tcPr>
            <w:tcW w:w="1462" w:type="pct"/>
          </w:tcPr>
          <w:p w14:paraId="585710B4" w14:textId="77777777" w:rsidR="00B64B78" w:rsidRPr="001A5E47" w:rsidRDefault="00B64B78" w:rsidP="00F63829">
            <w:pPr>
              <w:pStyle w:val="TableCell0"/>
              <w:rPr>
                <w:sz w:val="16"/>
                <w:szCs w:val="16"/>
              </w:rPr>
            </w:pPr>
            <w:r>
              <w:rPr>
                <w:sz w:val="16"/>
                <w:szCs w:val="16"/>
              </w:rPr>
              <w:t>100 MHz (13-7,-9) *</w:t>
            </w:r>
          </w:p>
        </w:tc>
      </w:tr>
      <w:tr w:rsidR="00B64B78" w14:paraId="650A5545" w14:textId="77777777" w:rsidTr="00F63829">
        <w:tc>
          <w:tcPr>
            <w:tcW w:w="613" w:type="pct"/>
          </w:tcPr>
          <w:p w14:paraId="78F8F2D7" w14:textId="77777777" w:rsidR="00B64B78" w:rsidRPr="001A5E47" w:rsidRDefault="00B64B78" w:rsidP="00F63829">
            <w:pPr>
              <w:pStyle w:val="TableCell0"/>
              <w:rPr>
                <w:sz w:val="16"/>
                <w:szCs w:val="16"/>
              </w:rPr>
            </w:pPr>
            <w:r>
              <w:rPr>
                <w:sz w:val="16"/>
                <w:szCs w:val="16"/>
              </w:rPr>
              <w:t>120</w:t>
            </w:r>
          </w:p>
        </w:tc>
        <w:tc>
          <w:tcPr>
            <w:tcW w:w="1462" w:type="pct"/>
          </w:tcPr>
          <w:p w14:paraId="01890AEF" w14:textId="77777777" w:rsidR="00B64B78" w:rsidRPr="001A5E47" w:rsidRDefault="00B64B78" w:rsidP="00F63829">
            <w:pPr>
              <w:pStyle w:val="TableCell0"/>
              <w:rPr>
                <w:sz w:val="16"/>
                <w:szCs w:val="16"/>
              </w:rPr>
            </w:pPr>
            <w:r>
              <w:rPr>
                <w:sz w:val="16"/>
                <w:szCs w:val="16"/>
              </w:rPr>
              <w:t>50 MHz (13-8,-10)</w:t>
            </w:r>
          </w:p>
        </w:tc>
        <w:tc>
          <w:tcPr>
            <w:tcW w:w="1463" w:type="pct"/>
          </w:tcPr>
          <w:p w14:paraId="01752ACD" w14:textId="77777777" w:rsidR="00B64B78" w:rsidRPr="001A5E47" w:rsidRDefault="00B64B78" w:rsidP="00F63829">
            <w:pPr>
              <w:pStyle w:val="TableCell0"/>
              <w:rPr>
                <w:sz w:val="16"/>
                <w:szCs w:val="16"/>
              </w:rPr>
            </w:pPr>
            <w:r>
              <w:rPr>
                <w:sz w:val="16"/>
                <w:szCs w:val="16"/>
              </w:rPr>
              <w:t>100 MHz (13-8,-10) *</w:t>
            </w:r>
          </w:p>
        </w:tc>
        <w:tc>
          <w:tcPr>
            <w:tcW w:w="1462" w:type="pct"/>
          </w:tcPr>
          <w:p w14:paraId="06F7A1E4" w14:textId="77777777" w:rsidR="00B64B78" w:rsidRPr="001A5E47" w:rsidRDefault="00B64B78" w:rsidP="00F63829">
            <w:pPr>
              <w:pStyle w:val="TableCell0"/>
              <w:rPr>
                <w:sz w:val="16"/>
                <w:szCs w:val="16"/>
              </w:rPr>
            </w:pPr>
          </w:p>
        </w:tc>
      </w:tr>
    </w:tbl>
    <w:p w14:paraId="5876146C" w14:textId="77777777" w:rsidR="00B64B78" w:rsidRPr="00274832" w:rsidRDefault="00B64B78" w:rsidP="00B64B78">
      <w:pPr>
        <w:pStyle w:val="ListParagraph"/>
        <w:numPr>
          <w:ilvl w:val="0"/>
          <w:numId w:val="29"/>
        </w:numPr>
        <w:rPr>
          <w:sz w:val="20"/>
          <w:szCs w:val="20"/>
        </w:rPr>
      </w:pPr>
      <w:r>
        <w:rPr>
          <w:sz w:val="20"/>
          <w:szCs w:val="20"/>
        </w:rPr>
        <w:t>With certain offsets</w:t>
      </w:r>
      <w:r w:rsidRPr="00274832">
        <w:rPr>
          <w:sz w:val="20"/>
          <w:szCs w:val="20"/>
        </w:rPr>
        <w:t xml:space="preserve"> </w:t>
      </w:r>
      <w:r>
        <w:rPr>
          <w:sz w:val="20"/>
          <w:szCs w:val="20"/>
        </w:rPr>
        <w:t xml:space="preserve">in the table (associated with multiplexing patterns 2 and 3), </w:t>
      </w:r>
      <w:bookmarkStart w:id="3" w:name="_Hlk68586632"/>
      <w:r>
        <w:rPr>
          <w:sz w:val="20"/>
          <w:szCs w:val="20"/>
        </w:rPr>
        <w:t>the combined span</w:t>
      </w:r>
      <w:bookmarkEnd w:id="3"/>
      <w:r>
        <w:rPr>
          <w:sz w:val="20"/>
          <w:szCs w:val="20"/>
        </w:rPr>
        <w:t xml:space="preserve"> of CORESET#0 and SSB can exceed the maximum bandwidth of a RedCap UE.</w:t>
      </w:r>
    </w:p>
    <w:p w14:paraId="44FA6A98" w14:textId="77777777" w:rsidR="00B64B78" w:rsidRDefault="00B64B78" w:rsidP="00B64B78">
      <w:r>
        <w:t>This analysis confirms that non-RedCap UEs and RedCap UEs can share the SSB and CORESET#0 because the bandwidth of the individual signals and channels i</w:t>
      </w:r>
      <w:r w:rsidRPr="006537FB">
        <w:t>s no wider than the RedCap UE bandwidth</w:t>
      </w:r>
      <w:r>
        <w:t>.</w:t>
      </w:r>
    </w:p>
    <w:p w14:paraId="55D8309E" w14:textId="22EE2570" w:rsidR="00B64B78" w:rsidRPr="001E0853" w:rsidRDefault="00B64B78" w:rsidP="00B64B78">
      <w:pPr>
        <w:rPr>
          <w:b/>
          <w:bCs/>
          <w:i/>
          <w:iCs/>
        </w:rPr>
      </w:pPr>
      <w:r>
        <w:rPr>
          <w:b/>
          <w:bCs/>
          <w:i/>
          <w:iCs/>
        </w:rPr>
        <w:t>Observation 1</w:t>
      </w:r>
      <w:r w:rsidRPr="001E0853">
        <w:rPr>
          <w:b/>
          <w:bCs/>
          <w:i/>
          <w:iCs/>
        </w:rPr>
        <w:t xml:space="preserve">: </w:t>
      </w:r>
      <w:r w:rsidR="001754F5">
        <w:rPr>
          <w:b/>
          <w:bCs/>
          <w:i/>
          <w:iCs/>
        </w:rPr>
        <w:t>While sharing</w:t>
      </w:r>
      <w:r w:rsidRPr="00B31446">
        <w:rPr>
          <w:b/>
          <w:bCs/>
          <w:i/>
          <w:iCs/>
        </w:rPr>
        <w:t xml:space="preserve"> SSB/CORTESET#0</w:t>
      </w:r>
      <w:r w:rsidR="001754F5">
        <w:rPr>
          <w:b/>
          <w:bCs/>
          <w:i/>
          <w:iCs/>
        </w:rPr>
        <w:t xml:space="preserve"> between RedCap and non-RedCap UEs</w:t>
      </w:r>
      <w:r w:rsidRPr="00B31446">
        <w:rPr>
          <w:b/>
          <w:bCs/>
          <w:i/>
          <w:iCs/>
        </w:rPr>
        <w:t xml:space="preserve">, </w:t>
      </w:r>
      <w:r>
        <w:rPr>
          <w:b/>
          <w:bCs/>
          <w:i/>
          <w:iCs/>
        </w:rPr>
        <w:t>the analysis</w:t>
      </w:r>
      <w:r w:rsidRPr="00B31446">
        <w:rPr>
          <w:b/>
          <w:bCs/>
          <w:i/>
          <w:iCs/>
        </w:rPr>
        <w:t xml:space="preserve"> confirm</w:t>
      </w:r>
      <w:r>
        <w:rPr>
          <w:b/>
          <w:bCs/>
          <w:i/>
          <w:iCs/>
        </w:rPr>
        <w:t>s</w:t>
      </w:r>
      <w:r w:rsidRPr="00B31446">
        <w:rPr>
          <w:b/>
          <w:bCs/>
          <w:i/>
          <w:iCs/>
        </w:rPr>
        <w:t xml:space="preserve"> that no values are more than 20MHz</w:t>
      </w:r>
      <w:r>
        <w:rPr>
          <w:b/>
          <w:bCs/>
          <w:i/>
          <w:iCs/>
        </w:rPr>
        <w:t xml:space="preserve"> for FR1.</w:t>
      </w:r>
    </w:p>
    <w:p w14:paraId="61CE10B6" w14:textId="32A4C615" w:rsidR="00B64B78" w:rsidRDefault="00B64B78" w:rsidP="00B64B78">
      <w:bookmarkStart w:id="4" w:name="_Hlk68555577"/>
      <w:r>
        <w:t xml:space="preserve">For FR2, </w:t>
      </w:r>
      <w:r w:rsidRPr="009C7B1F">
        <w:t xml:space="preserve">the combined span </w:t>
      </w:r>
      <w:r>
        <w:t xml:space="preserve">of SSB and CORESET#0 is in the </w:t>
      </w:r>
      <w:r w:rsidRPr="005E6DB7">
        <w:t>maximum bandwidth of a RedCap UE</w:t>
      </w:r>
      <w:r>
        <w:t xml:space="preserve"> for multiplexing pattern 1 and for most multiplexing patterns 2 and 3. For the exceptions, RAN4 </w:t>
      </w:r>
      <w:r w:rsidR="001754F5">
        <w:t xml:space="preserve">could </w:t>
      </w:r>
      <w:r>
        <w:t>examine the impact</w:t>
      </w:r>
      <w:r w:rsidRPr="00EA3CEA">
        <w:t xml:space="preserve"> </w:t>
      </w:r>
      <w:r>
        <w:t>to radio resource management measurements</w:t>
      </w:r>
      <w:r w:rsidRPr="00D35735">
        <w:t xml:space="preserve"> </w:t>
      </w:r>
      <w:r>
        <w:t xml:space="preserve">when the combined span of SSB and CORESET#0 is not in the </w:t>
      </w:r>
      <w:r w:rsidRPr="001A3DE8">
        <w:t>maximum bandwidth of a RedCap UE</w:t>
      </w:r>
      <w:r>
        <w:t xml:space="preserve">. Of course, it is a network option to select a multiplexing pattern where the combined span of SSB and CORESET#0 is within the </w:t>
      </w:r>
      <w:r w:rsidRPr="005E6DB7">
        <w:t>maximum bandwidth of a RedCap UE</w:t>
      </w:r>
      <w:r>
        <w:t>.</w:t>
      </w:r>
    </w:p>
    <w:bookmarkEnd w:id="4"/>
    <w:p w14:paraId="1E061E28" w14:textId="25C1DD87" w:rsidR="00D205CC" w:rsidRDefault="00D205CC" w:rsidP="00114C8C">
      <w:pPr>
        <w:pStyle w:val="Heading3"/>
      </w:pPr>
      <w:r>
        <w:t>Initial DL BWP</w:t>
      </w:r>
    </w:p>
    <w:p w14:paraId="76FCA81C" w14:textId="3C386D36" w:rsidR="00B64B78" w:rsidRDefault="00B64B78" w:rsidP="00B64B78">
      <w:r>
        <w:t>When</w:t>
      </w:r>
      <w:r w:rsidRPr="00934720">
        <w:t xml:space="preserve"> the network transmits</w:t>
      </w:r>
      <w:r>
        <w:t xml:space="preserve"> SIB1, it can reconfigure the PDCCH v</w:t>
      </w:r>
      <w:r w:rsidRPr="00934720">
        <w:t xml:space="preserve">ia </w:t>
      </w:r>
      <w:r w:rsidRPr="00934720">
        <w:rPr>
          <w:i/>
          <w:iCs/>
        </w:rPr>
        <w:t>ServingCellConfigCommonSIB</w:t>
      </w:r>
      <w:r w:rsidRPr="00934720">
        <w:t xml:space="preserve"> </w:t>
      </w:r>
      <w:r w:rsidRPr="00934720">
        <w:sym w:font="Symbol" w:char="F0AE"/>
      </w:r>
      <w:r w:rsidRPr="00934720">
        <w:t xml:space="preserve"> </w:t>
      </w:r>
      <w:r w:rsidRPr="00934720">
        <w:rPr>
          <w:i/>
          <w:iCs/>
        </w:rPr>
        <w:t>downlinkConfigCommon</w:t>
      </w:r>
      <w:r w:rsidRPr="00934720">
        <w:t xml:space="preserve"> </w:t>
      </w:r>
      <w:r w:rsidRPr="00934720">
        <w:sym w:font="Symbol" w:char="F0AE"/>
      </w:r>
      <w:r w:rsidRPr="00934720">
        <w:t xml:space="preserve"> </w:t>
      </w:r>
      <w:r w:rsidRPr="00934720">
        <w:rPr>
          <w:i/>
          <w:iCs/>
        </w:rPr>
        <w:t>initialDownlinkBWP</w:t>
      </w:r>
      <w:r w:rsidRPr="00934720">
        <w:t xml:space="preserve"> </w:t>
      </w:r>
      <w:r w:rsidRPr="00934720">
        <w:sym w:font="Symbol" w:char="F0AE"/>
      </w:r>
      <w:r w:rsidRPr="00934720">
        <w:t xml:space="preserve"> </w:t>
      </w:r>
      <w:r w:rsidRPr="00934720">
        <w:rPr>
          <w:i/>
          <w:iCs/>
        </w:rPr>
        <w:t>pdcch-ConfigCommon</w:t>
      </w:r>
      <w:r w:rsidRPr="00934720">
        <w:t xml:space="preserve"> </w:t>
      </w:r>
      <w:r w:rsidRPr="00934720">
        <w:sym w:font="Symbol" w:char="F0AE"/>
      </w:r>
      <w:r w:rsidRPr="00934720">
        <w:t xml:space="preserve"> </w:t>
      </w:r>
      <w:r w:rsidRPr="00934720">
        <w:rPr>
          <w:i/>
          <w:iCs/>
        </w:rPr>
        <w:t>controlResourceSetZero</w:t>
      </w:r>
      <w:r w:rsidRPr="00934720">
        <w:t>.</w:t>
      </w:r>
      <w:r>
        <w:t xml:space="preserve"> However, o</w:t>
      </w:r>
      <w:r w:rsidRPr="00934720">
        <w:t>ne requirement is that</w:t>
      </w:r>
      <w:r>
        <w:t xml:space="preserve"> the initial downlink BWP contains CORESET#0 </w:t>
      </w:r>
      <w:r>
        <w:fldChar w:fldCharType="begin"/>
      </w:r>
      <w:r>
        <w:instrText xml:space="preserve"> REF _Ref65591617 \r \h </w:instrText>
      </w:r>
      <w:r>
        <w:fldChar w:fldCharType="separate"/>
      </w:r>
      <w:r w:rsidR="004F7156">
        <w:t>[3]</w:t>
      </w:r>
      <w:r>
        <w:fldChar w:fldCharType="end"/>
      </w:r>
      <w:r>
        <w:t xml:space="preserve"> (in yellow):</w:t>
      </w:r>
    </w:p>
    <w:p w14:paraId="55CA3308" w14:textId="77777777" w:rsidR="00B64B78" w:rsidRPr="00AB488E" w:rsidRDefault="00B64B78" w:rsidP="00B64B78">
      <w:pPr>
        <w:ind w:left="432"/>
        <w:rPr>
          <w:sz w:val="20"/>
          <w:szCs w:val="20"/>
        </w:rPr>
      </w:pPr>
      <w:r>
        <w:rPr>
          <w:sz w:val="20"/>
          <w:szCs w:val="20"/>
        </w:rPr>
        <w:t>“</w:t>
      </w:r>
      <w:r w:rsidRPr="00AB488E">
        <w:rPr>
          <w:sz w:val="20"/>
          <w:szCs w:val="20"/>
        </w:rPr>
        <w:t xml:space="preserve">The network configures the </w:t>
      </w:r>
      <w:r w:rsidRPr="00AB488E">
        <w:rPr>
          <w:i/>
          <w:iCs/>
          <w:sz w:val="20"/>
          <w:szCs w:val="20"/>
        </w:rPr>
        <w:t>locationAndBandwidth</w:t>
      </w:r>
      <w:r w:rsidRPr="00AB488E">
        <w:rPr>
          <w:sz w:val="20"/>
          <w:szCs w:val="20"/>
        </w:rPr>
        <w:t xml:space="preserve"> so that </w:t>
      </w:r>
      <w:r w:rsidRPr="00B727A2">
        <w:rPr>
          <w:sz w:val="20"/>
          <w:szCs w:val="20"/>
          <w:highlight w:val="yellow"/>
        </w:rPr>
        <w:t>the initial downlink BWP contains the entire CORESET#0 of this serving cell in the frequency domain</w:t>
      </w:r>
      <w:r w:rsidRPr="00AB488E">
        <w:rPr>
          <w:sz w:val="20"/>
          <w:szCs w:val="20"/>
        </w:rPr>
        <w:t xml:space="preserve">. The UE applies the </w:t>
      </w:r>
      <w:r w:rsidRPr="00AB488E">
        <w:rPr>
          <w:i/>
          <w:iCs/>
          <w:sz w:val="20"/>
          <w:szCs w:val="20"/>
        </w:rPr>
        <w:t>locationAndBandwidth</w:t>
      </w:r>
      <w:r w:rsidRPr="00AB488E">
        <w:rPr>
          <w:sz w:val="20"/>
          <w:szCs w:val="20"/>
        </w:rPr>
        <w:t xml:space="preserve"> upon reception of this field (e.g. to determine the frequency position of signals described in relation to this </w:t>
      </w:r>
      <w:r w:rsidRPr="00AB488E">
        <w:rPr>
          <w:i/>
          <w:iCs/>
          <w:sz w:val="20"/>
          <w:szCs w:val="20"/>
        </w:rPr>
        <w:t>locationAndBandwidth</w:t>
      </w:r>
      <w:r w:rsidRPr="00AB488E">
        <w:rPr>
          <w:sz w:val="20"/>
          <w:szCs w:val="20"/>
        </w:rPr>
        <w:t xml:space="preserve">) but it keeps CORESET#0 until after reception of </w:t>
      </w:r>
      <w:r w:rsidRPr="00AB488E">
        <w:rPr>
          <w:i/>
          <w:iCs/>
          <w:sz w:val="20"/>
          <w:szCs w:val="20"/>
        </w:rPr>
        <w:t>RRCSetup</w:t>
      </w:r>
      <w:r w:rsidRPr="00AB488E">
        <w:rPr>
          <w:sz w:val="20"/>
          <w:szCs w:val="20"/>
        </w:rPr>
        <w:t>/</w:t>
      </w:r>
      <w:r>
        <w:rPr>
          <w:sz w:val="20"/>
          <w:szCs w:val="20"/>
        </w:rPr>
        <w:t xml:space="preserve"> </w:t>
      </w:r>
      <w:r w:rsidRPr="00AB488E">
        <w:rPr>
          <w:i/>
          <w:iCs/>
          <w:sz w:val="20"/>
          <w:szCs w:val="20"/>
        </w:rPr>
        <w:t>RRCResume</w:t>
      </w:r>
      <w:r w:rsidRPr="00AB488E">
        <w:rPr>
          <w:sz w:val="20"/>
          <w:szCs w:val="20"/>
        </w:rPr>
        <w:t>/</w:t>
      </w:r>
      <w:r>
        <w:rPr>
          <w:sz w:val="20"/>
          <w:szCs w:val="20"/>
        </w:rPr>
        <w:t xml:space="preserve"> </w:t>
      </w:r>
      <w:r w:rsidRPr="00AB488E">
        <w:rPr>
          <w:i/>
          <w:iCs/>
          <w:sz w:val="20"/>
          <w:szCs w:val="20"/>
        </w:rPr>
        <w:t>RRCReestablishment</w:t>
      </w:r>
      <w:r w:rsidRPr="00AB488E">
        <w:rPr>
          <w:sz w:val="20"/>
          <w:szCs w:val="20"/>
        </w:rPr>
        <w:t>.”</w:t>
      </w:r>
    </w:p>
    <w:p w14:paraId="4914AA39" w14:textId="77777777" w:rsidR="00B64B78" w:rsidRDefault="00B64B78" w:rsidP="00B64B78">
      <w:r>
        <w:lastRenderedPageBreak/>
        <w:t xml:space="preserve">Another </w:t>
      </w:r>
      <w:r w:rsidRPr="00894B84">
        <w:t xml:space="preserve">note about </w:t>
      </w:r>
      <w:r w:rsidRPr="00894B84">
        <w:rPr>
          <w:i/>
          <w:iCs/>
        </w:rPr>
        <w:t>locationAndBandwidth</w:t>
      </w:r>
      <w:r w:rsidRPr="00894B84">
        <w:t xml:space="preserve"> </w:t>
      </w:r>
      <w:r>
        <w:t>regarding TDD:</w:t>
      </w:r>
    </w:p>
    <w:p w14:paraId="38D33143" w14:textId="77777777" w:rsidR="00B64B78" w:rsidRPr="00894B84" w:rsidRDefault="00B64B78" w:rsidP="00B64B78">
      <w:pPr>
        <w:ind w:left="432"/>
        <w:rPr>
          <w:sz w:val="20"/>
          <w:szCs w:val="20"/>
        </w:rPr>
      </w:pPr>
      <w:r w:rsidRPr="00894B84">
        <w:rPr>
          <w:sz w:val="20"/>
          <w:szCs w:val="20"/>
          <w:lang w:eastAsia="sv-SE"/>
        </w:rPr>
        <w:t xml:space="preserve">In case of TDD, a BWP-pair (UL BWP and DL BWP with the same </w:t>
      </w:r>
      <w:r w:rsidRPr="00894B84">
        <w:rPr>
          <w:i/>
          <w:sz w:val="20"/>
          <w:szCs w:val="20"/>
          <w:lang w:eastAsia="sv-SE"/>
        </w:rPr>
        <w:t>bwp-Id</w:t>
      </w:r>
      <w:r w:rsidRPr="00894B84">
        <w:rPr>
          <w:sz w:val="20"/>
          <w:szCs w:val="20"/>
          <w:lang w:eastAsia="sv-SE"/>
        </w:rPr>
        <w:t>) must have the same center frequency (see TS 38.213, clause 12)</w:t>
      </w:r>
    </w:p>
    <w:p w14:paraId="1915A80A" w14:textId="77777777" w:rsidR="00B64B78" w:rsidRPr="00934720" w:rsidRDefault="00B64B78" w:rsidP="00B64B78">
      <w:r>
        <w:t xml:space="preserve">Because CORESET#0 is less than the maximum bandwidth of RedCap UEs, the </w:t>
      </w:r>
      <w:bookmarkStart w:id="5" w:name="_Hlk68357850"/>
      <w:r w:rsidRPr="00D205CC">
        <w:t>initial DL BWP</w:t>
      </w:r>
      <w:r>
        <w:t xml:space="preserve"> </w:t>
      </w:r>
      <w:r w:rsidRPr="00D205CC">
        <w:t>for RedCap UEs</w:t>
      </w:r>
      <w:bookmarkEnd w:id="5"/>
      <w:r w:rsidRPr="00D205CC">
        <w:t xml:space="preserve"> </w:t>
      </w:r>
      <w:r>
        <w:t>always carries the PDCCH.</w:t>
      </w:r>
    </w:p>
    <w:p w14:paraId="6EDC5328" w14:textId="77777777" w:rsidR="00B64B78" w:rsidRPr="00934720" w:rsidRDefault="00B64B78" w:rsidP="00B64B78">
      <w:pPr>
        <w:rPr>
          <w:b/>
          <w:bCs/>
          <w:i/>
          <w:iCs/>
        </w:rPr>
      </w:pPr>
      <w:r>
        <w:rPr>
          <w:b/>
          <w:bCs/>
          <w:i/>
          <w:iCs/>
        </w:rPr>
        <w:t>Observation 2</w:t>
      </w:r>
      <w:r w:rsidRPr="00934720">
        <w:rPr>
          <w:b/>
          <w:bCs/>
          <w:i/>
          <w:iCs/>
        </w:rPr>
        <w:t xml:space="preserve">: A RedCap UE </w:t>
      </w:r>
      <w:r>
        <w:rPr>
          <w:b/>
          <w:bCs/>
          <w:i/>
          <w:iCs/>
        </w:rPr>
        <w:t>is always able to receive</w:t>
      </w:r>
      <w:r w:rsidRPr="00934720">
        <w:rPr>
          <w:b/>
          <w:bCs/>
          <w:i/>
          <w:iCs/>
        </w:rPr>
        <w:t xml:space="preserve"> the PDCCH within </w:t>
      </w:r>
      <w:r>
        <w:rPr>
          <w:b/>
          <w:bCs/>
          <w:i/>
          <w:iCs/>
        </w:rPr>
        <w:t>its</w:t>
      </w:r>
      <w:r w:rsidRPr="00934720">
        <w:rPr>
          <w:b/>
          <w:bCs/>
          <w:i/>
          <w:iCs/>
        </w:rPr>
        <w:t xml:space="preserve"> </w:t>
      </w:r>
      <w:r w:rsidRPr="00660AD2">
        <w:rPr>
          <w:b/>
          <w:bCs/>
          <w:i/>
          <w:iCs/>
        </w:rPr>
        <w:t>initial DL BWP</w:t>
      </w:r>
      <w:r w:rsidRPr="00934720">
        <w:rPr>
          <w:b/>
          <w:bCs/>
          <w:i/>
          <w:iCs/>
        </w:rPr>
        <w:t>.</w:t>
      </w:r>
      <w:r>
        <w:rPr>
          <w:b/>
          <w:bCs/>
          <w:i/>
          <w:iCs/>
        </w:rPr>
        <w:t xml:space="preserve"> No changes for RedCap UEs and PDCCH are necessary in the specifications.</w:t>
      </w:r>
    </w:p>
    <w:p w14:paraId="156F2955" w14:textId="77777777" w:rsidR="00B64B78" w:rsidRDefault="00B64B78" w:rsidP="00B64B78">
      <w:r>
        <w:t xml:space="preserve">In summary, RedCap and non-RedCap UEs can share PDCCH resources. </w:t>
      </w:r>
    </w:p>
    <w:p w14:paraId="649168D6" w14:textId="5BE9BE26" w:rsidR="00B64B78" w:rsidRDefault="00B64B78" w:rsidP="00B64B78">
      <w:r>
        <w:t xml:space="preserve">Transmitting the scheduled PDSCH for RedCap UEs is more complex because the possible locations of the PDSCH are a function of the RNTI used to scramble the CRC bits of DCI format 1_0, as summarized in </w:t>
      </w:r>
      <w:r>
        <w:fldChar w:fldCharType="begin"/>
      </w:r>
      <w:r>
        <w:instrText xml:space="preserve"> REF _Ref65508810 \h </w:instrText>
      </w:r>
      <w:r>
        <w:fldChar w:fldCharType="separate"/>
      </w:r>
      <w:r w:rsidR="004F7156" w:rsidRPr="00934720">
        <w:t xml:space="preserve">Table </w:t>
      </w:r>
      <w:r w:rsidR="004F7156">
        <w:rPr>
          <w:noProof/>
        </w:rPr>
        <w:t>4</w:t>
      </w:r>
      <w:r>
        <w:fldChar w:fldCharType="end"/>
      </w:r>
      <w:r>
        <w:t xml:space="preserve"> </w:t>
      </w:r>
      <w:r>
        <w:fldChar w:fldCharType="begin"/>
      </w:r>
      <w:r>
        <w:instrText xml:space="preserve"> REF _Ref67302930 \r \h </w:instrText>
      </w:r>
      <w:r>
        <w:fldChar w:fldCharType="separate"/>
      </w:r>
      <w:r w:rsidR="004F7156">
        <w:t>[5]</w:t>
      </w:r>
      <w:r>
        <w:fldChar w:fldCharType="end"/>
      </w:r>
      <w:r>
        <w:t>.</w:t>
      </w:r>
    </w:p>
    <w:p w14:paraId="396FB41B" w14:textId="4A4901F3" w:rsidR="00B64B78" w:rsidRPr="00934720" w:rsidRDefault="00B64B78" w:rsidP="00B64B78">
      <w:pPr>
        <w:pStyle w:val="Caption"/>
        <w:keepNext/>
      </w:pPr>
      <w:bookmarkStart w:id="6" w:name="_Ref65508810"/>
      <w:r w:rsidRPr="00934720">
        <w:t xml:space="preserve">Table </w:t>
      </w:r>
      <w:r w:rsidR="00084B66">
        <w:fldChar w:fldCharType="begin"/>
      </w:r>
      <w:r w:rsidR="00084B66">
        <w:instrText xml:space="preserve"> SEQ Table \* ARABIC </w:instrText>
      </w:r>
      <w:r w:rsidR="00084B66">
        <w:fldChar w:fldCharType="separate"/>
      </w:r>
      <w:r w:rsidR="004F7156">
        <w:rPr>
          <w:noProof/>
        </w:rPr>
        <w:t>4</w:t>
      </w:r>
      <w:r w:rsidR="00084B66">
        <w:rPr>
          <w:noProof/>
        </w:rPr>
        <w:fldChar w:fldCharType="end"/>
      </w:r>
      <w:bookmarkEnd w:id="6"/>
      <w:r>
        <w:t>. Mapping of RNTI to frequency allocation</w:t>
      </w:r>
    </w:p>
    <w:tbl>
      <w:tblPr>
        <w:tblStyle w:val="TableGrid"/>
        <w:tblW w:w="0" w:type="auto"/>
        <w:jc w:val="center"/>
        <w:tblLook w:val="04A0" w:firstRow="1" w:lastRow="0" w:firstColumn="1" w:lastColumn="0" w:noHBand="0" w:noVBand="1"/>
      </w:tblPr>
      <w:tblGrid>
        <w:gridCol w:w="1440"/>
        <w:gridCol w:w="6192"/>
      </w:tblGrid>
      <w:tr w:rsidR="00B64B78" w:rsidRPr="00934720" w14:paraId="508D56EE" w14:textId="77777777" w:rsidTr="00F63829">
        <w:trPr>
          <w:jc w:val="center"/>
        </w:trPr>
        <w:tc>
          <w:tcPr>
            <w:tcW w:w="1440" w:type="dxa"/>
          </w:tcPr>
          <w:p w14:paraId="0D5D4BE6" w14:textId="77777777" w:rsidR="00B64B78" w:rsidRPr="00934720" w:rsidRDefault="00B64B78" w:rsidP="00F63829">
            <w:pPr>
              <w:pStyle w:val="TableCell0"/>
            </w:pPr>
            <w:r w:rsidRPr="00934720">
              <w:t>RNTI</w:t>
            </w:r>
          </w:p>
        </w:tc>
        <w:tc>
          <w:tcPr>
            <w:tcW w:w="6192" w:type="dxa"/>
          </w:tcPr>
          <w:p w14:paraId="4F357319" w14:textId="77777777" w:rsidR="00B64B78" w:rsidRPr="00934720" w:rsidRDefault="00084B66" w:rsidP="00F63829">
            <w:pPr>
              <w:pStyle w:val="TableCell0"/>
              <w:jc w:val="center"/>
            </w:pP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00B64B78">
              <w:rPr>
                <w:rFonts w:eastAsiaTheme="minorEastAsia"/>
              </w:rPr>
              <w:t xml:space="preserve"> for frequency resource allocation</w:t>
            </w:r>
          </w:p>
        </w:tc>
      </w:tr>
      <w:tr w:rsidR="00B64B78" w:rsidRPr="00934720" w14:paraId="6F9EE2E0" w14:textId="77777777" w:rsidTr="00F63829">
        <w:trPr>
          <w:jc w:val="center"/>
        </w:trPr>
        <w:tc>
          <w:tcPr>
            <w:tcW w:w="1440" w:type="dxa"/>
          </w:tcPr>
          <w:p w14:paraId="594CC1ED" w14:textId="77777777" w:rsidR="00B64B78" w:rsidRPr="00934720" w:rsidRDefault="00B64B78" w:rsidP="00F63829">
            <w:pPr>
              <w:pStyle w:val="TableCell0"/>
            </w:pPr>
            <w:r w:rsidRPr="00934720">
              <w:t>SI</w:t>
            </w:r>
          </w:p>
        </w:tc>
        <w:tc>
          <w:tcPr>
            <w:tcW w:w="6192" w:type="dxa"/>
          </w:tcPr>
          <w:p w14:paraId="70B8764A" w14:textId="77777777" w:rsidR="00B64B78" w:rsidRPr="00934720" w:rsidRDefault="00B64B78" w:rsidP="00F63829">
            <w:pPr>
              <w:pStyle w:val="TableCell0"/>
            </w:pPr>
            <w:r>
              <w:t xml:space="preserve">Size of </w:t>
            </w:r>
            <w:r w:rsidRPr="00934720">
              <w:t>CORESET</w:t>
            </w:r>
            <w:r>
              <w:t>#</w:t>
            </w:r>
            <w:r w:rsidRPr="00934720">
              <w:t>0</w:t>
            </w:r>
          </w:p>
        </w:tc>
      </w:tr>
      <w:tr w:rsidR="00B64B78" w:rsidRPr="00934720" w14:paraId="1B75F3A1" w14:textId="77777777" w:rsidTr="00F63829">
        <w:trPr>
          <w:jc w:val="center"/>
        </w:trPr>
        <w:tc>
          <w:tcPr>
            <w:tcW w:w="1440" w:type="dxa"/>
          </w:tcPr>
          <w:p w14:paraId="3D729E17" w14:textId="77777777" w:rsidR="00B64B78" w:rsidRPr="00934720" w:rsidRDefault="00B64B78" w:rsidP="00F63829">
            <w:pPr>
              <w:pStyle w:val="TableCell0"/>
            </w:pPr>
            <w:r w:rsidRPr="00934720">
              <w:t>RA / MsgB</w:t>
            </w:r>
          </w:p>
        </w:tc>
        <w:tc>
          <w:tcPr>
            <w:tcW w:w="6192" w:type="dxa"/>
          </w:tcPr>
          <w:p w14:paraId="7127B5CA" w14:textId="77777777" w:rsidR="00B64B78" w:rsidRPr="00934720" w:rsidRDefault="00B64B78" w:rsidP="00F63829">
            <w:pPr>
              <w:pStyle w:val="TableCell0"/>
            </w:pPr>
            <w:r>
              <w:rPr>
                <w:rFonts w:eastAsiaTheme="minorEastAsia"/>
              </w:rPr>
              <w:t>Size of CORESET#0 if CORESET#0 is configured for the cell, otherwise size of initial DL BWP if CORESET#0 is not configured for the cell</w:t>
            </w:r>
          </w:p>
        </w:tc>
      </w:tr>
      <w:tr w:rsidR="00B64B78" w:rsidRPr="00934720" w14:paraId="24641D03" w14:textId="77777777" w:rsidTr="00F63829">
        <w:trPr>
          <w:jc w:val="center"/>
        </w:trPr>
        <w:tc>
          <w:tcPr>
            <w:tcW w:w="1440" w:type="dxa"/>
          </w:tcPr>
          <w:p w14:paraId="17103B09" w14:textId="77777777" w:rsidR="00B64B78" w:rsidRPr="00934720" w:rsidRDefault="00B64B78" w:rsidP="00F63829">
            <w:pPr>
              <w:pStyle w:val="TableCell0"/>
            </w:pPr>
            <w:r w:rsidRPr="00934720">
              <w:t>TC</w:t>
            </w:r>
          </w:p>
        </w:tc>
        <w:tc>
          <w:tcPr>
            <w:tcW w:w="6192" w:type="dxa"/>
          </w:tcPr>
          <w:p w14:paraId="64B5900D" w14:textId="77777777" w:rsidR="00B64B78" w:rsidRPr="00934720" w:rsidRDefault="00B64B78" w:rsidP="00F63829">
            <w:pPr>
              <w:pStyle w:val="TableCell0"/>
            </w:pPr>
            <w:r>
              <w:t xml:space="preserve">Size of </w:t>
            </w:r>
            <w:r w:rsidRPr="00934720">
              <w:t>CORESET</w:t>
            </w:r>
            <w:r>
              <w:t>#</w:t>
            </w:r>
            <w:r w:rsidRPr="00934720">
              <w:t>0</w:t>
            </w:r>
          </w:p>
        </w:tc>
      </w:tr>
    </w:tbl>
    <w:p w14:paraId="2FB9D136" w14:textId="77777777" w:rsidR="00B64B78" w:rsidRDefault="00B64B78" w:rsidP="00B64B78"/>
    <w:p w14:paraId="069BC549" w14:textId="77777777" w:rsidR="00B64B78" w:rsidRDefault="00B64B78" w:rsidP="00B64B78">
      <w:r>
        <w:t xml:space="preserve">This table indicates that in the scheduling of PSDCH for Msg2/MsgB, the size of the initial DL BWP can be used in the downlink. </w:t>
      </w:r>
    </w:p>
    <w:p w14:paraId="20EC2BA2" w14:textId="35C076F5" w:rsidR="00B64B78" w:rsidRDefault="00B64B78" w:rsidP="00B64B78">
      <w:r>
        <w:t xml:space="preserve">If RA-RNTI / MsgB-RNTI can be managed for RedCap UEs, then the network can ensure that the location of the scheduled PDSCH is within the bandwidth of the RedCap UE. From 38.321 </w:t>
      </w:r>
      <w:r>
        <w:fldChar w:fldCharType="begin"/>
      </w:r>
      <w:r>
        <w:instrText xml:space="preserve"> REF _Ref67895364 \r \h </w:instrText>
      </w:r>
      <w:r>
        <w:fldChar w:fldCharType="separate"/>
      </w:r>
      <w:r w:rsidR="004F7156">
        <w:t>[12]</w:t>
      </w:r>
      <w:r>
        <w:fldChar w:fldCharType="end"/>
      </w:r>
      <w:r>
        <w:t xml:space="preserve">, the values of RA-RNTI and MsgB-RNTI are computed based on a function of the symbol of the RACH occasion, the slot number, the index in the frequency domain, and whether a UL / SUL carrier was used. The implication is if the network can configure which RACH occasion a RedCap UE can use, the network knows which RA-RNTI would be used by a RedCap UE. As a result, the network can place the location of the PDSCH within the bandwidth of the RedCap UE. Note it may be necessary to align the initial DL BWP for RedCap UEs to CORESET#0. </w:t>
      </w:r>
    </w:p>
    <w:p w14:paraId="1F529C7A" w14:textId="77777777" w:rsidR="00B64B78" w:rsidRPr="00934720" w:rsidRDefault="00B64B78" w:rsidP="00B64B78">
      <w:pPr>
        <w:rPr>
          <w:b/>
          <w:bCs/>
          <w:i/>
          <w:iCs/>
        </w:rPr>
      </w:pPr>
      <w:r w:rsidRPr="00934720">
        <w:rPr>
          <w:b/>
          <w:bCs/>
          <w:i/>
          <w:iCs/>
        </w:rPr>
        <w:t>Observation</w:t>
      </w:r>
      <w:r>
        <w:rPr>
          <w:b/>
          <w:bCs/>
          <w:i/>
          <w:iCs/>
        </w:rPr>
        <w:t xml:space="preserve"> 3</w:t>
      </w:r>
      <w:r w:rsidRPr="00934720">
        <w:rPr>
          <w:b/>
          <w:bCs/>
          <w:i/>
          <w:iCs/>
        </w:rPr>
        <w:t xml:space="preserve">: </w:t>
      </w:r>
      <w:r>
        <w:rPr>
          <w:b/>
          <w:bCs/>
          <w:i/>
          <w:iCs/>
        </w:rPr>
        <w:t>By configuring which RACH occasion a RedCap UE can use, the network can ensure the PDSCH for Msg2/MsgB is within the bandwidth of the RedCap UE</w:t>
      </w:r>
      <w:r w:rsidRPr="00934720">
        <w:rPr>
          <w:b/>
          <w:bCs/>
          <w:i/>
          <w:iCs/>
        </w:rPr>
        <w:t>.</w:t>
      </w:r>
    </w:p>
    <w:p w14:paraId="3F49B7C2" w14:textId="77777777" w:rsidR="00B64B78" w:rsidRDefault="00B64B78" w:rsidP="00B64B78">
      <w:r>
        <w:t>The key point is for the downlink, network configuration can allow PDSCH transmissions to be confined within the maximum bandwidth of the RedCap UE. Thus, with the current set of agreements, a limited number of configuration changes are needed for the downlink.</w:t>
      </w:r>
    </w:p>
    <w:p w14:paraId="0A1B533D" w14:textId="77777777" w:rsidR="00B64B78" w:rsidRDefault="00B64B78" w:rsidP="00B64B78">
      <w:r>
        <w:t>The analysis shows that RedCap and non-RedCap UEs can share PDSCH resources if the network ensures those PDSCH resources are within the bandwidth of a RedCap UE.</w:t>
      </w:r>
    </w:p>
    <w:p w14:paraId="01727D1D" w14:textId="0238D0D0" w:rsidR="00A56592" w:rsidRDefault="006000B7" w:rsidP="00114C8C">
      <w:pPr>
        <w:pStyle w:val="Heading2"/>
      </w:pPr>
      <w:r>
        <w:t>Uplink</w:t>
      </w:r>
    </w:p>
    <w:p w14:paraId="5CF0480E" w14:textId="77777777" w:rsidR="00B64B78" w:rsidRPr="00D35735" w:rsidRDefault="00B64B78" w:rsidP="00B64B78">
      <w:r>
        <w:t>The initial UL BWP is configured by the network. As such, in order to ensure the resources for the RACH occasions, PUSCH, and PUCCH are within the bandwidth of the RedCap UE and to allow for sharing of resources with non-RedCap UEs, appropriate configuration by the network is needed. Analysis is performed on the signaling and each channel to determine what parameters / factors should be considered for a RedCap UE.</w:t>
      </w:r>
    </w:p>
    <w:p w14:paraId="0E8AF1F8" w14:textId="1CDA8D70" w:rsidR="00725BB9" w:rsidRDefault="00725BB9" w:rsidP="00114C8C">
      <w:pPr>
        <w:pStyle w:val="Heading3"/>
      </w:pPr>
      <w:bookmarkStart w:id="7" w:name="_Ref68361154"/>
      <w:r>
        <w:t>Signaling</w:t>
      </w:r>
      <w:bookmarkEnd w:id="7"/>
    </w:p>
    <w:p w14:paraId="5FE72405" w14:textId="5C2E06FF" w:rsidR="00725BB9" w:rsidRDefault="00725BB9" w:rsidP="00A56592">
      <w:pPr>
        <w:rPr>
          <w:szCs w:val="28"/>
        </w:rPr>
      </w:pPr>
      <w:r>
        <w:t xml:space="preserve">The UE receives </w:t>
      </w:r>
      <w:r w:rsidR="004B28E1">
        <w:t xml:space="preserve">configuration of the UL BWP via the following signaling </w:t>
      </w:r>
      <w:r w:rsidRPr="00725BB9">
        <w:rPr>
          <w:i/>
          <w:iCs/>
        </w:rPr>
        <w:t>ServingCellConfigCommonSIB</w:t>
      </w:r>
      <w:r>
        <w:t xml:space="preserve"> </w:t>
      </w:r>
      <w:r w:rsidRPr="00725BB9">
        <w:rPr>
          <w:szCs w:val="28"/>
        </w:rPr>
        <w:sym w:font="Symbol" w:char="F0AE"/>
      </w:r>
      <w:r>
        <w:rPr>
          <w:szCs w:val="28"/>
        </w:rPr>
        <w:t xml:space="preserve"> </w:t>
      </w:r>
      <w:r w:rsidRPr="00725BB9">
        <w:rPr>
          <w:i/>
          <w:iCs/>
          <w:szCs w:val="28"/>
        </w:rPr>
        <w:t>UplinkConfigCommonSIB</w:t>
      </w:r>
      <w:r>
        <w:rPr>
          <w:szCs w:val="28"/>
        </w:rPr>
        <w:t xml:space="preserve"> </w:t>
      </w:r>
      <w:r w:rsidRPr="00725BB9">
        <w:rPr>
          <w:szCs w:val="28"/>
        </w:rPr>
        <w:sym w:font="Symbol" w:char="F0AE"/>
      </w:r>
      <w:r>
        <w:rPr>
          <w:szCs w:val="28"/>
        </w:rPr>
        <w:t xml:space="preserve"> </w:t>
      </w:r>
    </w:p>
    <w:p w14:paraId="4E6AAE59" w14:textId="53233F08" w:rsidR="00725BB9" w:rsidRPr="00821806" w:rsidRDefault="00725BB9" w:rsidP="00725BB9">
      <w:pPr>
        <w:pStyle w:val="ListParagraph"/>
        <w:numPr>
          <w:ilvl w:val="0"/>
          <w:numId w:val="23"/>
        </w:numPr>
      </w:pPr>
      <w:r w:rsidRPr="00725BB9">
        <w:rPr>
          <w:i/>
          <w:iCs/>
          <w:szCs w:val="28"/>
        </w:rPr>
        <w:t>RACH-ConfigCommon</w:t>
      </w:r>
      <w:r>
        <w:rPr>
          <w:szCs w:val="28"/>
        </w:rPr>
        <w:t xml:space="preserve"> </w:t>
      </w:r>
      <w:r w:rsidRPr="00725BB9">
        <w:rPr>
          <w:szCs w:val="28"/>
        </w:rPr>
        <w:sym w:font="Symbol" w:char="F0AE"/>
      </w:r>
      <w:r>
        <w:rPr>
          <w:szCs w:val="28"/>
        </w:rPr>
        <w:t xml:space="preserve"> </w:t>
      </w:r>
      <w:r w:rsidR="00AB4325" w:rsidRPr="00AB4325">
        <w:rPr>
          <w:i/>
          <w:iCs/>
          <w:szCs w:val="28"/>
        </w:rPr>
        <w:t>RACH-ConfigGeneric</w:t>
      </w:r>
      <w:r w:rsidR="00821806">
        <w:rPr>
          <w:szCs w:val="28"/>
        </w:rPr>
        <w:t xml:space="preserve"> </w:t>
      </w:r>
      <w:r w:rsidR="00821806" w:rsidRPr="00725BB9">
        <w:rPr>
          <w:szCs w:val="28"/>
        </w:rPr>
        <w:sym w:font="Symbol" w:char="F0AE"/>
      </w:r>
      <w:r w:rsidR="00821806">
        <w:rPr>
          <w:szCs w:val="28"/>
        </w:rPr>
        <w:t xml:space="preserve"> </w:t>
      </w:r>
      <w:r w:rsidR="00821806" w:rsidRPr="00821806">
        <w:rPr>
          <w:i/>
          <w:iCs/>
          <w:szCs w:val="28"/>
        </w:rPr>
        <w:t>msg1-FrequencyStart</w:t>
      </w:r>
      <w:r w:rsidR="00821806">
        <w:rPr>
          <w:szCs w:val="28"/>
        </w:rPr>
        <w:t xml:space="preserve">, </w:t>
      </w:r>
      <w:r w:rsidR="00821806" w:rsidRPr="00821806">
        <w:rPr>
          <w:i/>
          <w:iCs/>
        </w:rPr>
        <w:t>msg1-FDM</w:t>
      </w:r>
    </w:p>
    <w:p w14:paraId="493F9E1C" w14:textId="1579C5F9" w:rsidR="00821806" w:rsidRDefault="00821806" w:rsidP="00821806">
      <w:pPr>
        <w:pStyle w:val="ListParagraph"/>
        <w:numPr>
          <w:ilvl w:val="0"/>
          <w:numId w:val="37"/>
        </w:numPr>
        <w:ind w:left="1080"/>
        <w:rPr>
          <w:i/>
          <w:iCs/>
          <w:sz w:val="18"/>
          <w:szCs w:val="18"/>
        </w:rPr>
      </w:pPr>
      <w:r w:rsidRPr="00821806">
        <w:rPr>
          <w:i/>
          <w:iCs/>
          <w:sz w:val="18"/>
          <w:szCs w:val="18"/>
        </w:rPr>
        <w:t>The number of PRACH transmission occasions FDMed in one time instance. (see TS 38.211 [16], clause 6.3.3.2).</w:t>
      </w:r>
    </w:p>
    <w:p w14:paraId="7BAC942E" w14:textId="1C49C7B1" w:rsidR="00821806" w:rsidRPr="00821806" w:rsidRDefault="00821806" w:rsidP="00821806">
      <w:pPr>
        <w:pStyle w:val="ListParagraph"/>
        <w:numPr>
          <w:ilvl w:val="0"/>
          <w:numId w:val="37"/>
        </w:numPr>
        <w:ind w:left="1080"/>
        <w:rPr>
          <w:i/>
          <w:iCs/>
          <w:sz w:val="18"/>
          <w:szCs w:val="18"/>
        </w:rPr>
      </w:pPr>
      <w:r w:rsidRPr="00821806">
        <w:rPr>
          <w:i/>
          <w:iCs/>
          <w:sz w:val="18"/>
          <w:szCs w:val="18"/>
        </w:rPr>
        <w:lastRenderedPageBreak/>
        <w:t>Offset of lowest PRACH transmission occasion in frequency domain with respective to PRB 0. The value is configured so that the corresponding RACH resource is entirely within the bandwidth of the UL BWP. (see TS 38.211, clause 6.3.3.2).</w:t>
      </w:r>
    </w:p>
    <w:p w14:paraId="4BDE974F" w14:textId="7EBA0918" w:rsidR="00725BB9" w:rsidRPr="0060489C" w:rsidRDefault="00725BB9" w:rsidP="0060489C">
      <w:pPr>
        <w:pStyle w:val="ListParagraph"/>
        <w:numPr>
          <w:ilvl w:val="0"/>
          <w:numId w:val="23"/>
        </w:numPr>
        <w:jc w:val="left"/>
      </w:pPr>
      <w:r w:rsidRPr="00725BB9">
        <w:rPr>
          <w:i/>
          <w:iCs/>
          <w:szCs w:val="28"/>
        </w:rPr>
        <w:t>PUSCH-ConfigCommon</w:t>
      </w:r>
      <w:r>
        <w:rPr>
          <w:szCs w:val="28"/>
        </w:rPr>
        <w:t xml:space="preserve"> </w:t>
      </w:r>
      <w:r w:rsidRPr="00725BB9">
        <w:rPr>
          <w:szCs w:val="28"/>
        </w:rPr>
        <w:sym w:font="Symbol" w:char="F0AE"/>
      </w:r>
      <w:r w:rsidR="0060489C">
        <w:rPr>
          <w:szCs w:val="28"/>
        </w:rPr>
        <w:t xml:space="preserve"> </w:t>
      </w:r>
      <w:r w:rsidR="0060489C" w:rsidRPr="0060489C">
        <w:rPr>
          <w:i/>
          <w:iCs/>
          <w:szCs w:val="28"/>
        </w:rPr>
        <w:t>pusch-TimeDomainAllocationList</w:t>
      </w:r>
    </w:p>
    <w:p w14:paraId="3F1489C3" w14:textId="72E66A62" w:rsidR="0060489C" w:rsidRPr="0060489C" w:rsidRDefault="0060489C" w:rsidP="0060489C">
      <w:pPr>
        <w:ind w:left="720"/>
        <w:rPr>
          <w:i/>
          <w:iCs/>
          <w:sz w:val="18"/>
          <w:szCs w:val="18"/>
        </w:rPr>
      </w:pPr>
      <w:r w:rsidRPr="0060489C">
        <w:rPr>
          <w:i/>
          <w:iCs/>
          <w:sz w:val="18"/>
          <w:szCs w:val="18"/>
        </w:rPr>
        <w:t>List of time domain allocations for timing of UL assignment to UL data (see TS 38.214, table 6.1.2.1.1-1).</w:t>
      </w:r>
    </w:p>
    <w:p w14:paraId="58C271D5" w14:textId="3D66B9D2" w:rsidR="00423622" w:rsidRDefault="00725BB9" w:rsidP="00725BB9">
      <w:pPr>
        <w:pStyle w:val="ListParagraph"/>
        <w:numPr>
          <w:ilvl w:val="0"/>
          <w:numId w:val="23"/>
        </w:numPr>
      </w:pPr>
      <w:r w:rsidRPr="00AB4325">
        <w:rPr>
          <w:i/>
          <w:iCs/>
          <w:szCs w:val="28"/>
        </w:rPr>
        <w:t>PUCCH-ConfigCommon</w:t>
      </w:r>
      <w:r w:rsidRPr="00725BB9">
        <w:rPr>
          <w:szCs w:val="28"/>
        </w:rPr>
        <w:t xml:space="preserve"> </w:t>
      </w:r>
      <w:r w:rsidRPr="00725BB9">
        <w:rPr>
          <w:szCs w:val="28"/>
        </w:rPr>
        <w:sym w:font="Symbol" w:char="F0AE"/>
      </w:r>
      <w:r w:rsidR="0060489C" w:rsidRPr="0060489C">
        <w:rPr>
          <w:i/>
          <w:iCs/>
          <w:szCs w:val="28"/>
        </w:rPr>
        <w:t xml:space="preserve"> pucch-ResourceCommon</w:t>
      </w:r>
      <w:r w:rsidR="0060489C" w:rsidRPr="0060489C">
        <w:rPr>
          <w:szCs w:val="28"/>
        </w:rPr>
        <w:t xml:space="preserve">, </w:t>
      </w:r>
      <w:r w:rsidR="0060489C" w:rsidRPr="0060489C">
        <w:rPr>
          <w:i/>
          <w:iCs/>
          <w:szCs w:val="28"/>
        </w:rPr>
        <w:t>pucch-GroupHopping</w:t>
      </w:r>
      <w:r w:rsidR="0060489C">
        <w:rPr>
          <w:i/>
          <w:iCs/>
          <w:szCs w:val="28"/>
        </w:rPr>
        <w:t xml:space="preserve">, </w:t>
      </w:r>
    </w:p>
    <w:p w14:paraId="22F99142" w14:textId="557E8CA5" w:rsidR="0060489C" w:rsidRPr="0060489C" w:rsidRDefault="0060489C" w:rsidP="0060489C">
      <w:pPr>
        <w:pStyle w:val="ListParagraph"/>
        <w:rPr>
          <w:i/>
          <w:iCs/>
          <w:sz w:val="18"/>
          <w:szCs w:val="18"/>
        </w:rPr>
      </w:pPr>
      <w:r w:rsidRPr="0060489C">
        <w:rPr>
          <w:i/>
          <w:iCs/>
          <w:sz w:val="18"/>
          <w:szCs w:val="18"/>
        </w:rPr>
        <w:t>An entry into a 16-row table where each row configures a set of cell-specific PUCCH resources/parameters. The UE uses those PUCCH resources until it is provided with a dedicated PUCCH-Config (e.g. during initial access) on the initial uplink BWP. Once the network provides a dedicated PUCCH-Config for that bandwidth part the UE applies that one instead of the one provided in this field (see TS 38.213, clause 9.2).</w:t>
      </w:r>
    </w:p>
    <w:p w14:paraId="18789030" w14:textId="4EE03192" w:rsidR="00821806" w:rsidRDefault="00821806" w:rsidP="00114C8C">
      <w:pPr>
        <w:pStyle w:val="Heading3"/>
      </w:pPr>
      <w:r>
        <w:t>RACH occasion</w:t>
      </w:r>
    </w:p>
    <w:p w14:paraId="3FFC0250" w14:textId="13153ABE" w:rsidR="00C87FC7" w:rsidRPr="00E14454" w:rsidRDefault="00C87FC7" w:rsidP="00C87FC7">
      <w:r>
        <w:t xml:space="preserve">In RAN1#104, agreements regarding RACH occasions are presented below </w:t>
      </w:r>
      <w:r>
        <w:fldChar w:fldCharType="begin"/>
      </w:r>
      <w:r>
        <w:instrText xml:space="preserve"> REF _Ref65593867 \r \h </w:instrText>
      </w:r>
      <w:r>
        <w:fldChar w:fldCharType="separate"/>
      </w:r>
      <w:r w:rsidR="004F7156">
        <w:t>[2]</w:t>
      </w:r>
      <w:r>
        <w:fldChar w:fldCharType="end"/>
      </w:r>
      <w:r>
        <w:t xml:space="preserve"> </w:t>
      </w:r>
    </w:p>
    <w:tbl>
      <w:tblPr>
        <w:tblStyle w:val="TableGrid"/>
        <w:tblW w:w="0" w:type="auto"/>
        <w:tblLook w:val="04A0" w:firstRow="1" w:lastRow="0" w:firstColumn="1" w:lastColumn="0" w:noHBand="0" w:noVBand="1"/>
      </w:tblPr>
      <w:tblGrid>
        <w:gridCol w:w="9307"/>
      </w:tblGrid>
      <w:tr w:rsidR="00C87FC7" w:rsidRPr="00934720" w14:paraId="61940F51" w14:textId="77777777" w:rsidTr="00290266">
        <w:tc>
          <w:tcPr>
            <w:tcW w:w="9350" w:type="dxa"/>
          </w:tcPr>
          <w:p w14:paraId="41F19BD7" w14:textId="77777777" w:rsidR="00C87FC7" w:rsidRPr="00934720" w:rsidRDefault="00C87FC7" w:rsidP="00290266">
            <w:pPr>
              <w:pStyle w:val="ListParagraph"/>
              <w:numPr>
                <w:ilvl w:val="0"/>
                <w:numId w:val="30"/>
              </w:numPr>
              <w:rPr>
                <w:sz w:val="18"/>
                <w:szCs w:val="20"/>
              </w:rPr>
            </w:pPr>
            <w:r w:rsidRPr="00934720">
              <w:rPr>
                <w:sz w:val="18"/>
                <w:szCs w:val="20"/>
              </w:rPr>
              <w:t>Study further how to enable/support that a RACH occasion associated with the best SSB falls within the RedCap UE bandwidth, with the following options:</w:t>
            </w:r>
          </w:p>
          <w:p w14:paraId="6CF46CB5" w14:textId="77777777" w:rsidR="00C87FC7" w:rsidRPr="005B709D" w:rsidRDefault="00C87FC7" w:rsidP="00290266">
            <w:pPr>
              <w:pStyle w:val="ListParagraph"/>
              <w:numPr>
                <w:ilvl w:val="1"/>
                <w:numId w:val="23"/>
              </w:numPr>
              <w:rPr>
                <w:sz w:val="18"/>
                <w:szCs w:val="20"/>
              </w:rPr>
            </w:pPr>
            <w:r w:rsidRPr="005B709D">
              <w:rPr>
                <w:sz w:val="18"/>
                <w:szCs w:val="20"/>
              </w:rPr>
              <w:t>Option 1: Proper RF-retuning for RedCap</w:t>
            </w:r>
          </w:p>
          <w:p w14:paraId="77FB4147" w14:textId="77777777" w:rsidR="00C87FC7" w:rsidRPr="005B709D" w:rsidRDefault="00C87FC7" w:rsidP="00290266">
            <w:pPr>
              <w:pStyle w:val="ListParagraph"/>
              <w:numPr>
                <w:ilvl w:val="1"/>
                <w:numId w:val="23"/>
              </w:numPr>
              <w:rPr>
                <w:sz w:val="18"/>
                <w:szCs w:val="20"/>
              </w:rPr>
            </w:pPr>
            <w:r w:rsidRPr="00934720">
              <w:rPr>
                <w:sz w:val="18"/>
                <w:szCs w:val="20"/>
              </w:rPr>
              <w:t>Option 2: Separate initial UL BWP(s) for RedCap UEs</w:t>
            </w:r>
          </w:p>
          <w:p w14:paraId="7D0445CA" w14:textId="77777777" w:rsidR="00C87FC7" w:rsidRPr="00934720" w:rsidRDefault="00C87FC7" w:rsidP="00290266">
            <w:pPr>
              <w:pStyle w:val="ListParagraph"/>
              <w:numPr>
                <w:ilvl w:val="1"/>
                <w:numId w:val="23"/>
              </w:numPr>
              <w:rPr>
                <w:sz w:val="18"/>
                <w:szCs w:val="20"/>
              </w:rPr>
            </w:pPr>
            <w:r w:rsidRPr="00934720">
              <w:rPr>
                <w:sz w:val="18"/>
                <w:szCs w:val="20"/>
              </w:rPr>
              <w:t>Option 3: gNB configuration (e.g., restrictions on existing PRACH configurations, or FDM-ed ROs, or always restricting the initial UL BWP to within RedCap UE bandwidth)</w:t>
            </w:r>
          </w:p>
          <w:p w14:paraId="27F6401C" w14:textId="77777777" w:rsidR="00C87FC7" w:rsidRPr="00934720" w:rsidRDefault="00C87FC7" w:rsidP="00290266">
            <w:pPr>
              <w:pStyle w:val="ListParagraph"/>
              <w:numPr>
                <w:ilvl w:val="1"/>
                <w:numId w:val="23"/>
              </w:numPr>
              <w:rPr>
                <w:sz w:val="18"/>
                <w:szCs w:val="20"/>
              </w:rPr>
            </w:pPr>
            <w:r w:rsidRPr="00934720">
              <w:rPr>
                <w:sz w:val="18"/>
                <w:szCs w:val="20"/>
              </w:rPr>
              <w:t>Option 4: Dedicated PRACH configurations (e.g., ROs) for RedCap UEs</w:t>
            </w:r>
          </w:p>
          <w:p w14:paraId="2D06310A" w14:textId="77777777" w:rsidR="00C87FC7" w:rsidRPr="00934720" w:rsidRDefault="00C87FC7" w:rsidP="00290266">
            <w:pPr>
              <w:pStyle w:val="ListParagraph"/>
              <w:numPr>
                <w:ilvl w:val="1"/>
                <w:numId w:val="23"/>
              </w:numPr>
              <w:rPr>
                <w:sz w:val="18"/>
                <w:szCs w:val="20"/>
              </w:rPr>
            </w:pPr>
            <w:r w:rsidRPr="00934720">
              <w:rPr>
                <w:sz w:val="18"/>
                <w:szCs w:val="20"/>
              </w:rPr>
              <w:t>Other options are not precluded</w:t>
            </w:r>
          </w:p>
        </w:tc>
      </w:tr>
    </w:tbl>
    <w:p w14:paraId="369CF0BF" w14:textId="71443E2C" w:rsidR="00AB5443" w:rsidRDefault="00AB5443" w:rsidP="00AB5443"/>
    <w:p w14:paraId="4DC6DE63" w14:textId="4B8042B6" w:rsidR="00F63829" w:rsidRDefault="00F63829" w:rsidP="00F63829">
      <w:r>
        <w:t xml:space="preserve">The frequency location for each RACH occasion is determined by the parameter </w:t>
      </w:r>
      <w:r w:rsidRPr="000018CB">
        <w:rPr>
          <w:i/>
          <w:iCs/>
        </w:rPr>
        <w:t>msg1-FrequencyStart</w:t>
      </w:r>
      <w:r>
        <w:t xml:space="preserve"> for the base address, and the number of the occasions is</w:t>
      </w:r>
      <w:r w:rsidRPr="000018CB">
        <w:t xml:space="preserve"> </w:t>
      </w:r>
      <w:r w:rsidRPr="000018CB">
        <w:rPr>
          <w:i/>
          <w:iCs/>
        </w:rPr>
        <w:t>msg1-FDM</w:t>
      </w:r>
      <w:r>
        <w:t xml:space="preserve">. The size of the RACH occasion is governed by the SCS and the RRC parameter </w:t>
      </w:r>
      <w:r w:rsidRPr="00553456">
        <w:rPr>
          <w:i/>
          <w:iCs/>
        </w:rPr>
        <w:t>prach-RootSequenceIndex</w:t>
      </w:r>
      <w:r>
        <w:t xml:space="preserve">. Even though the bandwidth of a PRACH transmission is at most 20 MHz for FR1 and FR2, the bandwidth for supporting up to 8 RACH occasions in frequency (with a limit of 275 RBs) can exceed the bandwidth of the RedCap UE, as indicated by the shading in </w:t>
      </w:r>
      <w:r>
        <w:fldChar w:fldCharType="begin"/>
      </w:r>
      <w:r>
        <w:instrText xml:space="preserve"> REF _Ref68359001 \h </w:instrText>
      </w:r>
      <w:r>
        <w:fldChar w:fldCharType="separate"/>
      </w:r>
      <w:r w:rsidR="004F7156">
        <w:t xml:space="preserve">Table </w:t>
      </w:r>
      <w:r w:rsidR="004F7156">
        <w:rPr>
          <w:noProof/>
        </w:rPr>
        <w:t>5</w:t>
      </w:r>
      <w:r>
        <w:fldChar w:fldCharType="end"/>
      </w:r>
      <w:r>
        <w:t>.</w:t>
      </w:r>
    </w:p>
    <w:p w14:paraId="614E6756" w14:textId="05250D81" w:rsidR="00F63829" w:rsidRDefault="00F63829" w:rsidP="00F63829">
      <w:pPr>
        <w:pStyle w:val="Caption"/>
        <w:keepNext/>
      </w:pPr>
      <w:bookmarkStart w:id="8" w:name="_Ref68359001"/>
      <w:r>
        <w:t xml:space="preserve">Table </w:t>
      </w:r>
      <w:r w:rsidR="00084B66">
        <w:fldChar w:fldCharType="begin"/>
      </w:r>
      <w:r w:rsidR="00084B66">
        <w:instrText xml:space="preserve"> SEQ Table \* ARABIC </w:instrText>
      </w:r>
      <w:r w:rsidR="00084B66">
        <w:fldChar w:fldCharType="separate"/>
      </w:r>
      <w:r w:rsidR="004F7156">
        <w:rPr>
          <w:noProof/>
        </w:rPr>
        <w:t>5</w:t>
      </w:r>
      <w:r w:rsidR="00084B66">
        <w:rPr>
          <w:noProof/>
        </w:rPr>
        <w:fldChar w:fldCharType="end"/>
      </w:r>
      <w:bookmarkEnd w:id="8"/>
      <w:r>
        <w:t xml:space="preserve">. Maximum bandwidth assuming 8 RACH occasions and 275 RBs based on Table 6.3.3.2-1 </w:t>
      </w:r>
      <w:r>
        <w:fldChar w:fldCharType="begin"/>
      </w:r>
      <w:r>
        <w:instrText xml:space="preserve"> REF _Ref66107432 \r \h </w:instrText>
      </w:r>
      <w:r>
        <w:fldChar w:fldCharType="separate"/>
      </w:r>
      <w:r w:rsidR="004F7156">
        <w:t>[6]</w:t>
      </w:r>
      <w:r>
        <w:fldChar w:fldCharType="end"/>
      </w:r>
      <w:r>
        <w:t>. Shading indicates when the bandwidth for 8 RACH occasions exceeds 20 MHz.</w:t>
      </w:r>
    </w:p>
    <w:tbl>
      <w:tblPr>
        <w:tblStyle w:val="TableGrid"/>
        <w:tblW w:w="0" w:type="auto"/>
        <w:tblLook w:val="04A0" w:firstRow="1" w:lastRow="0" w:firstColumn="1" w:lastColumn="0" w:noHBand="0" w:noVBand="1"/>
      </w:tblPr>
      <w:tblGrid>
        <w:gridCol w:w="625"/>
        <w:gridCol w:w="630"/>
        <w:gridCol w:w="780"/>
        <w:gridCol w:w="780"/>
        <w:gridCol w:w="780"/>
        <w:gridCol w:w="780"/>
        <w:gridCol w:w="780"/>
        <w:gridCol w:w="780"/>
        <w:gridCol w:w="843"/>
        <w:gridCol w:w="843"/>
        <w:gridCol w:w="843"/>
        <w:gridCol w:w="843"/>
      </w:tblGrid>
      <w:tr w:rsidR="00F63829" w14:paraId="032BD951" w14:textId="77777777" w:rsidTr="00F63829">
        <w:tc>
          <w:tcPr>
            <w:tcW w:w="625" w:type="dxa"/>
          </w:tcPr>
          <w:p w14:paraId="17DF3340" w14:textId="77777777" w:rsidR="00F63829" w:rsidRPr="00AD3B7F" w:rsidRDefault="00F63829" w:rsidP="00F63829">
            <w:pPr>
              <w:pStyle w:val="TableCell0"/>
              <w:rPr>
                <w:sz w:val="18"/>
                <w:szCs w:val="20"/>
              </w:rPr>
            </w:pPr>
          </w:p>
        </w:tc>
        <w:tc>
          <w:tcPr>
            <w:tcW w:w="630" w:type="dxa"/>
          </w:tcPr>
          <w:p w14:paraId="68BDCC07" w14:textId="77777777" w:rsidR="00F63829" w:rsidRPr="00AD3B7F" w:rsidRDefault="00F63829" w:rsidP="00F63829">
            <w:pPr>
              <w:pStyle w:val="TableCell0"/>
              <w:rPr>
                <w:sz w:val="18"/>
                <w:szCs w:val="20"/>
              </w:rPr>
            </w:pPr>
          </w:p>
        </w:tc>
        <w:tc>
          <w:tcPr>
            <w:tcW w:w="2340" w:type="dxa"/>
            <w:gridSpan w:val="3"/>
          </w:tcPr>
          <w:p w14:paraId="54492812" w14:textId="77777777" w:rsidR="00F63829" w:rsidRPr="00AD3B7F" w:rsidRDefault="00F63829" w:rsidP="00F63829">
            <w:pPr>
              <w:pStyle w:val="TableCell0"/>
              <w:rPr>
                <w:sz w:val="18"/>
                <w:szCs w:val="20"/>
              </w:rPr>
            </w:pPr>
            <w:r>
              <w:rPr>
                <w:rFonts w:eastAsiaTheme="minorEastAsia"/>
                <w:sz w:val="18"/>
                <w:szCs w:val="20"/>
              </w:rPr>
              <w:t xml:space="preserve">No. RBs for </w:t>
            </w:r>
            <m:oMath>
              <m:r>
                <w:rPr>
                  <w:rFonts w:ascii="Cambria Math" w:hAnsi="Cambria Math"/>
                  <w:sz w:val="18"/>
                  <w:szCs w:val="20"/>
                </w:rPr>
                <m:t>∆f</m:t>
              </m:r>
            </m:oMath>
            <w:r w:rsidRPr="00AD3B7F">
              <w:rPr>
                <w:rFonts w:eastAsiaTheme="minorEastAsia"/>
                <w:sz w:val="18"/>
                <w:szCs w:val="20"/>
              </w:rPr>
              <w:t>, FR1</w:t>
            </w:r>
            <w:r>
              <w:rPr>
                <w:rFonts w:eastAsiaTheme="minorEastAsia"/>
                <w:sz w:val="18"/>
                <w:szCs w:val="20"/>
              </w:rPr>
              <w:t>, one RACH occasion</w:t>
            </w:r>
          </w:p>
        </w:tc>
        <w:tc>
          <w:tcPr>
            <w:tcW w:w="2340" w:type="dxa"/>
            <w:gridSpan w:val="3"/>
          </w:tcPr>
          <w:p w14:paraId="15931A3A" w14:textId="77777777" w:rsidR="00F63829" w:rsidRPr="00AD3B7F" w:rsidRDefault="00F63829" w:rsidP="00F63829">
            <w:pPr>
              <w:pStyle w:val="TableCell0"/>
              <w:rPr>
                <w:sz w:val="18"/>
                <w:szCs w:val="20"/>
              </w:rPr>
            </w:pPr>
            <w:r>
              <w:rPr>
                <w:sz w:val="18"/>
                <w:szCs w:val="20"/>
              </w:rPr>
              <w:t>Max BW, MHz, FR1, for 8 RACH occasions</w:t>
            </w:r>
          </w:p>
        </w:tc>
        <w:tc>
          <w:tcPr>
            <w:tcW w:w="1686" w:type="dxa"/>
            <w:gridSpan w:val="2"/>
          </w:tcPr>
          <w:p w14:paraId="4761D4D3" w14:textId="77777777" w:rsidR="00F63829" w:rsidRPr="00AD3B7F" w:rsidRDefault="00F63829" w:rsidP="00F63829">
            <w:pPr>
              <w:pStyle w:val="TableCell0"/>
              <w:rPr>
                <w:sz w:val="18"/>
                <w:szCs w:val="20"/>
              </w:rPr>
            </w:pPr>
            <w:r>
              <w:rPr>
                <w:rFonts w:eastAsiaTheme="minorEastAsia"/>
                <w:sz w:val="18"/>
                <w:szCs w:val="20"/>
              </w:rPr>
              <w:t>No. RBs</w:t>
            </w:r>
            <w:r w:rsidRPr="00AD3B7F">
              <w:rPr>
                <w:rFonts w:eastAsiaTheme="minorEastAsia"/>
                <w:sz w:val="18"/>
                <w:szCs w:val="20"/>
              </w:rPr>
              <w:t xml:space="preserve"> </w:t>
            </w:r>
            <w:r>
              <w:rPr>
                <w:rFonts w:eastAsiaTheme="minorEastAsia"/>
                <w:sz w:val="18"/>
                <w:szCs w:val="20"/>
              </w:rPr>
              <w:t>(</w:t>
            </w:r>
            <w:r w:rsidRPr="00AD3B7F">
              <w:rPr>
                <w:rFonts w:eastAsiaTheme="minorEastAsia"/>
                <w:sz w:val="18"/>
                <w:szCs w:val="20"/>
              </w:rPr>
              <w:t>FR</w:t>
            </w:r>
            <w:r>
              <w:rPr>
                <w:rFonts w:eastAsiaTheme="minorEastAsia"/>
                <w:sz w:val="18"/>
                <w:szCs w:val="20"/>
              </w:rPr>
              <w:t>2), one RACH occasion</w:t>
            </w:r>
          </w:p>
        </w:tc>
        <w:tc>
          <w:tcPr>
            <w:tcW w:w="1686" w:type="dxa"/>
            <w:gridSpan w:val="2"/>
          </w:tcPr>
          <w:p w14:paraId="0F2E6D82" w14:textId="77777777" w:rsidR="00F63829" w:rsidRPr="00AD3B7F" w:rsidRDefault="00F63829" w:rsidP="00F63829">
            <w:pPr>
              <w:pStyle w:val="TableCell0"/>
              <w:rPr>
                <w:sz w:val="18"/>
                <w:szCs w:val="20"/>
              </w:rPr>
            </w:pPr>
            <w:r>
              <w:rPr>
                <w:sz w:val="18"/>
                <w:szCs w:val="20"/>
              </w:rPr>
              <w:t>Max BW, MHz, FR2 for 8 RACH occasions</w:t>
            </w:r>
          </w:p>
        </w:tc>
      </w:tr>
      <w:tr w:rsidR="00F63829" w14:paraId="6D2BBF69" w14:textId="77777777" w:rsidTr="00F63829">
        <w:tc>
          <w:tcPr>
            <w:tcW w:w="625" w:type="dxa"/>
          </w:tcPr>
          <w:p w14:paraId="443C97AC" w14:textId="77777777" w:rsidR="00F63829" w:rsidRPr="00AD3B7F" w:rsidRDefault="00084B66" w:rsidP="00F63829">
            <w:pPr>
              <w:pStyle w:val="TableCell0"/>
              <w:rPr>
                <w:sz w:val="18"/>
                <w:szCs w:val="20"/>
              </w:rPr>
            </w:pPr>
            <m:oMathPara>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RA</m:t>
                    </m:r>
                  </m:sub>
                </m:sSub>
              </m:oMath>
            </m:oMathPara>
          </w:p>
        </w:tc>
        <w:tc>
          <w:tcPr>
            <w:tcW w:w="630" w:type="dxa"/>
          </w:tcPr>
          <w:p w14:paraId="63937182" w14:textId="77777777" w:rsidR="00F63829" w:rsidRPr="00AD3B7F" w:rsidRDefault="00F63829" w:rsidP="00F63829">
            <w:pPr>
              <w:pStyle w:val="TableCell0"/>
              <w:rPr>
                <w:sz w:val="18"/>
                <w:szCs w:val="20"/>
              </w:rPr>
            </w:pPr>
            <m:oMathPara>
              <m:oMath>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RA</m:t>
                    </m:r>
                  </m:sub>
                </m:sSub>
              </m:oMath>
            </m:oMathPara>
          </w:p>
        </w:tc>
        <w:tc>
          <w:tcPr>
            <w:tcW w:w="780" w:type="dxa"/>
          </w:tcPr>
          <w:p w14:paraId="2A7678C5" w14:textId="77777777" w:rsidR="00F63829" w:rsidRPr="00AD3B7F" w:rsidRDefault="00F63829" w:rsidP="00F63829">
            <w:pPr>
              <w:pStyle w:val="TableCell0"/>
              <w:rPr>
                <w:sz w:val="18"/>
                <w:szCs w:val="20"/>
              </w:rPr>
            </w:pPr>
            <w:r w:rsidRPr="00AD3B7F">
              <w:rPr>
                <w:sz w:val="18"/>
                <w:szCs w:val="20"/>
              </w:rPr>
              <w:t>15 kHz</w:t>
            </w:r>
          </w:p>
        </w:tc>
        <w:tc>
          <w:tcPr>
            <w:tcW w:w="780" w:type="dxa"/>
          </w:tcPr>
          <w:p w14:paraId="1E03F0AA" w14:textId="77777777" w:rsidR="00F63829" w:rsidRPr="00AD3B7F" w:rsidRDefault="00F63829" w:rsidP="00F63829">
            <w:pPr>
              <w:pStyle w:val="TableCell0"/>
              <w:rPr>
                <w:sz w:val="18"/>
                <w:szCs w:val="20"/>
              </w:rPr>
            </w:pPr>
            <w:r w:rsidRPr="00AD3B7F">
              <w:rPr>
                <w:sz w:val="18"/>
                <w:szCs w:val="20"/>
              </w:rPr>
              <w:t>30 kHz</w:t>
            </w:r>
          </w:p>
        </w:tc>
        <w:tc>
          <w:tcPr>
            <w:tcW w:w="780" w:type="dxa"/>
          </w:tcPr>
          <w:p w14:paraId="18346E18" w14:textId="77777777" w:rsidR="00F63829" w:rsidRPr="00AD3B7F" w:rsidRDefault="00F63829" w:rsidP="00F63829">
            <w:pPr>
              <w:pStyle w:val="TableCell0"/>
              <w:rPr>
                <w:sz w:val="18"/>
                <w:szCs w:val="20"/>
              </w:rPr>
            </w:pPr>
            <w:r w:rsidRPr="00AD3B7F">
              <w:rPr>
                <w:sz w:val="18"/>
                <w:szCs w:val="20"/>
              </w:rPr>
              <w:t>60 kHz</w:t>
            </w:r>
          </w:p>
        </w:tc>
        <w:tc>
          <w:tcPr>
            <w:tcW w:w="780" w:type="dxa"/>
          </w:tcPr>
          <w:p w14:paraId="2E705B5F" w14:textId="77777777" w:rsidR="00F63829" w:rsidRPr="00AD3B7F" w:rsidRDefault="00F63829" w:rsidP="00F63829">
            <w:pPr>
              <w:pStyle w:val="TableCell0"/>
              <w:rPr>
                <w:sz w:val="18"/>
                <w:szCs w:val="20"/>
              </w:rPr>
            </w:pPr>
            <w:r w:rsidRPr="00AD3B7F">
              <w:rPr>
                <w:sz w:val="18"/>
                <w:szCs w:val="20"/>
              </w:rPr>
              <w:t>15 kHz</w:t>
            </w:r>
          </w:p>
        </w:tc>
        <w:tc>
          <w:tcPr>
            <w:tcW w:w="780" w:type="dxa"/>
          </w:tcPr>
          <w:p w14:paraId="276E1E62" w14:textId="77777777" w:rsidR="00F63829" w:rsidRPr="00AD3B7F" w:rsidRDefault="00F63829" w:rsidP="00F63829">
            <w:pPr>
              <w:pStyle w:val="TableCell0"/>
              <w:rPr>
                <w:sz w:val="18"/>
                <w:szCs w:val="20"/>
              </w:rPr>
            </w:pPr>
            <w:r w:rsidRPr="00AD3B7F">
              <w:rPr>
                <w:sz w:val="18"/>
                <w:szCs w:val="20"/>
              </w:rPr>
              <w:t>30 kHz</w:t>
            </w:r>
          </w:p>
        </w:tc>
        <w:tc>
          <w:tcPr>
            <w:tcW w:w="780" w:type="dxa"/>
          </w:tcPr>
          <w:p w14:paraId="46906B65" w14:textId="77777777" w:rsidR="00F63829" w:rsidRPr="00AD3B7F" w:rsidRDefault="00F63829" w:rsidP="00F63829">
            <w:pPr>
              <w:pStyle w:val="TableCell0"/>
              <w:rPr>
                <w:sz w:val="18"/>
                <w:szCs w:val="20"/>
              </w:rPr>
            </w:pPr>
            <w:r w:rsidRPr="00AD3B7F">
              <w:rPr>
                <w:sz w:val="18"/>
                <w:szCs w:val="20"/>
              </w:rPr>
              <w:t>60 kHz</w:t>
            </w:r>
          </w:p>
        </w:tc>
        <w:tc>
          <w:tcPr>
            <w:tcW w:w="843" w:type="dxa"/>
          </w:tcPr>
          <w:p w14:paraId="2D74DAB5" w14:textId="77777777" w:rsidR="00F63829" w:rsidRPr="00AD3B7F" w:rsidRDefault="00F63829" w:rsidP="00F63829">
            <w:pPr>
              <w:pStyle w:val="TableCell0"/>
              <w:rPr>
                <w:sz w:val="18"/>
                <w:szCs w:val="20"/>
              </w:rPr>
            </w:pPr>
            <w:r w:rsidRPr="00AD3B7F">
              <w:rPr>
                <w:sz w:val="18"/>
                <w:szCs w:val="20"/>
              </w:rPr>
              <w:t>60 kHz</w:t>
            </w:r>
          </w:p>
        </w:tc>
        <w:tc>
          <w:tcPr>
            <w:tcW w:w="843" w:type="dxa"/>
          </w:tcPr>
          <w:p w14:paraId="76F7237F" w14:textId="77777777" w:rsidR="00F63829" w:rsidRPr="00AD3B7F" w:rsidRDefault="00F63829" w:rsidP="00F63829">
            <w:pPr>
              <w:pStyle w:val="TableCell0"/>
              <w:rPr>
                <w:sz w:val="18"/>
                <w:szCs w:val="20"/>
              </w:rPr>
            </w:pPr>
            <w:r w:rsidRPr="00AD3B7F">
              <w:rPr>
                <w:sz w:val="18"/>
                <w:szCs w:val="20"/>
              </w:rPr>
              <w:t>120 kHz</w:t>
            </w:r>
          </w:p>
        </w:tc>
        <w:tc>
          <w:tcPr>
            <w:tcW w:w="843" w:type="dxa"/>
          </w:tcPr>
          <w:p w14:paraId="0219C5DD" w14:textId="77777777" w:rsidR="00F63829" w:rsidRPr="00AD3B7F" w:rsidRDefault="00F63829" w:rsidP="00F63829">
            <w:pPr>
              <w:pStyle w:val="TableCell0"/>
              <w:rPr>
                <w:sz w:val="18"/>
                <w:szCs w:val="20"/>
              </w:rPr>
            </w:pPr>
            <w:r w:rsidRPr="00AD3B7F">
              <w:rPr>
                <w:sz w:val="18"/>
                <w:szCs w:val="20"/>
              </w:rPr>
              <w:t>60 kHz</w:t>
            </w:r>
          </w:p>
        </w:tc>
        <w:tc>
          <w:tcPr>
            <w:tcW w:w="843" w:type="dxa"/>
          </w:tcPr>
          <w:p w14:paraId="31C8532D" w14:textId="77777777" w:rsidR="00F63829" w:rsidRPr="00AD3B7F" w:rsidRDefault="00F63829" w:rsidP="00F63829">
            <w:pPr>
              <w:pStyle w:val="TableCell0"/>
              <w:rPr>
                <w:sz w:val="18"/>
                <w:szCs w:val="20"/>
              </w:rPr>
            </w:pPr>
            <w:r w:rsidRPr="00AD3B7F">
              <w:rPr>
                <w:sz w:val="18"/>
                <w:szCs w:val="20"/>
              </w:rPr>
              <w:t>120 kHz</w:t>
            </w:r>
          </w:p>
        </w:tc>
      </w:tr>
      <w:tr w:rsidR="00F63829" w14:paraId="5FD915FC" w14:textId="77777777" w:rsidTr="00F63829">
        <w:tc>
          <w:tcPr>
            <w:tcW w:w="625" w:type="dxa"/>
          </w:tcPr>
          <w:p w14:paraId="425B1CB9" w14:textId="77777777" w:rsidR="00F63829" w:rsidRPr="00AD3B7F" w:rsidRDefault="00F63829" w:rsidP="00F63829">
            <w:pPr>
              <w:pStyle w:val="TableCell0"/>
              <w:rPr>
                <w:sz w:val="18"/>
                <w:szCs w:val="20"/>
              </w:rPr>
            </w:pPr>
            <w:r w:rsidRPr="00AD3B7F">
              <w:rPr>
                <w:sz w:val="18"/>
                <w:szCs w:val="20"/>
              </w:rPr>
              <w:t>839</w:t>
            </w:r>
          </w:p>
        </w:tc>
        <w:tc>
          <w:tcPr>
            <w:tcW w:w="630" w:type="dxa"/>
          </w:tcPr>
          <w:p w14:paraId="3C69CF88" w14:textId="77777777" w:rsidR="00F63829" w:rsidRPr="00AD3B7F" w:rsidRDefault="00F63829" w:rsidP="00F63829">
            <w:pPr>
              <w:pStyle w:val="TableCell0"/>
              <w:rPr>
                <w:sz w:val="18"/>
                <w:szCs w:val="20"/>
              </w:rPr>
            </w:pPr>
            <w:r w:rsidRPr="00AD3B7F">
              <w:rPr>
                <w:sz w:val="18"/>
                <w:szCs w:val="20"/>
              </w:rPr>
              <w:t>1.25</w:t>
            </w:r>
          </w:p>
        </w:tc>
        <w:tc>
          <w:tcPr>
            <w:tcW w:w="780" w:type="dxa"/>
          </w:tcPr>
          <w:p w14:paraId="424B6494" w14:textId="77777777" w:rsidR="00F63829" w:rsidRPr="00AD3B7F" w:rsidRDefault="00F63829" w:rsidP="00F63829">
            <w:pPr>
              <w:pStyle w:val="TableCell0"/>
              <w:rPr>
                <w:sz w:val="18"/>
                <w:szCs w:val="20"/>
              </w:rPr>
            </w:pPr>
            <w:r w:rsidRPr="00AD3B7F">
              <w:rPr>
                <w:sz w:val="18"/>
                <w:szCs w:val="20"/>
              </w:rPr>
              <w:t>6</w:t>
            </w:r>
          </w:p>
        </w:tc>
        <w:tc>
          <w:tcPr>
            <w:tcW w:w="780" w:type="dxa"/>
          </w:tcPr>
          <w:p w14:paraId="615E693D" w14:textId="77777777" w:rsidR="00F63829" w:rsidRPr="00AD3B7F" w:rsidRDefault="00F63829" w:rsidP="00F63829">
            <w:pPr>
              <w:pStyle w:val="TableCell0"/>
              <w:rPr>
                <w:sz w:val="18"/>
                <w:szCs w:val="20"/>
              </w:rPr>
            </w:pPr>
            <w:r w:rsidRPr="00AD3B7F">
              <w:rPr>
                <w:sz w:val="18"/>
                <w:szCs w:val="20"/>
              </w:rPr>
              <w:t>3</w:t>
            </w:r>
          </w:p>
        </w:tc>
        <w:tc>
          <w:tcPr>
            <w:tcW w:w="780" w:type="dxa"/>
          </w:tcPr>
          <w:p w14:paraId="7DF84371" w14:textId="77777777" w:rsidR="00F63829" w:rsidRPr="00AD3B7F" w:rsidRDefault="00F63829" w:rsidP="00F63829">
            <w:pPr>
              <w:pStyle w:val="TableCell0"/>
              <w:rPr>
                <w:sz w:val="18"/>
                <w:szCs w:val="20"/>
              </w:rPr>
            </w:pPr>
            <w:r w:rsidRPr="00AD3B7F">
              <w:rPr>
                <w:sz w:val="18"/>
                <w:szCs w:val="20"/>
              </w:rPr>
              <w:t>2</w:t>
            </w:r>
          </w:p>
        </w:tc>
        <w:tc>
          <w:tcPr>
            <w:tcW w:w="780" w:type="dxa"/>
          </w:tcPr>
          <w:p w14:paraId="384030AD" w14:textId="77777777" w:rsidR="00F63829" w:rsidRPr="00AD3B7F" w:rsidRDefault="00F63829" w:rsidP="00F63829">
            <w:pPr>
              <w:pStyle w:val="TableCell0"/>
              <w:rPr>
                <w:sz w:val="18"/>
                <w:szCs w:val="20"/>
              </w:rPr>
            </w:pPr>
            <w:r w:rsidRPr="00AD3B7F">
              <w:rPr>
                <w:sz w:val="18"/>
                <w:szCs w:val="20"/>
              </w:rPr>
              <w:t>10</w:t>
            </w:r>
          </w:p>
        </w:tc>
        <w:tc>
          <w:tcPr>
            <w:tcW w:w="780" w:type="dxa"/>
          </w:tcPr>
          <w:p w14:paraId="1198229C" w14:textId="77777777" w:rsidR="00F63829" w:rsidRPr="00AD3B7F" w:rsidRDefault="00F63829" w:rsidP="00F63829">
            <w:pPr>
              <w:pStyle w:val="TableCell0"/>
              <w:rPr>
                <w:sz w:val="18"/>
                <w:szCs w:val="20"/>
              </w:rPr>
            </w:pPr>
            <w:r w:rsidRPr="00AD3B7F">
              <w:rPr>
                <w:sz w:val="18"/>
                <w:szCs w:val="20"/>
              </w:rPr>
              <w:t>10</w:t>
            </w:r>
          </w:p>
        </w:tc>
        <w:tc>
          <w:tcPr>
            <w:tcW w:w="780" w:type="dxa"/>
          </w:tcPr>
          <w:p w14:paraId="14747246" w14:textId="77777777" w:rsidR="00F63829" w:rsidRPr="00AD3B7F" w:rsidRDefault="00F63829" w:rsidP="00F63829">
            <w:pPr>
              <w:pStyle w:val="TableCell0"/>
              <w:rPr>
                <w:sz w:val="18"/>
                <w:szCs w:val="20"/>
              </w:rPr>
            </w:pPr>
            <w:r w:rsidRPr="00AD3B7F">
              <w:rPr>
                <w:sz w:val="18"/>
                <w:szCs w:val="20"/>
              </w:rPr>
              <w:t>18</w:t>
            </w:r>
          </w:p>
        </w:tc>
        <w:tc>
          <w:tcPr>
            <w:tcW w:w="843" w:type="dxa"/>
          </w:tcPr>
          <w:p w14:paraId="5250925D" w14:textId="77777777" w:rsidR="00F63829" w:rsidRPr="00AD3B7F" w:rsidRDefault="00F63829" w:rsidP="00F63829">
            <w:pPr>
              <w:pStyle w:val="TableCell0"/>
              <w:rPr>
                <w:sz w:val="18"/>
                <w:szCs w:val="20"/>
              </w:rPr>
            </w:pPr>
          </w:p>
        </w:tc>
        <w:tc>
          <w:tcPr>
            <w:tcW w:w="843" w:type="dxa"/>
          </w:tcPr>
          <w:p w14:paraId="780BD6B1" w14:textId="77777777" w:rsidR="00F63829" w:rsidRPr="00AD3B7F" w:rsidRDefault="00F63829" w:rsidP="00F63829">
            <w:pPr>
              <w:pStyle w:val="TableCell0"/>
              <w:rPr>
                <w:sz w:val="18"/>
                <w:szCs w:val="20"/>
              </w:rPr>
            </w:pPr>
          </w:p>
        </w:tc>
        <w:tc>
          <w:tcPr>
            <w:tcW w:w="843" w:type="dxa"/>
          </w:tcPr>
          <w:p w14:paraId="79384D7E" w14:textId="77777777" w:rsidR="00F63829" w:rsidRPr="00AD3B7F" w:rsidRDefault="00F63829" w:rsidP="00F63829">
            <w:pPr>
              <w:pStyle w:val="TableCell0"/>
              <w:rPr>
                <w:sz w:val="18"/>
                <w:szCs w:val="20"/>
              </w:rPr>
            </w:pPr>
          </w:p>
        </w:tc>
        <w:tc>
          <w:tcPr>
            <w:tcW w:w="843" w:type="dxa"/>
          </w:tcPr>
          <w:p w14:paraId="0001CB18" w14:textId="77777777" w:rsidR="00F63829" w:rsidRPr="00AD3B7F" w:rsidRDefault="00F63829" w:rsidP="00F63829">
            <w:pPr>
              <w:pStyle w:val="TableCell0"/>
              <w:rPr>
                <w:sz w:val="18"/>
                <w:szCs w:val="20"/>
              </w:rPr>
            </w:pPr>
          </w:p>
        </w:tc>
      </w:tr>
      <w:tr w:rsidR="00F63829" w14:paraId="3942E68D" w14:textId="77777777" w:rsidTr="00F63829">
        <w:tc>
          <w:tcPr>
            <w:tcW w:w="625" w:type="dxa"/>
          </w:tcPr>
          <w:p w14:paraId="262D3C37" w14:textId="77777777" w:rsidR="00F63829" w:rsidRPr="00AD3B7F" w:rsidRDefault="00F63829" w:rsidP="00F63829">
            <w:pPr>
              <w:pStyle w:val="TableCell0"/>
              <w:rPr>
                <w:sz w:val="18"/>
                <w:szCs w:val="20"/>
              </w:rPr>
            </w:pPr>
            <w:r w:rsidRPr="00AD3B7F">
              <w:rPr>
                <w:sz w:val="18"/>
                <w:szCs w:val="20"/>
              </w:rPr>
              <w:t>839</w:t>
            </w:r>
          </w:p>
        </w:tc>
        <w:tc>
          <w:tcPr>
            <w:tcW w:w="630" w:type="dxa"/>
          </w:tcPr>
          <w:p w14:paraId="306BDF40" w14:textId="77777777" w:rsidR="00F63829" w:rsidRPr="00AD3B7F" w:rsidRDefault="00F63829" w:rsidP="00F63829">
            <w:pPr>
              <w:pStyle w:val="TableCell0"/>
              <w:rPr>
                <w:sz w:val="18"/>
                <w:szCs w:val="20"/>
              </w:rPr>
            </w:pPr>
            <w:r w:rsidRPr="00AD3B7F">
              <w:rPr>
                <w:sz w:val="18"/>
                <w:szCs w:val="20"/>
              </w:rPr>
              <w:t>5</w:t>
            </w:r>
          </w:p>
        </w:tc>
        <w:tc>
          <w:tcPr>
            <w:tcW w:w="780" w:type="dxa"/>
          </w:tcPr>
          <w:p w14:paraId="356068DA" w14:textId="77777777" w:rsidR="00F63829" w:rsidRPr="00AD3B7F" w:rsidRDefault="00F63829" w:rsidP="00F63829">
            <w:pPr>
              <w:pStyle w:val="TableCell0"/>
              <w:rPr>
                <w:sz w:val="18"/>
                <w:szCs w:val="20"/>
              </w:rPr>
            </w:pPr>
            <w:r w:rsidRPr="00AD3B7F">
              <w:rPr>
                <w:sz w:val="18"/>
                <w:szCs w:val="20"/>
              </w:rPr>
              <w:t>24</w:t>
            </w:r>
          </w:p>
        </w:tc>
        <w:tc>
          <w:tcPr>
            <w:tcW w:w="780" w:type="dxa"/>
          </w:tcPr>
          <w:p w14:paraId="4EA33B6D" w14:textId="77777777" w:rsidR="00F63829" w:rsidRPr="00AD3B7F" w:rsidRDefault="00F63829" w:rsidP="00F63829">
            <w:pPr>
              <w:pStyle w:val="TableCell0"/>
              <w:rPr>
                <w:sz w:val="18"/>
                <w:szCs w:val="20"/>
              </w:rPr>
            </w:pPr>
            <w:r w:rsidRPr="00AD3B7F">
              <w:rPr>
                <w:sz w:val="18"/>
                <w:szCs w:val="20"/>
              </w:rPr>
              <w:t>12</w:t>
            </w:r>
          </w:p>
        </w:tc>
        <w:tc>
          <w:tcPr>
            <w:tcW w:w="780" w:type="dxa"/>
          </w:tcPr>
          <w:p w14:paraId="672BA255" w14:textId="77777777" w:rsidR="00F63829" w:rsidRPr="00AD3B7F" w:rsidRDefault="00F63829" w:rsidP="00F63829">
            <w:pPr>
              <w:pStyle w:val="TableCell0"/>
              <w:rPr>
                <w:sz w:val="18"/>
                <w:szCs w:val="20"/>
              </w:rPr>
            </w:pPr>
            <w:r w:rsidRPr="00AD3B7F">
              <w:rPr>
                <w:sz w:val="18"/>
                <w:szCs w:val="20"/>
              </w:rPr>
              <w:t>6</w:t>
            </w:r>
          </w:p>
        </w:tc>
        <w:tc>
          <w:tcPr>
            <w:tcW w:w="780" w:type="dxa"/>
            <w:shd w:val="clear" w:color="auto" w:fill="FDE9D9" w:themeFill="accent6" w:themeFillTint="33"/>
          </w:tcPr>
          <w:p w14:paraId="0FFF79A3"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56EA2520"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6F9F1E54" w14:textId="77777777" w:rsidR="00F63829" w:rsidRPr="00AD3B7F" w:rsidRDefault="00F63829" w:rsidP="00F63829">
            <w:pPr>
              <w:pStyle w:val="TableCell0"/>
              <w:rPr>
                <w:sz w:val="18"/>
                <w:szCs w:val="20"/>
              </w:rPr>
            </w:pPr>
            <w:r w:rsidRPr="00AD3B7F">
              <w:rPr>
                <w:sz w:val="18"/>
                <w:szCs w:val="20"/>
              </w:rPr>
              <w:t>40</w:t>
            </w:r>
          </w:p>
        </w:tc>
        <w:tc>
          <w:tcPr>
            <w:tcW w:w="843" w:type="dxa"/>
          </w:tcPr>
          <w:p w14:paraId="465B7753" w14:textId="77777777" w:rsidR="00F63829" w:rsidRPr="00AD3B7F" w:rsidRDefault="00F63829" w:rsidP="00F63829">
            <w:pPr>
              <w:pStyle w:val="TableCell0"/>
              <w:rPr>
                <w:sz w:val="18"/>
                <w:szCs w:val="20"/>
              </w:rPr>
            </w:pPr>
          </w:p>
        </w:tc>
        <w:tc>
          <w:tcPr>
            <w:tcW w:w="843" w:type="dxa"/>
          </w:tcPr>
          <w:p w14:paraId="3DFD79E7" w14:textId="77777777" w:rsidR="00F63829" w:rsidRPr="00AD3B7F" w:rsidRDefault="00F63829" w:rsidP="00F63829">
            <w:pPr>
              <w:pStyle w:val="TableCell0"/>
              <w:rPr>
                <w:sz w:val="18"/>
                <w:szCs w:val="20"/>
              </w:rPr>
            </w:pPr>
          </w:p>
        </w:tc>
        <w:tc>
          <w:tcPr>
            <w:tcW w:w="843" w:type="dxa"/>
          </w:tcPr>
          <w:p w14:paraId="403A6916" w14:textId="77777777" w:rsidR="00F63829" w:rsidRPr="00AD3B7F" w:rsidRDefault="00F63829" w:rsidP="00F63829">
            <w:pPr>
              <w:pStyle w:val="TableCell0"/>
              <w:rPr>
                <w:sz w:val="18"/>
                <w:szCs w:val="20"/>
              </w:rPr>
            </w:pPr>
          </w:p>
        </w:tc>
        <w:tc>
          <w:tcPr>
            <w:tcW w:w="843" w:type="dxa"/>
          </w:tcPr>
          <w:p w14:paraId="1BDE467D" w14:textId="77777777" w:rsidR="00F63829" w:rsidRPr="00AD3B7F" w:rsidRDefault="00F63829" w:rsidP="00F63829">
            <w:pPr>
              <w:pStyle w:val="TableCell0"/>
              <w:rPr>
                <w:sz w:val="18"/>
                <w:szCs w:val="20"/>
              </w:rPr>
            </w:pPr>
          </w:p>
        </w:tc>
      </w:tr>
      <w:tr w:rsidR="00F63829" w14:paraId="48D7051A" w14:textId="77777777" w:rsidTr="00F63829">
        <w:tc>
          <w:tcPr>
            <w:tcW w:w="625" w:type="dxa"/>
          </w:tcPr>
          <w:p w14:paraId="56939174" w14:textId="77777777" w:rsidR="00F63829" w:rsidRPr="00AD3B7F" w:rsidRDefault="00F63829" w:rsidP="00F63829">
            <w:pPr>
              <w:pStyle w:val="TableCell0"/>
              <w:rPr>
                <w:sz w:val="18"/>
                <w:szCs w:val="20"/>
              </w:rPr>
            </w:pPr>
            <w:r w:rsidRPr="00AD3B7F">
              <w:rPr>
                <w:sz w:val="18"/>
                <w:szCs w:val="20"/>
              </w:rPr>
              <w:t>139</w:t>
            </w:r>
          </w:p>
        </w:tc>
        <w:tc>
          <w:tcPr>
            <w:tcW w:w="630" w:type="dxa"/>
          </w:tcPr>
          <w:p w14:paraId="763FEDFF" w14:textId="77777777" w:rsidR="00F63829" w:rsidRPr="00AD3B7F" w:rsidRDefault="00F63829" w:rsidP="00F63829">
            <w:pPr>
              <w:pStyle w:val="TableCell0"/>
              <w:rPr>
                <w:sz w:val="18"/>
                <w:szCs w:val="20"/>
              </w:rPr>
            </w:pPr>
            <w:r w:rsidRPr="00AD3B7F">
              <w:rPr>
                <w:sz w:val="18"/>
                <w:szCs w:val="20"/>
              </w:rPr>
              <w:t>15</w:t>
            </w:r>
          </w:p>
        </w:tc>
        <w:tc>
          <w:tcPr>
            <w:tcW w:w="780" w:type="dxa"/>
          </w:tcPr>
          <w:p w14:paraId="0D9A4E32" w14:textId="77777777" w:rsidR="00F63829" w:rsidRPr="00AD3B7F" w:rsidRDefault="00F63829" w:rsidP="00F63829">
            <w:pPr>
              <w:pStyle w:val="TableCell0"/>
              <w:rPr>
                <w:sz w:val="18"/>
                <w:szCs w:val="20"/>
              </w:rPr>
            </w:pPr>
            <w:r w:rsidRPr="00AD3B7F">
              <w:rPr>
                <w:sz w:val="18"/>
                <w:szCs w:val="20"/>
              </w:rPr>
              <w:t>12</w:t>
            </w:r>
          </w:p>
        </w:tc>
        <w:tc>
          <w:tcPr>
            <w:tcW w:w="780" w:type="dxa"/>
          </w:tcPr>
          <w:p w14:paraId="73B67FB2" w14:textId="77777777" w:rsidR="00F63829" w:rsidRPr="00AD3B7F" w:rsidRDefault="00F63829" w:rsidP="00F63829">
            <w:pPr>
              <w:pStyle w:val="TableCell0"/>
              <w:rPr>
                <w:sz w:val="18"/>
                <w:szCs w:val="20"/>
              </w:rPr>
            </w:pPr>
            <w:r w:rsidRPr="00AD3B7F">
              <w:rPr>
                <w:sz w:val="18"/>
                <w:szCs w:val="20"/>
              </w:rPr>
              <w:t>6</w:t>
            </w:r>
          </w:p>
        </w:tc>
        <w:tc>
          <w:tcPr>
            <w:tcW w:w="780" w:type="dxa"/>
          </w:tcPr>
          <w:p w14:paraId="3B4DBDF6" w14:textId="77777777" w:rsidR="00F63829" w:rsidRPr="00AD3B7F" w:rsidRDefault="00F63829" w:rsidP="00F63829">
            <w:pPr>
              <w:pStyle w:val="TableCell0"/>
              <w:rPr>
                <w:sz w:val="18"/>
                <w:szCs w:val="20"/>
              </w:rPr>
            </w:pPr>
            <w:r w:rsidRPr="00AD3B7F">
              <w:rPr>
                <w:sz w:val="18"/>
                <w:szCs w:val="20"/>
              </w:rPr>
              <w:t>3</w:t>
            </w:r>
          </w:p>
        </w:tc>
        <w:tc>
          <w:tcPr>
            <w:tcW w:w="780" w:type="dxa"/>
          </w:tcPr>
          <w:p w14:paraId="307D483B" w14:textId="77777777" w:rsidR="00F63829" w:rsidRPr="00AD3B7F" w:rsidRDefault="00F63829" w:rsidP="00F63829">
            <w:pPr>
              <w:pStyle w:val="TableCell0"/>
              <w:rPr>
                <w:sz w:val="18"/>
                <w:szCs w:val="20"/>
              </w:rPr>
            </w:pPr>
            <w:r w:rsidRPr="00AD3B7F">
              <w:rPr>
                <w:sz w:val="18"/>
                <w:szCs w:val="20"/>
              </w:rPr>
              <w:t>20</w:t>
            </w:r>
          </w:p>
        </w:tc>
        <w:tc>
          <w:tcPr>
            <w:tcW w:w="780" w:type="dxa"/>
          </w:tcPr>
          <w:p w14:paraId="5148CC4F" w14:textId="77777777" w:rsidR="00F63829" w:rsidRPr="00AD3B7F" w:rsidRDefault="00F63829" w:rsidP="00F63829">
            <w:pPr>
              <w:pStyle w:val="TableCell0"/>
              <w:rPr>
                <w:sz w:val="18"/>
                <w:szCs w:val="20"/>
              </w:rPr>
            </w:pPr>
            <w:r w:rsidRPr="00AD3B7F">
              <w:rPr>
                <w:sz w:val="18"/>
                <w:szCs w:val="20"/>
              </w:rPr>
              <w:t>20</w:t>
            </w:r>
          </w:p>
        </w:tc>
        <w:tc>
          <w:tcPr>
            <w:tcW w:w="780" w:type="dxa"/>
          </w:tcPr>
          <w:p w14:paraId="70D2DA79" w14:textId="77777777" w:rsidR="00F63829" w:rsidRPr="00AD3B7F" w:rsidRDefault="00F63829" w:rsidP="00F63829">
            <w:pPr>
              <w:pStyle w:val="TableCell0"/>
              <w:rPr>
                <w:sz w:val="18"/>
                <w:szCs w:val="20"/>
              </w:rPr>
            </w:pPr>
            <w:r w:rsidRPr="00AD3B7F">
              <w:rPr>
                <w:sz w:val="18"/>
                <w:szCs w:val="20"/>
              </w:rPr>
              <w:t>20</w:t>
            </w:r>
          </w:p>
        </w:tc>
        <w:tc>
          <w:tcPr>
            <w:tcW w:w="843" w:type="dxa"/>
          </w:tcPr>
          <w:p w14:paraId="641443C0" w14:textId="77777777" w:rsidR="00F63829" w:rsidRPr="00AD3B7F" w:rsidRDefault="00F63829" w:rsidP="00F63829">
            <w:pPr>
              <w:pStyle w:val="TableCell0"/>
              <w:rPr>
                <w:sz w:val="18"/>
                <w:szCs w:val="20"/>
              </w:rPr>
            </w:pPr>
          </w:p>
        </w:tc>
        <w:tc>
          <w:tcPr>
            <w:tcW w:w="843" w:type="dxa"/>
          </w:tcPr>
          <w:p w14:paraId="7877F6E3" w14:textId="77777777" w:rsidR="00F63829" w:rsidRPr="00AD3B7F" w:rsidRDefault="00F63829" w:rsidP="00F63829">
            <w:pPr>
              <w:pStyle w:val="TableCell0"/>
              <w:rPr>
                <w:sz w:val="18"/>
                <w:szCs w:val="20"/>
              </w:rPr>
            </w:pPr>
          </w:p>
        </w:tc>
        <w:tc>
          <w:tcPr>
            <w:tcW w:w="843" w:type="dxa"/>
          </w:tcPr>
          <w:p w14:paraId="2D475003" w14:textId="77777777" w:rsidR="00F63829" w:rsidRPr="00AD3B7F" w:rsidRDefault="00F63829" w:rsidP="00F63829">
            <w:pPr>
              <w:pStyle w:val="TableCell0"/>
              <w:rPr>
                <w:sz w:val="18"/>
                <w:szCs w:val="20"/>
              </w:rPr>
            </w:pPr>
          </w:p>
        </w:tc>
        <w:tc>
          <w:tcPr>
            <w:tcW w:w="843" w:type="dxa"/>
          </w:tcPr>
          <w:p w14:paraId="23D54C26" w14:textId="77777777" w:rsidR="00F63829" w:rsidRPr="00AD3B7F" w:rsidRDefault="00F63829" w:rsidP="00F63829">
            <w:pPr>
              <w:pStyle w:val="TableCell0"/>
              <w:rPr>
                <w:sz w:val="18"/>
                <w:szCs w:val="20"/>
              </w:rPr>
            </w:pPr>
          </w:p>
        </w:tc>
      </w:tr>
      <w:tr w:rsidR="00F63829" w14:paraId="73B18B32" w14:textId="77777777" w:rsidTr="00F63829">
        <w:tc>
          <w:tcPr>
            <w:tcW w:w="625" w:type="dxa"/>
          </w:tcPr>
          <w:p w14:paraId="7BEB923B" w14:textId="77777777" w:rsidR="00F63829" w:rsidRPr="00AD3B7F" w:rsidRDefault="00F63829" w:rsidP="00F63829">
            <w:pPr>
              <w:pStyle w:val="TableCell0"/>
              <w:rPr>
                <w:sz w:val="18"/>
                <w:szCs w:val="20"/>
              </w:rPr>
            </w:pPr>
            <w:r w:rsidRPr="00AD3B7F">
              <w:rPr>
                <w:sz w:val="18"/>
                <w:szCs w:val="20"/>
              </w:rPr>
              <w:t>139</w:t>
            </w:r>
          </w:p>
        </w:tc>
        <w:tc>
          <w:tcPr>
            <w:tcW w:w="630" w:type="dxa"/>
          </w:tcPr>
          <w:p w14:paraId="1755CED5" w14:textId="77777777" w:rsidR="00F63829" w:rsidRPr="00AD3B7F" w:rsidRDefault="00F63829" w:rsidP="00F63829">
            <w:pPr>
              <w:pStyle w:val="TableCell0"/>
              <w:rPr>
                <w:sz w:val="18"/>
                <w:szCs w:val="20"/>
              </w:rPr>
            </w:pPr>
            <w:r w:rsidRPr="00AD3B7F">
              <w:rPr>
                <w:sz w:val="18"/>
                <w:szCs w:val="20"/>
              </w:rPr>
              <w:t>30</w:t>
            </w:r>
          </w:p>
        </w:tc>
        <w:tc>
          <w:tcPr>
            <w:tcW w:w="780" w:type="dxa"/>
          </w:tcPr>
          <w:p w14:paraId="51EC7C59" w14:textId="77777777" w:rsidR="00F63829" w:rsidRPr="00AD3B7F" w:rsidRDefault="00F63829" w:rsidP="00F63829">
            <w:pPr>
              <w:pStyle w:val="TableCell0"/>
              <w:rPr>
                <w:sz w:val="18"/>
                <w:szCs w:val="20"/>
              </w:rPr>
            </w:pPr>
            <w:r w:rsidRPr="00AD3B7F">
              <w:rPr>
                <w:sz w:val="18"/>
                <w:szCs w:val="20"/>
              </w:rPr>
              <w:t>24</w:t>
            </w:r>
          </w:p>
        </w:tc>
        <w:tc>
          <w:tcPr>
            <w:tcW w:w="780" w:type="dxa"/>
          </w:tcPr>
          <w:p w14:paraId="786B3A4B" w14:textId="77777777" w:rsidR="00F63829" w:rsidRPr="00AD3B7F" w:rsidRDefault="00F63829" w:rsidP="00F63829">
            <w:pPr>
              <w:pStyle w:val="TableCell0"/>
              <w:rPr>
                <w:sz w:val="18"/>
                <w:szCs w:val="20"/>
              </w:rPr>
            </w:pPr>
            <w:r w:rsidRPr="00AD3B7F">
              <w:rPr>
                <w:sz w:val="18"/>
                <w:szCs w:val="20"/>
              </w:rPr>
              <w:t>12</w:t>
            </w:r>
          </w:p>
        </w:tc>
        <w:tc>
          <w:tcPr>
            <w:tcW w:w="780" w:type="dxa"/>
          </w:tcPr>
          <w:p w14:paraId="44A858E4" w14:textId="77777777" w:rsidR="00F63829" w:rsidRPr="00AD3B7F" w:rsidRDefault="00F63829" w:rsidP="00F63829">
            <w:pPr>
              <w:pStyle w:val="TableCell0"/>
              <w:rPr>
                <w:sz w:val="18"/>
                <w:szCs w:val="20"/>
              </w:rPr>
            </w:pPr>
            <w:r w:rsidRPr="00AD3B7F">
              <w:rPr>
                <w:sz w:val="18"/>
                <w:szCs w:val="20"/>
              </w:rPr>
              <w:t>6</w:t>
            </w:r>
          </w:p>
        </w:tc>
        <w:tc>
          <w:tcPr>
            <w:tcW w:w="780" w:type="dxa"/>
            <w:shd w:val="clear" w:color="auto" w:fill="FDE9D9" w:themeFill="accent6" w:themeFillTint="33"/>
          </w:tcPr>
          <w:p w14:paraId="0966F03C"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4D1AD343"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1927844A" w14:textId="77777777" w:rsidR="00F63829" w:rsidRPr="00AD3B7F" w:rsidRDefault="00F63829" w:rsidP="00F63829">
            <w:pPr>
              <w:pStyle w:val="TableCell0"/>
              <w:rPr>
                <w:sz w:val="18"/>
                <w:szCs w:val="20"/>
              </w:rPr>
            </w:pPr>
            <w:r w:rsidRPr="00AD3B7F">
              <w:rPr>
                <w:sz w:val="18"/>
                <w:szCs w:val="20"/>
              </w:rPr>
              <w:t>40</w:t>
            </w:r>
          </w:p>
        </w:tc>
        <w:tc>
          <w:tcPr>
            <w:tcW w:w="843" w:type="dxa"/>
          </w:tcPr>
          <w:p w14:paraId="1C0AC149" w14:textId="77777777" w:rsidR="00F63829" w:rsidRPr="00AD3B7F" w:rsidRDefault="00F63829" w:rsidP="00F63829">
            <w:pPr>
              <w:pStyle w:val="TableCell0"/>
              <w:rPr>
                <w:sz w:val="18"/>
                <w:szCs w:val="20"/>
              </w:rPr>
            </w:pPr>
          </w:p>
        </w:tc>
        <w:tc>
          <w:tcPr>
            <w:tcW w:w="843" w:type="dxa"/>
          </w:tcPr>
          <w:p w14:paraId="63A5BC0C" w14:textId="77777777" w:rsidR="00F63829" w:rsidRPr="00AD3B7F" w:rsidRDefault="00F63829" w:rsidP="00F63829">
            <w:pPr>
              <w:pStyle w:val="TableCell0"/>
              <w:rPr>
                <w:sz w:val="18"/>
                <w:szCs w:val="20"/>
              </w:rPr>
            </w:pPr>
          </w:p>
        </w:tc>
        <w:tc>
          <w:tcPr>
            <w:tcW w:w="843" w:type="dxa"/>
          </w:tcPr>
          <w:p w14:paraId="682C10D8" w14:textId="77777777" w:rsidR="00F63829" w:rsidRPr="00AD3B7F" w:rsidRDefault="00F63829" w:rsidP="00F63829">
            <w:pPr>
              <w:pStyle w:val="TableCell0"/>
              <w:rPr>
                <w:sz w:val="18"/>
                <w:szCs w:val="20"/>
              </w:rPr>
            </w:pPr>
          </w:p>
        </w:tc>
        <w:tc>
          <w:tcPr>
            <w:tcW w:w="843" w:type="dxa"/>
          </w:tcPr>
          <w:p w14:paraId="7D8F0B4D" w14:textId="77777777" w:rsidR="00F63829" w:rsidRPr="00AD3B7F" w:rsidRDefault="00F63829" w:rsidP="00F63829">
            <w:pPr>
              <w:pStyle w:val="TableCell0"/>
              <w:rPr>
                <w:sz w:val="18"/>
                <w:szCs w:val="20"/>
              </w:rPr>
            </w:pPr>
          </w:p>
        </w:tc>
      </w:tr>
      <w:tr w:rsidR="00F63829" w14:paraId="28804962" w14:textId="77777777" w:rsidTr="00F63829">
        <w:tc>
          <w:tcPr>
            <w:tcW w:w="625" w:type="dxa"/>
          </w:tcPr>
          <w:p w14:paraId="7D35F1AD" w14:textId="77777777" w:rsidR="00F63829" w:rsidRPr="00AD3B7F" w:rsidRDefault="00F63829" w:rsidP="00F63829">
            <w:pPr>
              <w:pStyle w:val="TableCell0"/>
              <w:rPr>
                <w:sz w:val="18"/>
                <w:szCs w:val="20"/>
              </w:rPr>
            </w:pPr>
            <w:r w:rsidRPr="00AD3B7F">
              <w:rPr>
                <w:sz w:val="18"/>
                <w:szCs w:val="20"/>
              </w:rPr>
              <w:t>139</w:t>
            </w:r>
          </w:p>
        </w:tc>
        <w:tc>
          <w:tcPr>
            <w:tcW w:w="630" w:type="dxa"/>
          </w:tcPr>
          <w:p w14:paraId="19856513" w14:textId="77777777" w:rsidR="00F63829" w:rsidRPr="00AD3B7F" w:rsidRDefault="00F63829" w:rsidP="00F63829">
            <w:pPr>
              <w:pStyle w:val="TableCell0"/>
              <w:rPr>
                <w:sz w:val="18"/>
                <w:szCs w:val="20"/>
              </w:rPr>
            </w:pPr>
            <w:r w:rsidRPr="00AD3B7F">
              <w:rPr>
                <w:sz w:val="18"/>
                <w:szCs w:val="20"/>
              </w:rPr>
              <w:t>60</w:t>
            </w:r>
          </w:p>
        </w:tc>
        <w:tc>
          <w:tcPr>
            <w:tcW w:w="780" w:type="dxa"/>
          </w:tcPr>
          <w:p w14:paraId="2D833AAF" w14:textId="77777777" w:rsidR="00F63829" w:rsidRPr="00AD3B7F" w:rsidRDefault="00F63829" w:rsidP="00F63829">
            <w:pPr>
              <w:pStyle w:val="TableCell0"/>
              <w:rPr>
                <w:sz w:val="18"/>
                <w:szCs w:val="20"/>
              </w:rPr>
            </w:pPr>
          </w:p>
        </w:tc>
        <w:tc>
          <w:tcPr>
            <w:tcW w:w="780" w:type="dxa"/>
          </w:tcPr>
          <w:p w14:paraId="1E6F0891" w14:textId="77777777" w:rsidR="00F63829" w:rsidRPr="00AD3B7F" w:rsidRDefault="00F63829" w:rsidP="00F63829">
            <w:pPr>
              <w:pStyle w:val="TableCell0"/>
              <w:rPr>
                <w:sz w:val="18"/>
                <w:szCs w:val="20"/>
              </w:rPr>
            </w:pPr>
          </w:p>
        </w:tc>
        <w:tc>
          <w:tcPr>
            <w:tcW w:w="780" w:type="dxa"/>
          </w:tcPr>
          <w:p w14:paraId="24A876F9" w14:textId="77777777" w:rsidR="00F63829" w:rsidRPr="00AD3B7F" w:rsidRDefault="00F63829" w:rsidP="00F63829">
            <w:pPr>
              <w:pStyle w:val="TableCell0"/>
              <w:rPr>
                <w:sz w:val="18"/>
                <w:szCs w:val="20"/>
              </w:rPr>
            </w:pPr>
          </w:p>
        </w:tc>
        <w:tc>
          <w:tcPr>
            <w:tcW w:w="780" w:type="dxa"/>
          </w:tcPr>
          <w:p w14:paraId="6DE8EF31" w14:textId="77777777" w:rsidR="00F63829" w:rsidRPr="00AD3B7F" w:rsidRDefault="00F63829" w:rsidP="00F63829">
            <w:pPr>
              <w:pStyle w:val="TableCell0"/>
              <w:rPr>
                <w:sz w:val="18"/>
                <w:szCs w:val="20"/>
              </w:rPr>
            </w:pPr>
          </w:p>
        </w:tc>
        <w:tc>
          <w:tcPr>
            <w:tcW w:w="780" w:type="dxa"/>
          </w:tcPr>
          <w:p w14:paraId="1C2D289C" w14:textId="77777777" w:rsidR="00F63829" w:rsidRPr="00AD3B7F" w:rsidRDefault="00F63829" w:rsidP="00F63829">
            <w:pPr>
              <w:pStyle w:val="TableCell0"/>
              <w:rPr>
                <w:sz w:val="18"/>
                <w:szCs w:val="20"/>
              </w:rPr>
            </w:pPr>
          </w:p>
        </w:tc>
        <w:tc>
          <w:tcPr>
            <w:tcW w:w="780" w:type="dxa"/>
          </w:tcPr>
          <w:p w14:paraId="0B7B9B41" w14:textId="77777777" w:rsidR="00F63829" w:rsidRPr="00AD3B7F" w:rsidRDefault="00F63829" w:rsidP="00F63829">
            <w:pPr>
              <w:pStyle w:val="TableCell0"/>
              <w:rPr>
                <w:sz w:val="18"/>
                <w:szCs w:val="20"/>
              </w:rPr>
            </w:pPr>
          </w:p>
        </w:tc>
        <w:tc>
          <w:tcPr>
            <w:tcW w:w="843" w:type="dxa"/>
          </w:tcPr>
          <w:p w14:paraId="1FFFB108" w14:textId="77777777" w:rsidR="00F63829" w:rsidRPr="00AD3B7F" w:rsidRDefault="00F63829" w:rsidP="00F63829">
            <w:pPr>
              <w:pStyle w:val="TableCell0"/>
              <w:rPr>
                <w:sz w:val="18"/>
                <w:szCs w:val="20"/>
              </w:rPr>
            </w:pPr>
            <w:r>
              <w:rPr>
                <w:sz w:val="18"/>
                <w:szCs w:val="20"/>
              </w:rPr>
              <w:t>12</w:t>
            </w:r>
          </w:p>
        </w:tc>
        <w:tc>
          <w:tcPr>
            <w:tcW w:w="843" w:type="dxa"/>
          </w:tcPr>
          <w:p w14:paraId="2F373E06" w14:textId="77777777" w:rsidR="00F63829" w:rsidRPr="00AD3B7F" w:rsidRDefault="00F63829" w:rsidP="00F63829">
            <w:pPr>
              <w:pStyle w:val="TableCell0"/>
              <w:rPr>
                <w:sz w:val="18"/>
                <w:szCs w:val="20"/>
              </w:rPr>
            </w:pPr>
            <w:r>
              <w:rPr>
                <w:sz w:val="18"/>
                <w:szCs w:val="20"/>
              </w:rPr>
              <w:t>6</w:t>
            </w:r>
          </w:p>
        </w:tc>
        <w:tc>
          <w:tcPr>
            <w:tcW w:w="843" w:type="dxa"/>
          </w:tcPr>
          <w:p w14:paraId="755335E8" w14:textId="77777777" w:rsidR="00F63829" w:rsidRPr="00AD3B7F" w:rsidRDefault="00F63829" w:rsidP="00F63829">
            <w:pPr>
              <w:pStyle w:val="TableCell0"/>
              <w:rPr>
                <w:sz w:val="18"/>
                <w:szCs w:val="20"/>
              </w:rPr>
            </w:pPr>
            <w:r>
              <w:rPr>
                <w:sz w:val="18"/>
                <w:szCs w:val="20"/>
              </w:rPr>
              <w:t>100</w:t>
            </w:r>
          </w:p>
        </w:tc>
        <w:tc>
          <w:tcPr>
            <w:tcW w:w="843" w:type="dxa"/>
          </w:tcPr>
          <w:p w14:paraId="1447FB4C" w14:textId="77777777" w:rsidR="00F63829" w:rsidRPr="00AD3B7F" w:rsidRDefault="00F63829" w:rsidP="00F63829">
            <w:pPr>
              <w:pStyle w:val="TableCell0"/>
              <w:rPr>
                <w:sz w:val="18"/>
                <w:szCs w:val="20"/>
              </w:rPr>
            </w:pPr>
            <w:r>
              <w:rPr>
                <w:sz w:val="18"/>
                <w:szCs w:val="20"/>
              </w:rPr>
              <w:t>100</w:t>
            </w:r>
          </w:p>
        </w:tc>
      </w:tr>
      <w:tr w:rsidR="00F63829" w14:paraId="7672C80E" w14:textId="77777777" w:rsidTr="00F63829">
        <w:tc>
          <w:tcPr>
            <w:tcW w:w="625" w:type="dxa"/>
          </w:tcPr>
          <w:p w14:paraId="5C8C05F9" w14:textId="77777777" w:rsidR="00F63829" w:rsidRPr="00AD3B7F" w:rsidRDefault="00F63829" w:rsidP="00F63829">
            <w:pPr>
              <w:pStyle w:val="TableCell0"/>
              <w:rPr>
                <w:sz w:val="18"/>
                <w:szCs w:val="20"/>
              </w:rPr>
            </w:pPr>
            <w:r w:rsidRPr="00AD3B7F">
              <w:rPr>
                <w:sz w:val="18"/>
                <w:szCs w:val="20"/>
              </w:rPr>
              <w:t>139</w:t>
            </w:r>
          </w:p>
        </w:tc>
        <w:tc>
          <w:tcPr>
            <w:tcW w:w="630" w:type="dxa"/>
          </w:tcPr>
          <w:p w14:paraId="02CE0557" w14:textId="77777777" w:rsidR="00F63829" w:rsidRPr="00AD3B7F" w:rsidRDefault="00F63829" w:rsidP="00F63829">
            <w:pPr>
              <w:pStyle w:val="TableCell0"/>
              <w:rPr>
                <w:sz w:val="18"/>
                <w:szCs w:val="20"/>
              </w:rPr>
            </w:pPr>
            <w:r w:rsidRPr="00AD3B7F">
              <w:rPr>
                <w:sz w:val="18"/>
                <w:szCs w:val="20"/>
              </w:rPr>
              <w:t>120</w:t>
            </w:r>
          </w:p>
        </w:tc>
        <w:tc>
          <w:tcPr>
            <w:tcW w:w="780" w:type="dxa"/>
          </w:tcPr>
          <w:p w14:paraId="34AF92F4" w14:textId="77777777" w:rsidR="00F63829" w:rsidRPr="00AD3B7F" w:rsidRDefault="00F63829" w:rsidP="00F63829">
            <w:pPr>
              <w:pStyle w:val="TableCell0"/>
              <w:rPr>
                <w:sz w:val="18"/>
                <w:szCs w:val="20"/>
              </w:rPr>
            </w:pPr>
          </w:p>
        </w:tc>
        <w:tc>
          <w:tcPr>
            <w:tcW w:w="780" w:type="dxa"/>
          </w:tcPr>
          <w:p w14:paraId="4EA564E5" w14:textId="77777777" w:rsidR="00F63829" w:rsidRPr="00AD3B7F" w:rsidRDefault="00F63829" w:rsidP="00F63829">
            <w:pPr>
              <w:pStyle w:val="TableCell0"/>
              <w:rPr>
                <w:sz w:val="18"/>
                <w:szCs w:val="20"/>
              </w:rPr>
            </w:pPr>
          </w:p>
        </w:tc>
        <w:tc>
          <w:tcPr>
            <w:tcW w:w="780" w:type="dxa"/>
          </w:tcPr>
          <w:p w14:paraId="3A1C9642" w14:textId="77777777" w:rsidR="00F63829" w:rsidRPr="00AD3B7F" w:rsidRDefault="00F63829" w:rsidP="00F63829">
            <w:pPr>
              <w:pStyle w:val="TableCell0"/>
              <w:rPr>
                <w:sz w:val="18"/>
                <w:szCs w:val="20"/>
              </w:rPr>
            </w:pPr>
          </w:p>
        </w:tc>
        <w:tc>
          <w:tcPr>
            <w:tcW w:w="780" w:type="dxa"/>
          </w:tcPr>
          <w:p w14:paraId="75BD3F7C" w14:textId="77777777" w:rsidR="00F63829" w:rsidRPr="00AD3B7F" w:rsidRDefault="00F63829" w:rsidP="00F63829">
            <w:pPr>
              <w:pStyle w:val="TableCell0"/>
              <w:rPr>
                <w:sz w:val="18"/>
                <w:szCs w:val="20"/>
              </w:rPr>
            </w:pPr>
          </w:p>
        </w:tc>
        <w:tc>
          <w:tcPr>
            <w:tcW w:w="780" w:type="dxa"/>
          </w:tcPr>
          <w:p w14:paraId="78396C42" w14:textId="77777777" w:rsidR="00F63829" w:rsidRPr="00AD3B7F" w:rsidRDefault="00F63829" w:rsidP="00F63829">
            <w:pPr>
              <w:pStyle w:val="TableCell0"/>
              <w:rPr>
                <w:sz w:val="18"/>
                <w:szCs w:val="20"/>
              </w:rPr>
            </w:pPr>
          </w:p>
        </w:tc>
        <w:tc>
          <w:tcPr>
            <w:tcW w:w="780" w:type="dxa"/>
          </w:tcPr>
          <w:p w14:paraId="4DFB15B0" w14:textId="77777777" w:rsidR="00F63829" w:rsidRPr="00AD3B7F" w:rsidRDefault="00F63829" w:rsidP="00F63829">
            <w:pPr>
              <w:pStyle w:val="TableCell0"/>
              <w:rPr>
                <w:sz w:val="18"/>
                <w:szCs w:val="20"/>
              </w:rPr>
            </w:pPr>
          </w:p>
        </w:tc>
        <w:tc>
          <w:tcPr>
            <w:tcW w:w="843" w:type="dxa"/>
            <w:shd w:val="clear" w:color="auto" w:fill="FDE9D9" w:themeFill="accent6" w:themeFillTint="33"/>
          </w:tcPr>
          <w:p w14:paraId="347BE890" w14:textId="77777777" w:rsidR="00F63829" w:rsidRPr="00AD3B7F" w:rsidRDefault="00F63829" w:rsidP="00F63829">
            <w:pPr>
              <w:pStyle w:val="TableCell0"/>
              <w:rPr>
                <w:sz w:val="18"/>
                <w:szCs w:val="20"/>
              </w:rPr>
            </w:pPr>
            <w:r>
              <w:rPr>
                <w:sz w:val="18"/>
                <w:szCs w:val="20"/>
              </w:rPr>
              <w:t>24</w:t>
            </w:r>
          </w:p>
        </w:tc>
        <w:tc>
          <w:tcPr>
            <w:tcW w:w="843" w:type="dxa"/>
            <w:shd w:val="clear" w:color="auto" w:fill="FDE9D9" w:themeFill="accent6" w:themeFillTint="33"/>
          </w:tcPr>
          <w:p w14:paraId="1095BE2C" w14:textId="77777777" w:rsidR="00F63829" w:rsidRPr="00AD3B7F" w:rsidRDefault="00F63829" w:rsidP="00F63829">
            <w:pPr>
              <w:pStyle w:val="TableCell0"/>
              <w:rPr>
                <w:sz w:val="18"/>
                <w:szCs w:val="20"/>
              </w:rPr>
            </w:pPr>
            <w:r>
              <w:rPr>
                <w:sz w:val="18"/>
                <w:szCs w:val="20"/>
              </w:rPr>
              <w:t>12</w:t>
            </w:r>
          </w:p>
        </w:tc>
        <w:tc>
          <w:tcPr>
            <w:tcW w:w="843" w:type="dxa"/>
            <w:shd w:val="clear" w:color="auto" w:fill="FDE9D9" w:themeFill="accent6" w:themeFillTint="33"/>
          </w:tcPr>
          <w:p w14:paraId="5BAD5A00" w14:textId="77777777" w:rsidR="00F63829" w:rsidRPr="00AD3B7F" w:rsidRDefault="00F63829" w:rsidP="00F63829">
            <w:pPr>
              <w:pStyle w:val="TableCell0"/>
              <w:rPr>
                <w:sz w:val="18"/>
                <w:szCs w:val="20"/>
              </w:rPr>
            </w:pPr>
            <w:r>
              <w:rPr>
                <w:sz w:val="18"/>
                <w:szCs w:val="20"/>
              </w:rPr>
              <w:t>200</w:t>
            </w:r>
          </w:p>
        </w:tc>
        <w:tc>
          <w:tcPr>
            <w:tcW w:w="843" w:type="dxa"/>
            <w:shd w:val="clear" w:color="auto" w:fill="FDE9D9" w:themeFill="accent6" w:themeFillTint="33"/>
          </w:tcPr>
          <w:p w14:paraId="24629ECC" w14:textId="77777777" w:rsidR="00F63829" w:rsidRPr="00AD3B7F" w:rsidRDefault="00F63829" w:rsidP="00F63829">
            <w:pPr>
              <w:pStyle w:val="TableCell0"/>
              <w:rPr>
                <w:sz w:val="18"/>
                <w:szCs w:val="20"/>
              </w:rPr>
            </w:pPr>
            <w:r>
              <w:rPr>
                <w:sz w:val="18"/>
                <w:szCs w:val="20"/>
              </w:rPr>
              <w:t>200</w:t>
            </w:r>
          </w:p>
        </w:tc>
      </w:tr>
      <w:tr w:rsidR="00F63829" w14:paraId="0934CEB6" w14:textId="77777777" w:rsidTr="00F63829">
        <w:tc>
          <w:tcPr>
            <w:tcW w:w="625" w:type="dxa"/>
          </w:tcPr>
          <w:p w14:paraId="2C71BA06" w14:textId="77777777" w:rsidR="00F63829" w:rsidRPr="00AD3B7F" w:rsidRDefault="00F63829" w:rsidP="00F63829">
            <w:pPr>
              <w:pStyle w:val="TableCell0"/>
              <w:rPr>
                <w:sz w:val="18"/>
                <w:szCs w:val="20"/>
              </w:rPr>
            </w:pPr>
            <w:r w:rsidRPr="00AD3B7F">
              <w:rPr>
                <w:sz w:val="18"/>
                <w:szCs w:val="20"/>
              </w:rPr>
              <w:t>571</w:t>
            </w:r>
          </w:p>
        </w:tc>
        <w:tc>
          <w:tcPr>
            <w:tcW w:w="630" w:type="dxa"/>
          </w:tcPr>
          <w:p w14:paraId="21FA3240" w14:textId="77777777" w:rsidR="00F63829" w:rsidRPr="00AD3B7F" w:rsidRDefault="00F63829" w:rsidP="00F63829">
            <w:pPr>
              <w:pStyle w:val="TableCell0"/>
              <w:rPr>
                <w:sz w:val="18"/>
                <w:szCs w:val="20"/>
              </w:rPr>
            </w:pPr>
            <w:r w:rsidRPr="00AD3B7F">
              <w:rPr>
                <w:sz w:val="18"/>
                <w:szCs w:val="20"/>
              </w:rPr>
              <w:t>30</w:t>
            </w:r>
          </w:p>
        </w:tc>
        <w:tc>
          <w:tcPr>
            <w:tcW w:w="780" w:type="dxa"/>
          </w:tcPr>
          <w:p w14:paraId="16669253" w14:textId="77777777" w:rsidR="00F63829" w:rsidRPr="00AD3B7F" w:rsidRDefault="00F63829" w:rsidP="00F63829">
            <w:pPr>
              <w:pStyle w:val="TableCell0"/>
              <w:rPr>
                <w:sz w:val="18"/>
                <w:szCs w:val="20"/>
              </w:rPr>
            </w:pPr>
            <w:r w:rsidRPr="00AD3B7F">
              <w:rPr>
                <w:sz w:val="18"/>
                <w:szCs w:val="20"/>
              </w:rPr>
              <w:t>96</w:t>
            </w:r>
          </w:p>
        </w:tc>
        <w:tc>
          <w:tcPr>
            <w:tcW w:w="780" w:type="dxa"/>
          </w:tcPr>
          <w:p w14:paraId="78084228" w14:textId="77777777" w:rsidR="00F63829" w:rsidRPr="00AD3B7F" w:rsidRDefault="00F63829" w:rsidP="00F63829">
            <w:pPr>
              <w:pStyle w:val="TableCell0"/>
              <w:rPr>
                <w:sz w:val="18"/>
                <w:szCs w:val="20"/>
              </w:rPr>
            </w:pPr>
            <w:r w:rsidRPr="00AD3B7F">
              <w:rPr>
                <w:sz w:val="18"/>
                <w:szCs w:val="20"/>
              </w:rPr>
              <w:t>48</w:t>
            </w:r>
          </w:p>
        </w:tc>
        <w:tc>
          <w:tcPr>
            <w:tcW w:w="780" w:type="dxa"/>
          </w:tcPr>
          <w:p w14:paraId="6FDEE7B9" w14:textId="77777777" w:rsidR="00F63829" w:rsidRPr="00AD3B7F" w:rsidRDefault="00F63829" w:rsidP="00F63829">
            <w:pPr>
              <w:pStyle w:val="TableCell0"/>
              <w:rPr>
                <w:sz w:val="18"/>
                <w:szCs w:val="20"/>
              </w:rPr>
            </w:pPr>
            <w:r w:rsidRPr="00AD3B7F">
              <w:rPr>
                <w:sz w:val="18"/>
                <w:szCs w:val="20"/>
              </w:rPr>
              <w:t>24</w:t>
            </w:r>
          </w:p>
        </w:tc>
        <w:tc>
          <w:tcPr>
            <w:tcW w:w="780" w:type="dxa"/>
            <w:shd w:val="clear" w:color="auto" w:fill="FDE9D9" w:themeFill="accent6" w:themeFillTint="33"/>
          </w:tcPr>
          <w:p w14:paraId="556C9353"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415CBF61"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1E26B91E" w14:textId="77777777" w:rsidR="00F63829" w:rsidRPr="00AD3B7F" w:rsidRDefault="00F63829" w:rsidP="00F63829">
            <w:pPr>
              <w:pStyle w:val="TableCell0"/>
              <w:rPr>
                <w:sz w:val="18"/>
                <w:szCs w:val="20"/>
              </w:rPr>
            </w:pPr>
            <w:r w:rsidRPr="00AD3B7F">
              <w:rPr>
                <w:sz w:val="18"/>
                <w:szCs w:val="20"/>
              </w:rPr>
              <w:t>40</w:t>
            </w:r>
          </w:p>
        </w:tc>
        <w:tc>
          <w:tcPr>
            <w:tcW w:w="843" w:type="dxa"/>
          </w:tcPr>
          <w:p w14:paraId="4E98754F" w14:textId="77777777" w:rsidR="00F63829" w:rsidRPr="00AD3B7F" w:rsidRDefault="00F63829" w:rsidP="00F63829">
            <w:pPr>
              <w:pStyle w:val="TableCell0"/>
              <w:rPr>
                <w:sz w:val="18"/>
                <w:szCs w:val="20"/>
              </w:rPr>
            </w:pPr>
          </w:p>
        </w:tc>
        <w:tc>
          <w:tcPr>
            <w:tcW w:w="843" w:type="dxa"/>
          </w:tcPr>
          <w:p w14:paraId="49D9477E" w14:textId="77777777" w:rsidR="00F63829" w:rsidRPr="00AD3B7F" w:rsidRDefault="00F63829" w:rsidP="00F63829">
            <w:pPr>
              <w:pStyle w:val="TableCell0"/>
              <w:rPr>
                <w:sz w:val="18"/>
                <w:szCs w:val="20"/>
              </w:rPr>
            </w:pPr>
          </w:p>
        </w:tc>
        <w:tc>
          <w:tcPr>
            <w:tcW w:w="843" w:type="dxa"/>
          </w:tcPr>
          <w:p w14:paraId="2F9886EA" w14:textId="77777777" w:rsidR="00F63829" w:rsidRPr="00AD3B7F" w:rsidRDefault="00F63829" w:rsidP="00F63829">
            <w:pPr>
              <w:pStyle w:val="TableCell0"/>
              <w:rPr>
                <w:sz w:val="18"/>
                <w:szCs w:val="20"/>
              </w:rPr>
            </w:pPr>
          </w:p>
        </w:tc>
        <w:tc>
          <w:tcPr>
            <w:tcW w:w="843" w:type="dxa"/>
          </w:tcPr>
          <w:p w14:paraId="097C8631" w14:textId="77777777" w:rsidR="00F63829" w:rsidRPr="00AD3B7F" w:rsidRDefault="00F63829" w:rsidP="00F63829">
            <w:pPr>
              <w:pStyle w:val="TableCell0"/>
              <w:rPr>
                <w:sz w:val="18"/>
                <w:szCs w:val="20"/>
              </w:rPr>
            </w:pPr>
          </w:p>
        </w:tc>
      </w:tr>
      <w:tr w:rsidR="00F63829" w14:paraId="2B8C9C6D" w14:textId="77777777" w:rsidTr="00F63829">
        <w:tc>
          <w:tcPr>
            <w:tcW w:w="625" w:type="dxa"/>
          </w:tcPr>
          <w:p w14:paraId="49EAC57A" w14:textId="77777777" w:rsidR="00F63829" w:rsidRPr="00AD3B7F" w:rsidRDefault="00F63829" w:rsidP="00F63829">
            <w:pPr>
              <w:pStyle w:val="TableCell0"/>
              <w:rPr>
                <w:sz w:val="18"/>
                <w:szCs w:val="20"/>
              </w:rPr>
            </w:pPr>
            <w:r w:rsidRPr="00AD3B7F">
              <w:rPr>
                <w:sz w:val="18"/>
                <w:szCs w:val="20"/>
              </w:rPr>
              <w:t>1151</w:t>
            </w:r>
          </w:p>
        </w:tc>
        <w:tc>
          <w:tcPr>
            <w:tcW w:w="630" w:type="dxa"/>
          </w:tcPr>
          <w:p w14:paraId="4EA6BD59" w14:textId="77777777" w:rsidR="00F63829" w:rsidRPr="00AD3B7F" w:rsidRDefault="00F63829" w:rsidP="00F63829">
            <w:pPr>
              <w:pStyle w:val="TableCell0"/>
              <w:rPr>
                <w:sz w:val="18"/>
                <w:szCs w:val="20"/>
              </w:rPr>
            </w:pPr>
            <w:r w:rsidRPr="00AD3B7F">
              <w:rPr>
                <w:sz w:val="18"/>
                <w:szCs w:val="20"/>
              </w:rPr>
              <w:t>15</w:t>
            </w:r>
          </w:p>
        </w:tc>
        <w:tc>
          <w:tcPr>
            <w:tcW w:w="780" w:type="dxa"/>
          </w:tcPr>
          <w:p w14:paraId="6DBAEBFA" w14:textId="77777777" w:rsidR="00F63829" w:rsidRPr="00AD3B7F" w:rsidRDefault="00F63829" w:rsidP="00F63829">
            <w:pPr>
              <w:pStyle w:val="TableCell0"/>
              <w:rPr>
                <w:sz w:val="18"/>
                <w:szCs w:val="20"/>
              </w:rPr>
            </w:pPr>
            <w:r w:rsidRPr="00AD3B7F">
              <w:rPr>
                <w:sz w:val="18"/>
                <w:szCs w:val="20"/>
              </w:rPr>
              <w:t>96</w:t>
            </w:r>
          </w:p>
        </w:tc>
        <w:tc>
          <w:tcPr>
            <w:tcW w:w="780" w:type="dxa"/>
          </w:tcPr>
          <w:p w14:paraId="36FBBE32" w14:textId="77777777" w:rsidR="00F63829" w:rsidRPr="00AD3B7F" w:rsidRDefault="00F63829" w:rsidP="00F63829">
            <w:pPr>
              <w:pStyle w:val="TableCell0"/>
              <w:rPr>
                <w:sz w:val="18"/>
                <w:szCs w:val="20"/>
              </w:rPr>
            </w:pPr>
            <w:r w:rsidRPr="00AD3B7F">
              <w:rPr>
                <w:sz w:val="18"/>
                <w:szCs w:val="20"/>
              </w:rPr>
              <w:t>48</w:t>
            </w:r>
          </w:p>
        </w:tc>
        <w:tc>
          <w:tcPr>
            <w:tcW w:w="780" w:type="dxa"/>
          </w:tcPr>
          <w:p w14:paraId="72BC5F0D" w14:textId="77777777" w:rsidR="00F63829" w:rsidRPr="00AD3B7F" w:rsidRDefault="00F63829" w:rsidP="00F63829">
            <w:pPr>
              <w:pStyle w:val="TableCell0"/>
              <w:rPr>
                <w:sz w:val="18"/>
                <w:szCs w:val="20"/>
              </w:rPr>
            </w:pPr>
            <w:r w:rsidRPr="00AD3B7F">
              <w:rPr>
                <w:sz w:val="18"/>
                <w:szCs w:val="20"/>
              </w:rPr>
              <w:t>24</w:t>
            </w:r>
          </w:p>
        </w:tc>
        <w:tc>
          <w:tcPr>
            <w:tcW w:w="780" w:type="dxa"/>
            <w:shd w:val="clear" w:color="auto" w:fill="FDE9D9" w:themeFill="accent6" w:themeFillTint="33"/>
          </w:tcPr>
          <w:p w14:paraId="3F975C3A"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2CB9E321" w14:textId="77777777" w:rsidR="00F63829" w:rsidRPr="00AD3B7F" w:rsidRDefault="00F63829" w:rsidP="00F63829">
            <w:pPr>
              <w:pStyle w:val="TableCell0"/>
              <w:rPr>
                <w:sz w:val="18"/>
                <w:szCs w:val="20"/>
              </w:rPr>
            </w:pPr>
            <w:r w:rsidRPr="00AD3B7F">
              <w:rPr>
                <w:sz w:val="18"/>
                <w:szCs w:val="20"/>
              </w:rPr>
              <w:t>40</w:t>
            </w:r>
          </w:p>
        </w:tc>
        <w:tc>
          <w:tcPr>
            <w:tcW w:w="780" w:type="dxa"/>
            <w:shd w:val="clear" w:color="auto" w:fill="FDE9D9" w:themeFill="accent6" w:themeFillTint="33"/>
          </w:tcPr>
          <w:p w14:paraId="724B3C75" w14:textId="77777777" w:rsidR="00F63829" w:rsidRPr="00AD3B7F" w:rsidRDefault="00F63829" w:rsidP="00F63829">
            <w:pPr>
              <w:pStyle w:val="TableCell0"/>
              <w:rPr>
                <w:sz w:val="18"/>
                <w:szCs w:val="20"/>
              </w:rPr>
            </w:pPr>
            <w:r w:rsidRPr="00AD3B7F">
              <w:rPr>
                <w:sz w:val="18"/>
                <w:szCs w:val="20"/>
              </w:rPr>
              <w:t>40</w:t>
            </w:r>
          </w:p>
        </w:tc>
        <w:tc>
          <w:tcPr>
            <w:tcW w:w="843" w:type="dxa"/>
          </w:tcPr>
          <w:p w14:paraId="4B5B3BAE" w14:textId="77777777" w:rsidR="00F63829" w:rsidRPr="00AD3B7F" w:rsidRDefault="00F63829" w:rsidP="00F63829">
            <w:pPr>
              <w:pStyle w:val="TableCell0"/>
              <w:rPr>
                <w:sz w:val="18"/>
                <w:szCs w:val="20"/>
              </w:rPr>
            </w:pPr>
          </w:p>
        </w:tc>
        <w:tc>
          <w:tcPr>
            <w:tcW w:w="843" w:type="dxa"/>
          </w:tcPr>
          <w:p w14:paraId="060D60B3" w14:textId="77777777" w:rsidR="00F63829" w:rsidRPr="00AD3B7F" w:rsidRDefault="00F63829" w:rsidP="00F63829">
            <w:pPr>
              <w:pStyle w:val="TableCell0"/>
              <w:rPr>
                <w:sz w:val="18"/>
                <w:szCs w:val="20"/>
              </w:rPr>
            </w:pPr>
          </w:p>
        </w:tc>
        <w:tc>
          <w:tcPr>
            <w:tcW w:w="843" w:type="dxa"/>
          </w:tcPr>
          <w:p w14:paraId="4A436860" w14:textId="77777777" w:rsidR="00F63829" w:rsidRPr="00AD3B7F" w:rsidRDefault="00F63829" w:rsidP="00F63829">
            <w:pPr>
              <w:pStyle w:val="TableCell0"/>
              <w:rPr>
                <w:sz w:val="18"/>
                <w:szCs w:val="20"/>
              </w:rPr>
            </w:pPr>
          </w:p>
        </w:tc>
        <w:tc>
          <w:tcPr>
            <w:tcW w:w="843" w:type="dxa"/>
          </w:tcPr>
          <w:p w14:paraId="1708114E" w14:textId="77777777" w:rsidR="00F63829" w:rsidRPr="00AD3B7F" w:rsidRDefault="00F63829" w:rsidP="00F63829">
            <w:pPr>
              <w:pStyle w:val="TableCell0"/>
              <w:rPr>
                <w:sz w:val="18"/>
                <w:szCs w:val="20"/>
              </w:rPr>
            </w:pPr>
          </w:p>
        </w:tc>
      </w:tr>
    </w:tbl>
    <w:p w14:paraId="4C59D930" w14:textId="77777777" w:rsidR="00F63829" w:rsidRDefault="00F63829" w:rsidP="00F63829"/>
    <w:p w14:paraId="2DEDED3E" w14:textId="58A33E1A" w:rsidR="00F63829" w:rsidRPr="00114C8C" w:rsidRDefault="00F63829" w:rsidP="00F63829">
      <w:pPr>
        <w:rPr>
          <w:b/>
          <w:bCs/>
          <w:i/>
          <w:iCs/>
        </w:rPr>
      </w:pPr>
      <w:r w:rsidRPr="00114C8C">
        <w:rPr>
          <w:b/>
          <w:bCs/>
          <w:i/>
          <w:iCs/>
        </w:rPr>
        <w:t xml:space="preserve">Observation </w:t>
      </w:r>
      <w:r>
        <w:rPr>
          <w:b/>
          <w:bCs/>
          <w:i/>
          <w:iCs/>
        </w:rPr>
        <w:t>4</w:t>
      </w:r>
      <w:r w:rsidRPr="00114C8C">
        <w:rPr>
          <w:b/>
          <w:bCs/>
          <w:i/>
          <w:iCs/>
        </w:rPr>
        <w:t>: the maximum bandwidth of each RACH occasion is less than the maximum bandwidth of a RedCap UE</w:t>
      </w:r>
      <w:r w:rsidR="003546F2" w:rsidRPr="00114C8C">
        <w:rPr>
          <w:b/>
          <w:bCs/>
          <w:i/>
          <w:iCs/>
        </w:rPr>
        <w:t xml:space="preserve">. </w:t>
      </w:r>
    </w:p>
    <w:p w14:paraId="1BB31F18" w14:textId="77777777" w:rsidR="00F63829" w:rsidRDefault="00F63829" w:rsidP="00F63829">
      <w:r>
        <w:t xml:space="preserve">Since the network provides the configuration parameters for RACH, it can ensure that all RACH occasions for RedCap UEs are within the bandwidth of RedCap UEs. In addition, it may be possible for the network to indicate which RACH occasions can be used by a RedCap UE using a mask index. For example, in the signaling / procedures for 2-step RACH, the network indicates which RACH occasion can be shared. </w:t>
      </w:r>
    </w:p>
    <w:p w14:paraId="41BC9EB4" w14:textId="77777777" w:rsidR="00F63829" w:rsidRPr="00805718" w:rsidRDefault="00F63829" w:rsidP="00F63829">
      <w:pPr>
        <w:ind w:left="432"/>
        <w:rPr>
          <w:sz w:val="18"/>
          <w:szCs w:val="18"/>
        </w:rPr>
      </w:pPr>
      <w:r w:rsidRPr="00805718">
        <w:rPr>
          <w:i/>
          <w:iCs/>
          <w:sz w:val="18"/>
          <w:szCs w:val="18"/>
        </w:rPr>
        <w:t>msgA-SSB-SharedRO-MaskIndex</w:t>
      </w:r>
      <w:r>
        <w:rPr>
          <w:sz w:val="18"/>
          <w:szCs w:val="18"/>
        </w:rPr>
        <w:t xml:space="preserve">: </w:t>
      </w:r>
      <w:r w:rsidRPr="00805718">
        <w:rPr>
          <w:sz w:val="18"/>
          <w:szCs w:val="18"/>
        </w:rPr>
        <w:t>Indicates the subset of 4-step type ROs shared with 2-step random access type for each SSB. This field is configured when there is more than one RO per SSB. If the field is absent, and 4-step and 2-step has shared ROs, then all ROs are shared.</w:t>
      </w:r>
    </w:p>
    <w:p w14:paraId="7C214810" w14:textId="77777777" w:rsidR="00F63829" w:rsidRDefault="00F63829" w:rsidP="00F63829">
      <w:r>
        <w:lastRenderedPageBreak/>
        <w:t>Another example is the mask used to select RACH occasions for contention-free and contention-based random access.</w:t>
      </w:r>
    </w:p>
    <w:p w14:paraId="23D68480" w14:textId="77777777" w:rsidR="00F63829" w:rsidRPr="005B1C66" w:rsidRDefault="00F63829" w:rsidP="00F63829">
      <w:pPr>
        <w:ind w:left="432"/>
        <w:rPr>
          <w:sz w:val="18"/>
          <w:szCs w:val="18"/>
        </w:rPr>
      </w:pPr>
      <w:r w:rsidRPr="005B1C66">
        <w:rPr>
          <w:i/>
          <w:iCs/>
          <w:sz w:val="18"/>
          <w:szCs w:val="18"/>
          <w:lang w:eastAsia="sv-SE"/>
        </w:rPr>
        <w:t>ra-ssb-OccasionMaskIndex</w:t>
      </w:r>
      <w:r w:rsidRPr="00BC2036">
        <w:rPr>
          <w:sz w:val="18"/>
          <w:szCs w:val="18"/>
          <w:lang w:eastAsia="sv-SE"/>
        </w:rPr>
        <w:t xml:space="preserve">: </w:t>
      </w:r>
      <w:r w:rsidRPr="005B1C66">
        <w:rPr>
          <w:sz w:val="18"/>
          <w:szCs w:val="18"/>
          <w:lang w:eastAsia="sv-SE"/>
        </w:rPr>
        <w:t>Explicitly signalled PRACH Mask Index for RA Resource selection in TS 38.32</w:t>
      </w:r>
      <w:r>
        <w:rPr>
          <w:sz w:val="18"/>
          <w:szCs w:val="18"/>
          <w:lang w:eastAsia="sv-SE"/>
        </w:rPr>
        <w:t>1</w:t>
      </w:r>
      <w:r w:rsidRPr="005B1C66">
        <w:rPr>
          <w:sz w:val="18"/>
          <w:szCs w:val="18"/>
          <w:lang w:eastAsia="sv-SE"/>
        </w:rPr>
        <w:t>. The mask is valid for all SSB resources.</w:t>
      </w:r>
    </w:p>
    <w:p w14:paraId="77A5F18C" w14:textId="77777777" w:rsidR="00F63829" w:rsidRDefault="00F63829" w:rsidP="00F63829">
      <w:pPr>
        <w:rPr>
          <w:b/>
          <w:bCs/>
          <w:i/>
          <w:iCs/>
        </w:rPr>
      </w:pPr>
      <w:r w:rsidRPr="00114C8C">
        <w:rPr>
          <w:b/>
          <w:bCs/>
          <w:i/>
          <w:iCs/>
        </w:rPr>
        <w:t xml:space="preserve">Proposal </w:t>
      </w:r>
      <w:r>
        <w:rPr>
          <w:b/>
          <w:bCs/>
          <w:i/>
          <w:iCs/>
        </w:rPr>
        <w:t>1</w:t>
      </w:r>
      <w:r w:rsidRPr="00114C8C">
        <w:rPr>
          <w:b/>
          <w:bCs/>
          <w:i/>
          <w:iCs/>
        </w:rPr>
        <w:t xml:space="preserve">: </w:t>
      </w:r>
      <w:r w:rsidRPr="001B545D">
        <w:rPr>
          <w:b/>
          <w:bCs/>
          <w:i/>
          <w:iCs/>
        </w:rPr>
        <w:t>RedCap UEs can share RACH occasions with legacy UEs</w:t>
      </w:r>
    </w:p>
    <w:p w14:paraId="343079E7" w14:textId="77777777" w:rsidR="00F63829" w:rsidRDefault="00F63829" w:rsidP="00F63829">
      <w:pPr>
        <w:pStyle w:val="ListParagraph"/>
        <w:numPr>
          <w:ilvl w:val="0"/>
          <w:numId w:val="23"/>
        </w:numPr>
      </w:pPr>
      <w:r w:rsidRPr="001B545D">
        <w:rPr>
          <w:b/>
          <w:bCs/>
          <w:i/>
          <w:iCs/>
        </w:rPr>
        <w:t>A subset of RACH occasions can be indicated with a mask, thereby ensuring that all occasions are within the RedCap UE bandwidth</w:t>
      </w:r>
    </w:p>
    <w:p w14:paraId="42C15814" w14:textId="33A0688D" w:rsidR="00F63829" w:rsidRDefault="00F63829" w:rsidP="00F63829">
      <w:r>
        <w:t xml:space="preserve">The analysis above shows that </w:t>
      </w:r>
      <w:r w:rsidR="001754F5">
        <w:t xml:space="preserve">Option </w:t>
      </w:r>
      <w:r>
        <w:t>3 requires minimal changes and no new elements (timing, switching).</w:t>
      </w:r>
      <w:r w:rsidRPr="001B545D">
        <w:t xml:space="preserve"> </w:t>
      </w:r>
      <w:r>
        <w:t>Even using a mask index for RedCap UEs is</w:t>
      </w:r>
      <w:r w:rsidRPr="001B545D">
        <w:t xml:space="preserve"> a type of Option 3</w:t>
      </w:r>
      <w:r>
        <w:t xml:space="preserve"> where no new element is introduced (it is a reuse of an existing procedure/signaling).</w:t>
      </w:r>
    </w:p>
    <w:p w14:paraId="0E5CC3D8" w14:textId="77777777" w:rsidR="00F63829" w:rsidRDefault="00F63829" w:rsidP="00F63829">
      <w:r>
        <w:rPr>
          <w:b/>
          <w:bCs/>
          <w:i/>
          <w:iCs/>
        </w:rPr>
        <w:t>Observation 5</w:t>
      </w:r>
      <w:r w:rsidRPr="00974DCA">
        <w:rPr>
          <w:b/>
          <w:bCs/>
          <w:i/>
          <w:iCs/>
        </w:rPr>
        <w:t xml:space="preserve">: </w:t>
      </w:r>
      <w:r>
        <w:rPr>
          <w:b/>
          <w:bCs/>
          <w:i/>
          <w:iCs/>
        </w:rPr>
        <w:t>Option 3 ensures the</w:t>
      </w:r>
      <w:r w:rsidRPr="00974DCA">
        <w:rPr>
          <w:b/>
          <w:bCs/>
          <w:i/>
          <w:iCs/>
        </w:rPr>
        <w:t xml:space="preserve"> RACH occasion is within the bandwidth of a RedCap UE</w:t>
      </w:r>
      <w:r>
        <w:rPr>
          <w:b/>
          <w:bCs/>
          <w:i/>
          <w:iCs/>
        </w:rPr>
        <w:t xml:space="preserve"> as this option</w:t>
      </w:r>
      <w:r w:rsidRPr="00114C8C">
        <w:rPr>
          <w:b/>
          <w:bCs/>
          <w:i/>
          <w:iCs/>
        </w:rPr>
        <w:t xml:space="preserve"> requires minimal changes and no new elements</w:t>
      </w:r>
      <w:r w:rsidRPr="00974DCA">
        <w:rPr>
          <w:b/>
          <w:bCs/>
          <w:i/>
          <w:iCs/>
        </w:rPr>
        <w:t>.</w:t>
      </w:r>
    </w:p>
    <w:p w14:paraId="17D20160" w14:textId="7B292F95" w:rsidR="00F63829" w:rsidRDefault="00F63829" w:rsidP="00F63829">
      <w:r w:rsidRPr="00780665">
        <w:t>Option 4</w:t>
      </w:r>
      <w:r>
        <w:t xml:space="preserve"> provides a level of flexibility by allowing sharing of</w:t>
      </w:r>
      <w:r w:rsidRPr="00780665">
        <w:t xml:space="preserve"> RACH occa</w:t>
      </w:r>
      <w:r>
        <w:t>si</w:t>
      </w:r>
      <w:r w:rsidRPr="00780665">
        <w:t>ons</w:t>
      </w:r>
      <w:r>
        <w:t xml:space="preserve"> </w:t>
      </w:r>
      <w:r w:rsidRPr="00C650E5">
        <w:rPr>
          <w:i/>
          <w:iCs/>
        </w:rPr>
        <w:t>and</w:t>
      </w:r>
      <w:r>
        <w:t xml:space="preserve"> supporting </w:t>
      </w:r>
      <w:r w:rsidRPr="00780665">
        <w:t xml:space="preserve">additional </w:t>
      </w:r>
      <w:r>
        <w:t>RedCap-</w:t>
      </w:r>
      <w:r w:rsidRPr="00780665">
        <w:t>specific RACH occasions</w:t>
      </w:r>
      <w:r>
        <w:t>/preambles</w:t>
      </w:r>
      <w:r w:rsidRPr="00780665">
        <w:t xml:space="preserve">. </w:t>
      </w:r>
      <w:r>
        <w:t>Having a RedCap-specific RACH configuration</w:t>
      </w:r>
      <w:r w:rsidRPr="00780665">
        <w:t xml:space="preserve"> </w:t>
      </w:r>
      <w:r>
        <w:t>can enable</w:t>
      </w:r>
      <w:r w:rsidRPr="00780665">
        <w:t xml:space="preserve"> </w:t>
      </w:r>
      <w:r>
        <w:t xml:space="preserve">the </w:t>
      </w:r>
      <w:r w:rsidRPr="00780665">
        <w:t xml:space="preserve">early identification </w:t>
      </w:r>
      <w:r>
        <w:t xml:space="preserve">objective in the WID </w:t>
      </w:r>
      <w:r>
        <w:fldChar w:fldCharType="begin"/>
      </w:r>
      <w:r>
        <w:instrText xml:space="preserve"> REF _Ref60902124 \r \h </w:instrText>
      </w:r>
      <w:r>
        <w:fldChar w:fldCharType="separate"/>
      </w:r>
      <w:r w:rsidR="004F7156">
        <w:t>[1]</w:t>
      </w:r>
      <w:r>
        <w:fldChar w:fldCharType="end"/>
      </w:r>
      <w:r>
        <w:t xml:space="preserve">. </w:t>
      </w:r>
      <w:r w:rsidR="001754F5">
        <w:t>The early identification</w:t>
      </w:r>
      <w:r>
        <w:t xml:space="preserve"> objective </w:t>
      </w:r>
      <w:r w:rsidRPr="00780665">
        <w:t xml:space="preserve">was introduced as part of the discussion for </w:t>
      </w:r>
      <w:r>
        <w:t xml:space="preserve">supporting the </w:t>
      </w:r>
      <w:r w:rsidRPr="00780665">
        <w:t>1R</w:t>
      </w:r>
      <w:r>
        <w:t>x</w:t>
      </w:r>
      <w:r w:rsidRPr="00780665">
        <w:t xml:space="preserve"> </w:t>
      </w:r>
      <w:r>
        <w:t>branch feature</w:t>
      </w:r>
      <w:r w:rsidR="001754F5">
        <w:t>, and (with Msg 1 early identification) allows</w:t>
      </w:r>
      <w:r>
        <w:t xml:space="preserve"> a dedicated </w:t>
      </w:r>
      <w:r w:rsidRPr="00780665">
        <w:t xml:space="preserve">RACH occasion </w:t>
      </w:r>
      <w:r w:rsidR="001754F5">
        <w:t xml:space="preserve">that </w:t>
      </w:r>
      <w:r>
        <w:t>can be used by</w:t>
      </w:r>
      <w:r w:rsidRPr="00780665">
        <w:t xml:space="preserve"> 1R</w:t>
      </w:r>
      <w:r>
        <w:t>x</w:t>
      </w:r>
      <w:r w:rsidRPr="00780665">
        <w:t xml:space="preserve"> UEs or </w:t>
      </w:r>
      <w:r>
        <w:t xml:space="preserve">by RedCap </w:t>
      </w:r>
      <w:r w:rsidRPr="00780665">
        <w:t xml:space="preserve">UEs in poor channel conditions </w:t>
      </w:r>
      <w:r>
        <w:fldChar w:fldCharType="begin"/>
      </w:r>
      <w:r>
        <w:instrText xml:space="preserve"> REF _Ref68558229 \r \h </w:instrText>
      </w:r>
      <w:r>
        <w:fldChar w:fldCharType="separate"/>
      </w:r>
      <w:r w:rsidR="004F7156">
        <w:t>[15]</w:t>
      </w:r>
      <w:r>
        <w:fldChar w:fldCharType="end"/>
      </w:r>
      <w:r>
        <w:t xml:space="preserve">. Option 4 is </w:t>
      </w:r>
      <w:r w:rsidR="001754F5">
        <w:t xml:space="preserve">also </w:t>
      </w:r>
      <w:r>
        <w:t>another approach to ensure a RACH occasion for RedCap UEs is within the bandwidth of a RedCap UE.</w:t>
      </w:r>
      <w:r w:rsidR="001754F5" w:rsidRPr="001754F5">
        <w:t xml:space="preserve"> </w:t>
      </w:r>
      <w:r w:rsidR="001754F5">
        <w:t>However, since early identification is under network configuration and may not be used at all, as well as for efficiency reasons, it is of primary important that a RedCap UE is able to share RACH occasions with legacy UEs.</w:t>
      </w:r>
    </w:p>
    <w:p w14:paraId="6E8B736C" w14:textId="6EBCFBAD" w:rsidR="00F63829" w:rsidRDefault="001754F5" w:rsidP="00F63829">
      <w:r>
        <w:rPr>
          <w:b/>
          <w:bCs/>
          <w:i/>
          <w:iCs/>
        </w:rPr>
        <w:t>Proposal 2</w:t>
      </w:r>
      <w:r w:rsidR="00F63829" w:rsidRPr="00974DCA">
        <w:rPr>
          <w:b/>
          <w:bCs/>
          <w:i/>
          <w:iCs/>
        </w:rPr>
        <w:t xml:space="preserve">: </w:t>
      </w:r>
      <w:r>
        <w:rPr>
          <w:b/>
          <w:bCs/>
          <w:i/>
          <w:iCs/>
        </w:rPr>
        <w:t>In addition to sharing RACH occasions with legacy UEs, at least some RedCap UEs may be configured with dedicated RACH occasions</w:t>
      </w:r>
      <w:r w:rsidR="00F63829" w:rsidRPr="00974DCA">
        <w:rPr>
          <w:b/>
          <w:bCs/>
          <w:i/>
          <w:iCs/>
        </w:rPr>
        <w:t>.</w:t>
      </w:r>
    </w:p>
    <w:p w14:paraId="76D7F53C" w14:textId="77777777" w:rsidR="00F63829" w:rsidRPr="001109FF" w:rsidRDefault="00F63829" w:rsidP="00F63829">
      <w:r>
        <w:t>This examination shows that RedCap and non-RedCap UEs can share RACH occasions if the network ensures those RACH occasions are within the bandwidth of a RedCap UE.</w:t>
      </w:r>
    </w:p>
    <w:p w14:paraId="78D3C302" w14:textId="2B526C20" w:rsidR="000B60F7" w:rsidRDefault="000B60F7" w:rsidP="0091662F">
      <w:pPr>
        <w:pStyle w:val="Heading3"/>
      </w:pPr>
      <w:r>
        <w:t>PUSCH / Msg3</w:t>
      </w:r>
    </w:p>
    <w:p w14:paraId="34B567D7" w14:textId="75553098" w:rsidR="00F63829" w:rsidRDefault="00F63829" w:rsidP="00F63829">
      <w:r>
        <w:t xml:space="preserve">The resources (UL grant) of Msg3 are signaled in the MAC CE carried in Msg2. The following parameters affect the location of the grant PUSCH (Table 8.2-1 in </w:t>
      </w:r>
      <w:r>
        <w:fldChar w:fldCharType="begin"/>
      </w:r>
      <w:r>
        <w:instrText xml:space="preserve"> REF _Ref66199803 \r \h </w:instrText>
      </w:r>
      <w:r>
        <w:fldChar w:fldCharType="separate"/>
      </w:r>
      <w:r w:rsidR="004F7156">
        <w:t>[7]</w:t>
      </w:r>
      <w:r>
        <w:fldChar w:fldCharType="end"/>
      </w:r>
      <w:r>
        <w:t xml:space="preserve">): </w:t>
      </w:r>
    </w:p>
    <w:p w14:paraId="2E5D821E" w14:textId="77777777" w:rsidR="00F63829" w:rsidRDefault="00F63829" w:rsidP="00F63829">
      <w:pPr>
        <w:pStyle w:val="ListParagraph"/>
        <w:numPr>
          <w:ilvl w:val="0"/>
          <w:numId w:val="37"/>
        </w:numPr>
        <w:ind w:left="720"/>
      </w:pPr>
      <w:r w:rsidRPr="00365710">
        <w:t>PUSCH frequency resource allocation</w:t>
      </w:r>
      <w:r>
        <w:t>: the starting location and size of Msg3</w:t>
      </w:r>
    </w:p>
    <w:p w14:paraId="545578A9" w14:textId="1BC232EE" w:rsidR="00F63829" w:rsidRDefault="00F63829" w:rsidP="00F63829">
      <w:pPr>
        <w:pStyle w:val="ListParagraph"/>
        <w:numPr>
          <w:ilvl w:val="0"/>
          <w:numId w:val="37"/>
        </w:numPr>
        <w:ind w:left="720"/>
      </w:pPr>
      <w:r>
        <w:rPr>
          <w:lang w:eastAsia="en-GB"/>
        </w:rPr>
        <w:t xml:space="preserve">Frequency hopping flag: whether frequency hopping is enabled. If enabled, the generic location of the second half of the PUSCH is offset from the first half by </w:t>
      </w:r>
      <m:oMath>
        <m:r>
          <w:rPr>
            <w:rFonts w:ascii="Cambria Math" w:hAnsi="Cambria Math"/>
            <w:lang w:eastAsia="en-GB"/>
          </w:rPr>
          <m:t>s</m:t>
        </m:r>
        <m:d>
          <m:dPr>
            <m:begChr m:val="⌊"/>
            <m:endChr m:val="⌋"/>
            <m:ctrlPr>
              <w:rPr>
                <w:rFonts w:ascii="Cambria Math" w:hAnsi="Cambria Math"/>
                <w:i/>
                <w:lang w:eastAsia="en-GB"/>
              </w:rPr>
            </m:ctrlPr>
          </m:dPr>
          <m:e>
            <m:f>
              <m:fPr>
                <m:type m:val="lin"/>
                <m:ctrlPr>
                  <w:rPr>
                    <w:rFonts w:ascii="Cambria Math" w:eastAsia="MS Mincho" w:hAnsi="Cambria Math"/>
                    <w:i/>
                    <w:kern w:val="2"/>
                    <w:lang w:val="en-GB" w:eastAsia="en-GB"/>
                  </w:rPr>
                </m:ctrlPr>
              </m:fPr>
              <m:num>
                <m:sSubSup>
                  <m:sSubSupPr>
                    <m:ctrlPr>
                      <w:rPr>
                        <w:rFonts w:ascii="Cambria Math" w:eastAsia="MS Mincho" w:hAnsi="Cambria Math"/>
                        <w:i/>
                        <w:kern w:val="2"/>
                        <w:lang w:val="en-GB"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d>
                  <m:dPr>
                    <m:ctrlPr>
                      <w:rPr>
                        <w:rFonts w:ascii="Cambria Math" w:eastAsia="MS Mincho" w:hAnsi="Cambria Math"/>
                        <w:i/>
                        <w:kern w:val="2"/>
                        <w:lang w:eastAsia="en-GB"/>
                      </w:rPr>
                    </m:ctrlPr>
                  </m:dPr>
                  <m:e>
                    <m:r>
                      <w:rPr>
                        <w:rFonts w:ascii="Cambria Math" w:eastAsia="MS Mincho" w:hAnsi="Cambria Math"/>
                        <w:kern w:val="2"/>
                        <w:lang w:eastAsia="en-GB"/>
                      </w:rPr>
                      <m:t>2k</m:t>
                    </m:r>
                  </m:e>
                </m:d>
              </m:den>
            </m:f>
          </m:e>
        </m:d>
      </m:oMath>
      <w:r>
        <w:rPr>
          <w:lang w:eastAsia="en-GB"/>
        </w:rPr>
        <w:t xml:space="preserve"> where </w:t>
      </w:r>
      <w:r w:rsidRPr="001A1F6C">
        <w:rPr>
          <w:i/>
          <w:iCs/>
          <w:lang w:eastAsia="en-GB"/>
        </w:rPr>
        <w:t>k</w:t>
      </w:r>
      <w:r>
        <w:rPr>
          <w:lang w:eastAsia="en-GB"/>
        </w:rPr>
        <w:t xml:space="preserve">={1,2} and </w:t>
      </w:r>
      <w:r w:rsidRPr="00114C8C">
        <w:rPr>
          <w:i/>
          <w:iCs/>
          <w:lang w:eastAsia="en-GB"/>
        </w:rPr>
        <w:t>s</w:t>
      </w:r>
      <w:r>
        <w:rPr>
          <w:lang w:eastAsia="en-GB"/>
        </w:rPr>
        <w:t xml:space="preserve">={1,-1}. The actual values of the offset are listed in Table 8.3-1 of </w:t>
      </w:r>
      <w:r>
        <w:rPr>
          <w:lang w:eastAsia="en-GB"/>
        </w:rPr>
        <w:fldChar w:fldCharType="begin"/>
      </w:r>
      <w:r>
        <w:rPr>
          <w:lang w:eastAsia="en-GB"/>
        </w:rPr>
        <w:instrText xml:space="preserve"> REF _Ref66199803 \r \h </w:instrText>
      </w:r>
      <w:r>
        <w:rPr>
          <w:lang w:eastAsia="en-GB"/>
        </w:rPr>
      </w:r>
      <w:r>
        <w:rPr>
          <w:lang w:eastAsia="en-GB"/>
        </w:rPr>
        <w:fldChar w:fldCharType="separate"/>
      </w:r>
      <w:r w:rsidR="004F7156">
        <w:rPr>
          <w:lang w:eastAsia="en-GB"/>
        </w:rPr>
        <w:t>[7]</w:t>
      </w:r>
      <w:r>
        <w:rPr>
          <w:lang w:eastAsia="en-GB"/>
        </w:rPr>
        <w:fldChar w:fldCharType="end"/>
      </w:r>
      <w:r>
        <w:rPr>
          <w:lang w:eastAsia="en-GB"/>
        </w:rPr>
        <w:t>. The following table provides some bounds on the offset.</w:t>
      </w:r>
    </w:p>
    <w:p w14:paraId="6E02DB56" w14:textId="2A3FB6CF" w:rsidR="00F63829" w:rsidRDefault="00F63829" w:rsidP="00F63829">
      <w:pPr>
        <w:pStyle w:val="Caption"/>
      </w:pPr>
      <w:r>
        <w:t xml:space="preserve">Table </w:t>
      </w:r>
      <w:r w:rsidR="00084B66">
        <w:fldChar w:fldCharType="begin"/>
      </w:r>
      <w:r w:rsidR="00084B66">
        <w:instrText xml:space="preserve"> SEQ Table \* ARABIC </w:instrText>
      </w:r>
      <w:r w:rsidR="00084B66">
        <w:fldChar w:fldCharType="separate"/>
      </w:r>
      <w:r w:rsidR="004F7156">
        <w:rPr>
          <w:noProof/>
        </w:rPr>
        <w:t>6</w:t>
      </w:r>
      <w:r w:rsidR="00084B66">
        <w:rPr>
          <w:noProof/>
        </w:rPr>
        <w:fldChar w:fldCharType="end"/>
      </w:r>
      <w:r>
        <w:t>. Amount of frequency offset, FR1</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152"/>
        <w:gridCol w:w="1152"/>
        <w:gridCol w:w="1152"/>
        <w:gridCol w:w="1152"/>
        <w:gridCol w:w="1152"/>
        <w:gridCol w:w="1152"/>
      </w:tblGrid>
      <w:tr w:rsidR="00F63829" w:rsidRPr="00017531" w14:paraId="0513F04D" w14:textId="77777777" w:rsidTr="00F63829">
        <w:trPr>
          <w:jc w:val="center"/>
        </w:trPr>
        <w:tc>
          <w:tcPr>
            <w:tcW w:w="1748" w:type="dxa"/>
            <w:tcBorders>
              <w:top w:val="single" w:sz="4" w:space="0" w:color="auto"/>
              <w:left w:val="single" w:sz="4" w:space="0" w:color="auto"/>
              <w:bottom w:val="single" w:sz="4" w:space="0" w:color="auto"/>
              <w:right w:val="single" w:sz="4" w:space="0" w:color="auto"/>
            </w:tcBorders>
            <w:shd w:val="clear" w:color="auto" w:fill="E0E0E0"/>
            <w:vAlign w:val="center"/>
          </w:tcPr>
          <w:p w14:paraId="7EA55A50" w14:textId="77777777" w:rsidR="00F63829" w:rsidRDefault="00F63829" w:rsidP="00F63829">
            <w:pPr>
              <w:pStyle w:val="TableCell0"/>
              <w:jc w:val="center"/>
            </w:pPr>
          </w:p>
        </w:tc>
        <w:tc>
          <w:tcPr>
            <w:tcW w:w="3456" w:type="dxa"/>
            <w:gridSpan w:val="3"/>
            <w:tcBorders>
              <w:top w:val="single" w:sz="4" w:space="0" w:color="auto"/>
              <w:left w:val="single" w:sz="4" w:space="0" w:color="auto"/>
              <w:bottom w:val="single" w:sz="4" w:space="0" w:color="auto"/>
              <w:right w:val="single" w:sz="4" w:space="0" w:color="auto"/>
            </w:tcBorders>
            <w:shd w:val="clear" w:color="auto" w:fill="E0E0E0"/>
          </w:tcPr>
          <w:p w14:paraId="2886BACE" w14:textId="77777777" w:rsidR="00F63829" w:rsidRPr="00017531" w:rsidRDefault="00F63829" w:rsidP="00F63829">
            <w:pPr>
              <w:pStyle w:val="TableCell0"/>
              <w:jc w:val="center"/>
              <w:rPr>
                <w:lang w:val="en-GB" w:eastAsia="en-GB"/>
              </w:rPr>
            </w:pPr>
            <w:r>
              <w:t>15 kHz SCS</w:t>
            </w:r>
          </w:p>
        </w:tc>
        <w:tc>
          <w:tcPr>
            <w:tcW w:w="3456" w:type="dxa"/>
            <w:gridSpan w:val="3"/>
            <w:tcBorders>
              <w:top w:val="single" w:sz="4" w:space="0" w:color="auto"/>
              <w:left w:val="single" w:sz="4" w:space="0" w:color="auto"/>
              <w:bottom w:val="single" w:sz="4" w:space="0" w:color="auto"/>
              <w:right w:val="single" w:sz="4" w:space="0" w:color="auto"/>
            </w:tcBorders>
            <w:shd w:val="clear" w:color="auto" w:fill="E0E0E0"/>
          </w:tcPr>
          <w:p w14:paraId="53B94188" w14:textId="77777777" w:rsidR="00F63829" w:rsidRPr="00017531" w:rsidRDefault="00F63829" w:rsidP="00F63829">
            <w:pPr>
              <w:pStyle w:val="TableCell0"/>
              <w:jc w:val="center"/>
              <w:rPr>
                <w:lang w:val="en-GB" w:eastAsia="en-GB"/>
              </w:rPr>
            </w:pPr>
            <w:r>
              <w:t>30 kHz SCS</w:t>
            </w:r>
          </w:p>
        </w:tc>
      </w:tr>
      <w:tr w:rsidR="00F63829" w:rsidRPr="00017531" w14:paraId="395E1126" w14:textId="77777777" w:rsidTr="00F63829">
        <w:trPr>
          <w:jc w:val="center"/>
        </w:trPr>
        <w:tc>
          <w:tcPr>
            <w:tcW w:w="1748" w:type="dxa"/>
            <w:tcBorders>
              <w:top w:val="single" w:sz="4" w:space="0" w:color="auto"/>
              <w:left w:val="single" w:sz="4" w:space="0" w:color="auto"/>
              <w:bottom w:val="single" w:sz="4" w:space="0" w:color="auto"/>
              <w:right w:val="single" w:sz="4" w:space="0" w:color="auto"/>
            </w:tcBorders>
            <w:shd w:val="clear" w:color="auto" w:fill="E0E0E0"/>
            <w:vAlign w:val="center"/>
          </w:tcPr>
          <w:p w14:paraId="68F6710B" w14:textId="77777777" w:rsidR="00F63829" w:rsidRDefault="00F63829" w:rsidP="00F63829">
            <w:pPr>
              <w:pStyle w:val="TableCell0"/>
              <w:jc w:val="center"/>
            </w:pPr>
            <w:r>
              <w:t>#</w:t>
            </w:r>
            <w:r w:rsidRPr="00017531">
              <w:t>RBs in initial UL BWP</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515BA03E" w14:textId="77777777" w:rsidR="00F63829" w:rsidRDefault="00F63829" w:rsidP="00F63829">
            <w:pPr>
              <w:pStyle w:val="TableCell0"/>
              <w:jc w:val="center"/>
            </w:pPr>
            <w:r>
              <w:t>Max BW, MHz</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431F3DEB" w14:textId="77777777" w:rsidR="00F63829" w:rsidRDefault="00084B66" w:rsidP="00F63829">
            <w:pPr>
              <w:pStyle w:val="TableCell0"/>
              <w:jc w:val="center"/>
            </w:pPr>
            <m:oMath>
              <m:d>
                <m:dPr>
                  <m:begChr m:val="⌊"/>
                  <m:endChr m:val="⌋"/>
                  <m:ctrlPr>
                    <w:rPr>
                      <w:rFonts w:ascii="Cambria Math" w:hAnsi="Cambria Math"/>
                      <w:sz w:val="18"/>
                      <w:szCs w:val="20"/>
                      <w:lang w:val="en-GB" w:eastAsia="en-GB"/>
                    </w:rPr>
                  </m:ctrlPr>
                </m:dPr>
                <m:e>
                  <m:f>
                    <m:fPr>
                      <m:type m:val="lin"/>
                      <m:ctrlPr>
                        <w:rPr>
                          <w:rFonts w:ascii="Cambria Math" w:hAnsi="Cambria Math"/>
                          <w:sz w:val="18"/>
                          <w:szCs w:val="20"/>
                          <w:lang w:val="en-GB" w:eastAsia="en-GB"/>
                        </w:rPr>
                      </m:ctrlPr>
                    </m:fPr>
                    <m:num>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num>
                    <m:den>
                      <m:r>
                        <m:rPr>
                          <m:sty m:val="p"/>
                        </m:rPr>
                        <w:rPr>
                          <w:rFonts w:ascii="Cambria Math" w:hAnsi="Cambria Math"/>
                          <w:sz w:val="18"/>
                          <w:szCs w:val="20"/>
                          <w:lang w:eastAsia="en-GB"/>
                        </w:rPr>
                        <m:t>2</m:t>
                      </m:r>
                    </m:den>
                  </m:f>
                </m:e>
              </m:d>
            </m:oMath>
            <w:r w:rsidR="00F63829">
              <w:rPr>
                <w:lang w:val="en-GB" w:eastAsia="en-GB"/>
              </w:rPr>
              <w:t>, MHz, max</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20974095" w14:textId="77777777" w:rsidR="00F63829" w:rsidRDefault="00084B66" w:rsidP="00F63829">
            <w:pPr>
              <w:pStyle w:val="TableCell0"/>
              <w:jc w:val="center"/>
            </w:pPr>
            <m:oMath>
              <m:d>
                <m:dPr>
                  <m:begChr m:val="⌊"/>
                  <m:endChr m:val="⌋"/>
                  <m:ctrlPr>
                    <w:rPr>
                      <w:rFonts w:ascii="Cambria Math" w:hAnsi="Cambria Math"/>
                      <w:sz w:val="18"/>
                      <w:szCs w:val="20"/>
                      <w:lang w:val="en-GB" w:eastAsia="en-GB"/>
                    </w:rPr>
                  </m:ctrlPr>
                </m:dPr>
                <m:e>
                  <m:f>
                    <m:fPr>
                      <m:type m:val="lin"/>
                      <m:ctrlPr>
                        <w:rPr>
                          <w:rFonts w:ascii="Cambria Math" w:hAnsi="Cambria Math"/>
                          <w:sz w:val="18"/>
                          <w:szCs w:val="20"/>
                          <w:lang w:val="en-GB" w:eastAsia="en-GB"/>
                        </w:rPr>
                      </m:ctrlPr>
                    </m:fPr>
                    <m:num>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num>
                    <m:den>
                      <m:r>
                        <w:rPr>
                          <w:rFonts w:ascii="Cambria Math" w:hAnsi="Cambria Math"/>
                          <w:sz w:val="18"/>
                          <w:szCs w:val="20"/>
                          <w:lang w:val="en-GB" w:eastAsia="en-GB"/>
                        </w:rPr>
                        <m:t>4</m:t>
                      </m:r>
                    </m:den>
                  </m:f>
                </m:e>
              </m:d>
            </m:oMath>
            <w:r w:rsidR="00F63829">
              <w:rPr>
                <w:lang w:val="en-GB" w:eastAsia="en-GB"/>
              </w:rPr>
              <w:t>, MHz, max</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6595504B" w14:textId="77777777" w:rsidR="00F63829" w:rsidRDefault="00F63829" w:rsidP="00F63829">
            <w:pPr>
              <w:pStyle w:val="TableCell0"/>
              <w:jc w:val="center"/>
            </w:pPr>
            <w:r>
              <w:t>Max BW, MHz</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2C3647FB" w14:textId="77777777" w:rsidR="00F63829" w:rsidRDefault="00084B66" w:rsidP="00F63829">
            <w:pPr>
              <w:pStyle w:val="TableCell0"/>
              <w:jc w:val="center"/>
            </w:pPr>
            <m:oMath>
              <m:d>
                <m:dPr>
                  <m:begChr m:val="⌊"/>
                  <m:endChr m:val="⌋"/>
                  <m:ctrlPr>
                    <w:rPr>
                      <w:rFonts w:ascii="Cambria Math" w:hAnsi="Cambria Math"/>
                      <w:sz w:val="18"/>
                      <w:szCs w:val="20"/>
                      <w:lang w:val="en-GB" w:eastAsia="en-GB"/>
                    </w:rPr>
                  </m:ctrlPr>
                </m:dPr>
                <m:e>
                  <m:f>
                    <m:fPr>
                      <m:type m:val="lin"/>
                      <m:ctrlPr>
                        <w:rPr>
                          <w:rFonts w:ascii="Cambria Math" w:hAnsi="Cambria Math"/>
                          <w:sz w:val="18"/>
                          <w:szCs w:val="20"/>
                          <w:lang w:val="en-GB" w:eastAsia="en-GB"/>
                        </w:rPr>
                      </m:ctrlPr>
                    </m:fPr>
                    <m:num>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num>
                    <m:den>
                      <m:r>
                        <w:rPr>
                          <w:rFonts w:ascii="Cambria Math" w:hAnsi="Cambria Math"/>
                          <w:sz w:val="18"/>
                          <w:szCs w:val="20"/>
                          <w:lang w:val="en-GB" w:eastAsia="en-GB"/>
                        </w:rPr>
                        <m:t>2</m:t>
                      </m:r>
                    </m:den>
                  </m:f>
                </m:e>
              </m:d>
            </m:oMath>
            <w:r w:rsidR="00F63829">
              <w:rPr>
                <w:lang w:val="en-GB" w:eastAsia="en-GB"/>
              </w:rPr>
              <w:t>, MHz</w:t>
            </w:r>
          </w:p>
        </w:tc>
        <w:tc>
          <w:tcPr>
            <w:tcW w:w="1152" w:type="dxa"/>
            <w:tcBorders>
              <w:top w:val="single" w:sz="4" w:space="0" w:color="auto"/>
              <w:left w:val="single" w:sz="4" w:space="0" w:color="auto"/>
              <w:bottom w:val="single" w:sz="4" w:space="0" w:color="auto"/>
              <w:right w:val="single" w:sz="4" w:space="0" w:color="auto"/>
            </w:tcBorders>
            <w:shd w:val="clear" w:color="auto" w:fill="E0E0E0"/>
          </w:tcPr>
          <w:p w14:paraId="39742FE4" w14:textId="77777777" w:rsidR="00F63829" w:rsidRPr="00017531" w:rsidRDefault="00084B66" w:rsidP="00F63829">
            <w:pPr>
              <w:pStyle w:val="TableCell0"/>
              <w:jc w:val="center"/>
              <w:rPr>
                <w:rFonts w:ascii="Arial" w:hAnsi="Arial" w:cs="Arial"/>
                <w:lang w:val="en-GB" w:eastAsia="en-GB"/>
              </w:rPr>
            </w:pPr>
            <m:oMath>
              <m:d>
                <m:dPr>
                  <m:begChr m:val="⌊"/>
                  <m:endChr m:val="⌋"/>
                  <m:ctrlPr>
                    <w:rPr>
                      <w:rFonts w:ascii="Cambria Math" w:hAnsi="Cambria Math"/>
                      <w:sz w:val="18"/>
                      <w:szCs w:val="20"/>
                      <w:lang w:val="en-GB" w:eastAsia="en-GB"/>
                    </w:rPr>
                  </m:ctrlPr>
                </m:dPr>
                <m:e>
                  <m:f>
                    <m:fPr>
                      <m:type m:val="lin"/>
                      <m:ctrlPr>
                        <w:rPr>
                          <w:rFonts w:ascii="Cambria Math" w:hAnsi="Cambria Math"/>
                          <w:sz w:val="18"/>
                          <w:szCs w:val="20"/>
                          <w:lang w:val="en-GB" w:eastAsia="en-GB"/>
                        </w:rPr>
                      </m:ctrlPr>
                    </m:fPr>
                    <m:num>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num>
                    <m:den>
                      <m:r>
                        <w:rPr>
                          <w:rFonts w:ascii="Cambria Math" w:hAnsi="Cambria Math"/>
                          <w:sz w:val="18"/>
                          <w:szCs w:val="20"/>
                          <w:lang w:val="en-GB" w:eastAsia="en-GB"/>
                        </w:rPr>
                        <m:t>4</m:t>
                      </m:r>
                    </m:den>
                  </m:f>
                </m:e>
              </m:d>
            </m:oMath>
            <w:r w:rsidR="00F63829">
              <w:rPr>
                <w:rFonts w:ascii="Arial" w:hAnsi="Arial" w:cs="Arial"/>
                <w:lang w:val="en-GB" w:eastAsia="en-GB"/>
              </w:rPr>
              <w:t>,</w:t>
            </w:r>
            <w:r w:rsidR="00F63829" w:rsidRPr="00017531">
              <w:rPr>
                <w:lang w:val="en-GB" w:eastAsia="en-GB"/>
              </w:rPr>
              <w:t xml:space="preserve"> MHz</w:t>
            </w:r>
          </w:p>
        </w:tc>
      </w:tr>
      <w:tr w:rsidR="00F63829" w14:paraId="0E169660" w14:textId="77777777" w:rsidTr="00F63829">
        <w:trPr>
          <w:trHeight w:hRule="exact" w:val="367"/>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68C4B80B" w14:textId="77777777" w:rsidR="00F63829" w:rsidRPr="00017531" w:rsidRDefault="00084B66" w:rsidP="00F63829">
            <w:pPr>
              <w:pStyle w:val="TableCell0"/>
              <w:jc w:val="center"/>
              <w:rPr>
                <w:lang w:eastAsia="en-GB"/>
              </w:rPr>
            </w:pPr>
            <m:oMathPara>
              <m:oMath>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r>
                  <m:rPr>
                    <m:sty m:val="p"/>
                  </m:rPr>
                  <w:rPr>
                    <w:rFonts w:ascii="Cambria Math" w:hAnsi="Cambria Math"/>
                    <w:sz w:val="18"/>
                    <w:szCs w:val="20"/>
                    <w:lang w:eastAsia="en-GB"/>
                  </w:rPr>
                  <m:t>&lt;50</m:t>
                </m:r>
              </m:oMath>
            </m:oMathPara>
          </w:p>
        </w:tc>
        <w:tc>
          <w:tcPr>
            <w:tcW w:w="1152" w:type="dxa"/>
            <w:tcBorders>
              <w:top w:val="single" w:sz="4" w:space="0" w:color="auto"/>
              <w:left w:val="single" w:sz="4" w:space="0" w:color="auto"/>
              <w:bottom w:val="single" w:sz="4" w:space="0" w:color="auto"/>
              <w:right w:val="single" w:sz="4" w:space="0" w:color="auto"/>
            </w:tcBorders>
          </w:tcPr>
          <w:p w14:paraId="5DD564A5" w14:textId="77777777" w:rsidR="00F63829" w:rsidRPr="00017531" w:rsidRDefault="00F63829" w:rsidP="00F63829">
            <w:pPr>
              <w:pStyle w:val="TableCell0"/>
              <w:jc w:val="center"/>
              <w:rPr>
                <w:lang w:eastAsia="en-GB"/>
              </w:rPr>
            </w:pPr>
            <w:r w:rsidRPr="00017531">
              <w:rPr>
                <w:lang w:eastAsia="en-GB"/>
              </w:rPr>
              <w:t>10</w:t>
            </w:r>
          </w:p>
        </w:tc>
        <w:tc>
          <w:tcPr>
            <w:tcW w:w="1152" w:type="dxa"/>
            <w:tcBorders>
              <w:top w:val="single" w:sz="4" w:space="0" w:color="auto"/>
              <w:left w:val="single" w:sz="4" w:space="0" w:color="auto"/>
              <w:bottom w:val="single" w:sz="4" w:space="0" w:color="auto"/>
              <w:right w:val="single" w:sz="4" w:space="0" w:color="auto"/>
            </w:tcBorders>
          </w:tcPr>
          <w:p w14:paraId="5E83084C" w14:textId="77777777" w:rsidR="00F63829" w:rsidRPr="00017531" w:rsidRDefault="00F63829" w:rsidP="00F63829">
            <w:pPr>
              <w:pStyle w:val="TableCell0"/>
              <w:jc w:val="center"/>
              <w:rPr>
                <w:lang w:eastAsia="en-GB"/>
              </w:rPr>
            </w:pPr>
            <w:r>
              <w:rPr>
                <w:lang w:eastAsia="en-GB"/>
              </w:rPr>
              <w:t>5</w:t>
            </w:r>
          </w:p>
        </w:tc>
        <w:tc>
          <w:tcPr>
            <w:tcW w:w="1152" w:type="dxa"/>
            <w:tcBorders>
              <w:top w:val="single" w:sz="4" w:space="0" w:color="auto"/>
              <w:left w:val="single" w:sz="4" w:space="0" w:color="auto"/>
              <w:bottom w:val="single" w:sz="4" w:space="0" w:color="auto"/>
              <w:right w:val="single" w:sz="4" w:space="0" w:color="auto"/>
            </w:tcBorders>
          </w:tcPr>
          <w:p w14:paraId="63E23D33" w14:textId="77777777" w:rsidR="00F63829" w:rsidRDefault="00F63829" w:rsidP="00F63829">
            <w:pPr>
              <w:pStyle w:val="TableCell0"/>
              <w:jc w:val="center"/>
              <w:rPr>
                <w:lang w:eastAsia="en-GB"/>
              </w:rPr>
            </w:pPr>
            <w:r>
              <w:rPr>
                <w:lang w:eastAsia="en-GB"/>
              </w:rPr>
              <w:t>2.16</w:t>
            </w:r>
          </w:p>
        </w:tc>
        <w:tc>
          <w:tcPr>
            <w:tcW w:w="1152" w:type="dxa"/>
            <w:tcBorders>
              <w:top w:val="single" w:sz="4" w:space="0" w:color="auto"/>
              <w:left w:val="single" w:sz="4" w:space="0" w:color="auto"/>
              <w:bottom w:val="single" w:sz="4" w:space="0" w:color="auto"/>
              <w:right w:val="single" w:sz="4" w:space="0" w:color="auto"/>
            </w:tcBorders>
          </w:tcPr>
          <w:p w14:paraId="7952B573" w14:textId="77777777" w:rsidR="00F63829" w:rsidRDefault="00F63829" w:rsidP="00F63829">
            <w:pPr>
              <w:pStyle w:val="TableCell0"/>
              <w:jc w:val="center"/>
              <w:rPr>
                <w:lang w:eastAsia="en-GB"/>
              </w:rPr>
            </w:pPr>
            <w:r>
              <w:rPr>
                <w:lang w:eastAsia="en-GB"/>
              </w:rPr>
              <w:t>20</w:t>
            </w:r>
          </w:p>
        </w:tc>
        <w:tc>
          <w:tcPr>
            <w:tcW w:w="1152" w:type="dxa"/>
            <w:tcBorders>
              <w:top w:val="single" w:sz="4" w:space="0" w:color="auto"/>
              <w:left w:val="single" w:sz="4" w:space="0" w:color="auto"/>
              <w:bottom w:val="single" w:sz="4" w:space="0" w:color="auto"/>
              <w:right w:val="single" w:sz="4" w:space="0" w:color="auto"/>
            </w:tcBorders>
          </w:tcPr>
          <w:p w14:paraId="7507FA81" w14:textId="77777777" w:rsidR="00F63829" w:rsidRDefault="00F63829" w:rsidP="00F63829">
            <w:pPr>
              <w:pStyle w:val="TableCell0"/>
              <w:jc w:val="center"/>
              <w:rPr>
                <w:lang w:eastAsia="en-GB"/>
              </w:rPr>
            </w:pPr>
            <w:r>
              <w:rPr>
                <w:lang w:eastAsia="en-GB"/>
              </w:rPr>
              <w:t>8.64</w:t>
            </w:r>
          </w:p>
        </w:tc>
        <w:tc>
          <w:tcPr>
            <w:tcW w:w="1152" w:type="dxa"/>
            <w:tcBorders>
              <w:top w:val="single" w:sz="4" w:space="0" w:color="auto"/>
              <w:left w:val="single" w:sz="4" w:space="0" w:color="auto"/>
              <w:bottom w:val="single" w:sz="4" w:space="0" w:color="auto"/>
              <w:right w:val="single" w:sz="4" w:space="0" w:color="auto"/>
            </w:tcBorders>
          </w:tcPr>
          <w:p w14:paraId="4E221F46" w14:textId="77777777" w:rsidR="00F63829" w:rsidRDefault="00F63829" w:rsidP="00F63829">
            <w:pPr>
              <w:pStyle w:val="TableCell0"/>
              <w:jc w:val="center"/>
              <w:rPr>
                <w:lang w:eastAsia="en-GB"/>
              </w:rPr>
            </w:pPr>
            <w:r>
              <w:rPr>
                <w:lang w:eastAsia="en-GB"/>
              </w:rPr>
              <w:t>4.32</w:t>
            </w:r>
          </w:p>
        </w:tc>
      </w:tr>
      <w:tr w:rsidR="00F63829" w14:paraId="69D6A488" w14:textId="77777777" w:rsidTr="00F63829">
        <w:trPr>
          <w:trHeight w:hRule="exact" w:val="358"/>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1393A177" w14:textId="77777777" w:rsidR="00F63829" w:rsidRPr="00290266" w:rsidRDefault="00F63829" w:rsidP="00F63829">
            <w:pPr>
              <w:pStyle w:val="TableCell0"/>
              <w:jc w:val="center"/>
              <w:rPr>
                <w:lang w:val="en-GB" w:eastAsia="en-GB"/>
              </w:rPr>
            </w:pPr>
            <m:oMathPara>
              <m:oMath>
                <m:r>
                  <w:rPr>
                    <w:rFonts w:ascii="Cambria Math" w:hAnsi="Cambria Math"/>
                    <w:sz w:val="18"/>
                    <w:szCs w:val="20"/>
                    <w:lang w:val="en-GB" w:eastAsia="en-GB"/>
                  </w:rPr>
                  <m:t>50≤</m:t>
                </m:r>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r>
                  <w:rPr>
                    <w:rFonts w:ascii="Cambria Math" w:hAnsi="Cambria Math"/>
                    <w:sz w:val="18"/>
                    <w:szCs w:val="20"/>
                    <w:lang w:val="en-GB" w:eastAsia="en-GB"/>
                  </w:rPr>
                  <m:t>&lt;105</m:t>
                </m:r>
              </m:oMath>
            </m:oMathPara>
          </w:p>
        </w:tc>
        <w:tc>
          <w:tcPr>
            <w:tcW w:w="1152" w:type="dxa"/>
            <w:tcBorders>
              <w:top w:val="single" w:sz="4" w:space="0" w:color="auto"/>
              <w:left w:val="single" w:sz="4" w:space="0" w:color="auto"/>
              <w:bottom w:val="single" w:sz="4" w:space="0" w:color="auto"/>
              <w:right w:val="single" w:sz="4" w:space="0" w:color="auto"/>
            </w:tcBorders>
          </w:tcPr>
          <w:p w14:paraId="21A61BBD" w14:textId="77777777" w:rsidR="00F63829" w:rsidRPr="00017531" w:rsidRDefault="00F63829" w:rsidP="00F63829">
            <w:pPr>
              <w:pStyle w:val="TableCell0"/>
              <w:jc w:val="center"/>
              <w:rPr>
                <w:lang w:eastAsia="en-GB"/>
              </w:rPr>
            </w:pPr>
            <w:r>
              <w:rPr>
                <w:lang w:eastAsia="en-GB"/>
              </w:rPr>
              <w:t>20</w:t>
            </w:r>
          </w:p>
        </w:tc>
        <w:tc>
          <w:tcPr>
            <w:tcW w:w="1152" w:type="dxa"/>
            <w:tcBorders>
              <w:top w:val="single" w:sz="4" w:space="0" w:color="auto"/>
              <w:left w:val="single" w:sz="4" w:space="0" w:color="auto"/>
              <w:bottom w:val="single" w:sz="4" w:space="0" w:color="auto"/>
              <w:right w:val="single" w:sz="4" w:space="0" w:color="auto"/>
            </w:tcBorders>
          </w:tcPr>
          <w:p w14:paraId="7C82DC67" w14:textId="77777777" w:rsidR="00F63829" w:rsidRDefault="00F63829" w:rsidP="00F63829">
            <w:pPr>
              <w:pStyle w:val="TableCell0"/>
              <w:jc w:val="center"/>
              <w:rPr>
                <w:lang w:eastAsia="en-GB"/>
              </w:rPr>
            </w:pPr>
            <w:r>
              <w:rPr>
                <w:lang w:eastAsia="en-GB"/>
              </w:rPr>
              <w:t>10</w:t>
            </w:r>
          </w:p>
        </w:tc>
        <w:tc>
          <w:tcPr>
            <w:tcW w:w="1152" w:type="dxa"/>
            <w:tcBorders>
              <w:top w:val="single" w:sz="4" w:space="0" w:color="auto"/>
              <w:left w:val="single" w:sz="4" w:space="0" w:color="auto"/>
              <w:bottom w:val="single" w:sz="4" w:space="0" w:color="auto"/>
              <w:right w:val="single" w:sz="4" w:space="0" w:color="auto"/>
            </w:tcBorders>
          </w:tcPr>
          <w:p w14:paraId="434E44D8" w14:textId="77777777" w:rsidR="00F63829" w:rsidRDefault="00F63829" w:rsidP="00F63829">
            <w:pPr>
              <w:pStyle w:val="TableCell0"/>
              <w:jc w:val="center"/>
              <w:rPr>
                <w:lang w:eastAsia="en-GB"/>
              </w:rPr>
            </w:pPr>
            <w:r>
              <w:rPr>
                <w:lang w:eastAsia="en-GB"/>
              </w:rPr>
              <w:t>5</w:t>
            </w:r>
          </w:p>
        </w:tc>
        <w:tc>
          <w:tcPr>
            <w:tcW w:w="1152" w:type="dxa"/>
            <w:tcBorders>
              <w:top w:val="single" w:sz="4" w:space="0" w:color="auto"/>
              <w:left w:val="single" w:sz="4" w:space="0" w:color="auto"/>
              <w:bottom w:val="single" w:sz="4" w:space="0" w:color="auto"/>
              <w:right w:val="single" w:sz="4" w:space="0" w:color="auto"/>
            </w:tcBorders>
          </w:tcPr>
          <w:p w14:paraId="2CB3DBD3" w14:textId="77777777" w:rsidR="00F63829" w:rsidRDefault="00F63829" w:rsidP="00F63829">
            <w:pPr>
              <w:pStyle w:val="TableCell0"/>
              <w:jc w:val="center"/>
              <w:rPr>
                <w:lang w:eastAsia="en-GB"/>
              </w:rPr>
            </w:pPr>
            <w:r>
              <w:rPr>
                <w:lang w:eastAsia="en-GB"/>
              </w:rPr>
              <w:t>40</w:t>
            </w:r>
          </w:p>
        </w:tc>
        <w:tc>
          <w:tcPr>
            <w:tcW w:w="1152" w:type="dxa"/>
            <w:tcBorders>
              <w:top w:val="single" w:sz="4" w:space="0" w:color="auto"/>
              <w:left w:val="single" w:sz="4" w:space="0" w:color="auto"/>
              <w:bottom w:val="single" w:sz="4" w:space="0" w:color="auto"/>
              <w:right w:val="single" w:sz="4" w:space="0" w:color="auto"/>
            </w:tcBorders>
          </w:tcPr>
          <w:p w14:paraId="0B0500D4" w14:textId="77777777" w:rsidR="00F63829" w:rsidRDefault="00F63829" w:rsidP="00F63829">
            <w:pPr>
              <w:pStyle w:val="TableCell0"/>
              <w:jc w:val="center"/>
              <w:rPr>
                <w:lang w:eastAsia="en-GB"/>
              </w:rPr>
            </w:pPr>
            <w:r>
              <w:rPr>
                <w:lang w:eastAsia="en-GB"/>
              </w:rPr>
              <w:t>18.7</w:t>
            </w:r>
          </w:p>
        </w:tc>
        <w:tc>
          <w:tcPr>
            <w:tcW w:w="1152" w:type="dxa"/>
            <w:tcBorders>
              <w:top w:val="single" w:sz="4" w:space="0" w:color="auto"/>
              <w:left w:val="single" w:sz="4" w:space="0" w:color="auto"/>
              <w:bottom w:val="single" w:sz="4" w:space="0" w:color="auto"/>
              <w:right w:val="single" w:sz="4" w:space="0" w:color="auto"/>
            </w:tcBorders>
          </w:tcPr>
          <w:p w14:paraId="59FD69F4" w14:textId="77777777" w:rsidR="00F63829" w:rsidRDefault="00F63829" w:rsidP="00F63829">
            <w:pPr>
              <w:pStyle w:val="TableCell0"/>
              <w:jc w:val="center"/>
              <w:rPr>
                <w:lang w:eastAsia="en-GB"/>
              </w:rPr>
            </w:pPr>
            <w:r>
              <w:rPr>
                <w:lang w:eastAsia="en-GB"/>
              </w:rPr>
              <w:t>9.36</w:t>
            </w:r>
          </w:p>
        </w:tc>
      </w:tr>
      <w:tr w:rsidR="00F63829" w14:paraId="0BC6060C" w14:textId="77777777" w:rsidTr="00F63829">
        <w:trPr>
          <w:trHeight w:hRule="exact" w:val="358"/>
          <w:jc w:val="center"/>
        </w:trPr>
        <w:tc>
          <w:tcPr>
            <w:tcW w:w="1748" w:type="dxa"/>
            <w:tcBorders>
              <w:top w:val="single" w:sz="4" w:space="0" w:color="auto"/>
              <w:left w:val="single" w:sz="4" w:space="0" w:color="auto"/>
              <w:bottom w:val="single" w:sz="4" w:space="0" w:color="auto"/>
              <w:right w:val="single" w:sz="4" w:space="0" w:color="auto"/>
            </w:tcBorders>
            <w:vAlign w:val="center"/>
          </w:tcPr>
          <w:p w14:paraId="6A72EF03" w14:textId="77777777" w:rsidR="00F63829" w:rsidRPr="00017531" w:rsidRDefault="00084B66" w:rsidP="00F63829">
            <w:pPr>
              <w:pStyle w:val="TableCell0"/>
              <w:jc w:val="center"/>
              <w:rPr>
                <w:lang w:eastAsia="en-GB"/>
              </w:rPr>
            </w:pPr>
            <m:oMathPara>
              <m:oMath>
                <m:sSubSup>
                  <m:sSubSupPr>
                    <m:ctrlPr>
                      <w:rPr>
                        <w:rFonts w:ascii="Cambria Math" w:hAnsi="Cambria Math"/>
                        <w:sz w:val="18"/>
                        <w:szCs w:val="20"/>
                        <w:lang w:val="en-GB" w:eastAsia="en-GB"/>
                      </w:rPr>
                    </m:ctrlPr>
                  </m:sSubSupPr>
                  <m:e>
                    <m:r>
                      <w:rPr>
                        <w:rFonts w:ascii="Cambria Math" w:hAnsi="Cambria Math"/>
                        <w:sz w:val="18"/>
                        <w:szCs w:val="20"/>
                        <w:lang w:eastAsia="en-GB"/>
                      </w:rPr>
                      <m:t>N</m:t>
                    </m:r>
                  </m:e>
                  <m:sub>
                    <m:r>
                      <m:rPr>
                        <m:nor/>
                      </m:rPr>
                      <w:rPr>
                        <w:sz w:val="18"/>
                        <w:szCs w:val="20"/>
                        <w:lang w:eastAsia="en-GB"/>
                      </w:rPr>
                      <m:t>BWP</m:t>
                    </m:r>
                  </m:sub>
                  <m:sup>
                    <m:r>
                      <m:rPr>
                        <m:nor/>
                      </m:rPr>
                      <w:rPr>
                        <w:sz w:val="18"/>
                        <w:szCs w:val="20"/>
                        <w:lang w:eastAsia="en-GB"/>
                      </w:rPr>
                      <m:t>size</m:t>
                    </m:r>
                  </m:sup>
                </m:sSubSup>
                <m:r>
                  <m:rPr>
                    <m:sty m:val="p"/>
                  </m:rPr>
                  <w:rPr>
                    <w:rFonts w:ascii="Cambria Math" w:hAnsi="Cambria Math"/>
                    <w:sz w:val="18"/>
                    <w:szCs w:val="20"/>
                    <w:lang w:eastAsia="en-GB"/>
                  </w:rPr>
                  <m:t>≥105</m:t>
                </m:r>
              </m:oMath>
            </m:oMathPara>
          </w:p>
        </w:tc>
        <w:tc>
          <w:tcPr>
            <w:tcW w:w="1152" w:type="dxa"/>
            <w:tcBorders>
              <w:top w:val="single" w:sz="4" w:space="0" w:color="auto"/>
              <w:left w:val="single" w:sz="4" w:space="0" w:color="auto"/>
              <w:bottom w:val="single" w:sz="4" w:space="0" w:color="auto"/>
              <w:right w:val="single" w:sz="4" w:space="0" w:color="auto"/>
            </w:tcBorders>
          </w:tcPr>
          <w:p w14:paraId="56483EB9" w14:textId="77777777" w:rsidR="00F63829" w:rsidRPr="00017531" w:rsidRDefault="00F63829" w:rsidP="00F63829">
            <w:pPr>
              <w:pStyle w:val="TableCell0"/>
              <w:jc w:val="center"/>
              <w:rPr>
                <w:lang w:eastAsia="en-GB"/>
              </w:rPr>
            </w:pPr>
            <w:r>
              <w:rPr>
                <w:lang w:eastAsia="en-GB"/>
              </w:rPr>
              <w:t>50</w:t>
            </w:r>
          </w:p>
        </w:tc>
        <w:tc>
          <w:tcPr>
            <w:tcW w:w="1152" w:type="dxa"/>
            <w:tcBorders>
              <w:top w:val="single" w:sz="4" w:space="0" w:color="auto"/>
              <w:left w:val="single" w:sz="4" w:space="0" w:color="auto"/>
              <w:bottom w:val="single" w:sz="4" w:space="0" w:color="auto"/>
              <w:right w:val="single" w:sz="4" w:space="0" w:color="auto"/>
            </w:tcBorders>
          </w:tcPr>
          <w:p w14:paraId="2C9B29FB" w14:textId="77777777" w:rsidR="00F63829" w:rsidRDefault="00F63829" w:rsidP="00F63829">
            <w:pPr>
              <w:pStyle w:val="TableCell0"/>
              <w:jc w:val="center"/>
              <w:rPr>
                <w:lang w:eastAsia="en-GB"/>
              </w:rPr>
            </w:pPr>
            <w:r>
              <w:rPr>
                <w:lang w:eastAsia="en-GB"/>
              </w:rPr>
              <w:t>25</w:t>
            </w:r>
          </w:p>
        </w:tc>
        <w:tc>
          <w:tcPr>
            <w:tcW w:w="1152" w:type="dxa"/>
            <w:tcBorders>
              <w:top w:val="single" w:sz="4" w:space="0" w:color="auto"/>
              <w:left w:val="single" w:sz="4" w:space="0" w:color="auto"/>
              <w:bottom w:val="single" w:sz="4" w:space="0" w:color="auto"/>
              <w:right w:val="single" w:sz="4" w:space="0" w:color="auto"/>
            </w:tcBorders>
          </w:tcPr>
          <w:p w14:paraId="57A655CD" w14:textId="77777777" w:rsidR="00F63829" w:rsidRDefault="00F63829" w:rsidP="00F63829">
            <w:pPr>
              <w:pStyle w:val="TableCell0"/>
              <w:jc w:val="center"/>
              <w:rPr>
                <w:lang w:eastAsia="en-GB"/>
              </w:rPr>
            </w:pPr>
            <w:r>
              <w:rPr>
                <w:lang w:eastAsia="en-GB"/>
              </w:rPr>
              <w:t>12.24</w:t>
            </w:r>
          </w:p>
        </w:tc>
        <w:tc>
          <w:tcPr>
            <w:tcW w:w="1152" w:type="dxa"/>
            <w:tcBorders>
              <w:top w:val="single" w:sz="4" w:space="0" w:color="auto"/>
              <w:left w:val="single" w:sz="4" w:space="0" w:color="auto"/>
              <w:bottom w:val="single" w:sz="4" w:space="0" w:color="auto"/>
              <w:right w:val="single" w:sz="4" w:space="0" w:color="auto"/>
            </w:tcBorders>
          </w:tcPr>
          <w:p w14:paraId="23368E96" w14:textId="77777777" w:rsidR="00F63829" w:rsidRDefault="00F63829" w:rsidP="00F63829">
            <w:pPr>
              <w:pStyle w:val="TableCell0"/>
              <w:jc w:val="center"/>
              <w:rPr>
                <w:lang w:eastAsia="en-GB"/>
              </w:rPr>
            </w:pPr>
            <w:r>
              <w:rPr>
                <w:lang w:eastAsia="en-GB"/>
              </w:rPr>
              <w:t>100</w:t>
            </w:r>
          </w:p>
        </w:tc>
        <w:tc>
          <w:tcPr>
            <w:tcW w:w="1152" w:type="dxa"/>
            <w:tcBorders>
              <w:top w:val="single" w:sz="4" w:space="0" w:color="auto"/>
              <w:left w:val="single" w:sz="4" w:space="0" w:color="auto"/>
              <w:bottom w:val="single" w:sz="4" w:space="0" w:color="auto"/>
              <w:right w:val="single" w:sz="4" w:space="0" w:color="auto"/>
            </w:tcBorders>
          </w:tcPr>
          <w:p w14:paraId="7F08E6A8" w14:textId="77777777" w:rsidR="00F63829" w:rsidRDefault="00F63829" w:rsidP="00F63829">
            <w:pPr>
              <w:pStyle w:val="TableCell0"/>
              <w:jc w:val="center"/>
              <w:rPr>
                <w:lang w:eastAsia="en-GB"/>
              </w:rPr>
            </w:pPr>
            <w:r>
              <w:rPr>
                <w:lang w:eastAsia="en-GB"/>
              </w:rPr>
              <w:t>49.3</w:t>
            </w:r>
          </w:p>
        </w:tc>
        <w:tc>
          <w:tcPr>
            <w:tcW w:w="1152" w:type="dxa"/>
            <w:tcBorders>
              <w:top w:val="single" w:sz="4" w:space="0" w:color="auto"/>
              <w:left w:val="single" w:sz="4" w:space="0" w:color="auto"/>
              <w:bottom w:val="single" w:sz="4" w:space="0" w:color="auto"/>
              <w:right w:val="single" w:sz="4" w:space="0" w:color="auto"/>
            </w:tcBorders>
          </w:tcPr>
          <w:p w14:paraId="1385B6E4" w14:textId="77777777" w:rsidR="00F63829" w:rsidRDefault="00F63829" w:rsidP="00F63829">
            <w:pPr>
              <w:pStyle w:val="TableCell0"/>
              <w:jc w:val="center"/>
              <w:rPr>
                <w:lang w:eastAsia="en-GB"/>
              </w:rPr>
            </w:pPr>
            <w:r>
              <w:rPr>
                <w:lang w:eastAsia="en-GB"/>
              </w:rPr>
              <w:t>24.48</w:t>
            </w:r>
          </w:p>
        </w:tc>
      </w:tr>
    </w:tbl>
    <w:p w14:paraId="46E2BD32" w14:textId="77777777" w:rsidR="00F63829" w:rsidRDefault="00F63829" w:rsidP="00F63829"/>
    <w:p w14:paraId="038101E8" w14:textId="3A34C6A0" w:rsidR="00F63829" w:rsidRDefault="00F63829" w:rsidP="00F63829">
      <w:r>
        <w:t>To ensure that the entire PUSCH transmission is within the bandwidth of RedCap UE, the network needs to satisfy two conditions: (1) placing the starting location of the PUSCH (and the allocated RBs) in the bandwidth of the RedCap UE. (2) When hopping is enabled, making sure the offset does not place any RBs of the second half of PUSCH outside the bandwidth</w:t>
      </w:r>
      <w:r w:rsidRPr="00254B1A">
        <w:t xml:space="preserve"> </w:t>
      </w:r>
      <w:r>
        <w:t>of the RedCap UE. If hopping is disabled</w:t>
      </w:r>
      <w:r w:rsidR="001754F5">
        <w:t xml:space="preserve"> (or not allowed for RedCap UEs)</w:t>
      </w:r>
      <w:r>
        <w:t>, condition (1) is sufficient.</w:t>
      </w:r>
    </w:p>
    <w:p w14:paraId="0732D37D" w14:textId="6310214B" w:rsidR="00F63829" w:rsidRDefault="00F63829" w:rsidP="00F63829">
      <w:r>
        <w:lastRenderedPageBreak/>
        <w:t>Some approaches for the network to know whether a Msg3 PUSCH must be within the bandwidth of RedCap UE</w:t>
      </w:r>
      <w:r w:rsidR="006C7C61">
        <w:t xml:space="preserve"> include:</w:t>
      </w:r>
    </w:p>
    <w:p w14:paraId="43E80A59" w14:textId="77777777" w:rsidR="00F63829" w:rsidRDefault="00F63829" w:rsidP="00F63829">
      <w:pPr>
        <w:pStyle w:val="ListParagraph"/>
        <w:numPr>
          <w:ilvl w:val="0"/>
          <w:numId w:val="23"/>
        </w:numPr>
      </w:pPr>
      <w:r>
        <w:t>Because Msg2 is determined by the RACH occasion used, if the network knows that a RedCap UE used this RACH occasion was used, it knows that all PUSCH should be located in the bandwidth of the RedCap UE.</w:t>
      </w:r>
    </w:p>
    <w:p w14:paraId="37E1CB0E" w14:textId="77777777" w:rsidR="00F63829" w:rsidRDefault="00F63829" w:rsidP="00F63829">
      <w:pPr>
        <w:pStyle w:val="ListParagraph"/>
        <w:numPr>
          <w:ilvl w:val="0"/>
          <w:numId w:val="23"/>
        </w:numPr>
      </w:pPr>
      <w:r>
        <w:t>For that specific RACH occasion, if there is a set of preambles used by RedCap UEs, the network can also ensure the uplink grant associated with that set of preambles places the PUSCH within the bandwidth of the RedCap UE.</w:t>
      </w:r>
    </w:p>
    <w:p w14:paraId="6C379FF1" w14:textId="7CDA276A" w:rsidR="00F63829" w:rsidRDefault="00F63829" w:rsidP="00F63829">
      <w:pPr>
        <w:rPr>
          <w:b/>
          <w:bCs/>
          <w:i/>
          <w:iCs/>
        </w:rPr>
      </w:pPr>
      <w:r>
        <w:rPr>
          <w:b/>
          <w:bCs/>
          <w:i/>
          <w:iCs/>
        </w:rPr>
        <w:t>Observation</w:t>
      </w:r>
      <w:r w:rsidRPr="00254B1A">
        <w:rPr>
          <w:b/>
          <w:bCs/>
          <w:i/>
          <w:iCs/>
        </w:rPr>
        <w:t xml:space="preserve"> </w:t>
      </w:r>
      <w:r w:rsidR="006C7C61">
        <w:rPr>
          <w:b/>
          <w:bCs/>
          <w:i/>
          <w:iCs/>
        </w:rPr>
        <w:t>6</w:t>
      </w:r>
      <w:r w:rsidRPr="00254B1A">
        <w:rPr>
          <w:b/>
          <w:bCs/>
          <w:i/>
          <w:iCs/>
        </w:rPr>
        <w:t xml:space="preserve">: </w:t>
      </w:r>
      <w:r>
        <w:rPr>
          <w:b/>
          <w:bCs/>
          <w:i/>
          <w:iCs/>
        </w:rPr>
        <w:t>A limited number of specification changes may be needed to ensure PUSCH for Msg3</w:t>
      </w:r>
      <w:r w:rsidRPr="00254B1A">
        <w:rPr>
          <w:b/>
          <w:bCs/>
          <w:i/>
          <w:iCs/>
        </w:rPr>
        <w:t xml:space="preserve"> is within the bandwidth of a RedCap UE.</w:t>
      </w:r>
    </w:p>
    <w:p w14:paraId="2CFFC1CF" w14:textId="77777777" w:rsidR="00F63829" w:rsidRDefault="00F63829" w:rsidP="00F63829">
      <w:r>
        <w:t>This analysis shows that RedCap and non-RedCap UEs can share PUSCH resources if the network ensures those PUSCH resources are within the bandwidth of a RedCap UE.</w:t>
      </w:r>
    </w:p>
    <w:p w14:paraId="441E042C" w14:textId="390A6C05" w:rsidR="000A4A23" w:rsidRDefault="000A4A23" w:rsidP="00114C8C">
      <w:pPr>
        <w:pStyle w:val="Heading3"/>
      </w:pPr>
      <w:r>
        <w:t>PUCCH</w:t>
      </w:r>
    </w:p>
    <w:p w14:paraId="23D12503" w14:textId="3E9A53A3" w:rsidR="00F63829" w:rsidRDefault="00F63829" w:rsidP="00F63829">
      <w:r>
        <w:t xml:space="preserve">For initial access, the UE acknowledges Msg4 with the transmission of UCI in the PUCCH. When PUCCH format 0 is used, it is transmitted on one or two symbols of a slot, (clause 9.2.1 of </w:t>
      </w:r>
      <w:r>
        <w:fldChar w:fldCharType="begin"/>
      </w:r>
      <w:r>
        <w:instrText xml:space="preserve"> REF _Ref66199803 \r \h </w:instrText>
      </w:r>
      <w:r>
        <w:fldChar w:fldCharType="separate"/>
      </w:r>
      <w:r w:rsidR="004F7156">
        <w:t>[7]</w:t>
      </w:r>
      <w:r>
        <w:fldChar w:fldCharType="end"/>
      </w:r>
      <w:r>
        <w:t xml:space="preserve">). In one of the two symbols, the location is </w:t>
      </w:r>
      <w:r w:rsidRPr="00D73633">
        <w:rPr>
          <w:i/>
          <w:iCs/>
        </w:rPr>
        <w:t>x</w:t>
      </w:r>
      <w:r>
        <w:t xml:space="preserve"> while in the other symbol, the location is </w:t>
      </w:r>
      <m:oMath>
        <m:sSubSup>
          <m:sSubSupPr>
            <m:ctrlPr>
              <w:rPr>
                <w:rFonts w:ascii="Cambria Math" w:hAnsi="Cambria Math"/>
                <w:sz w:val="24"/>
                <w:szCs w:val="24"/>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-1-x</m:t>
        </m:r>
      </m:oMath>
      <w:r>
        <w:t xml:space="preserve">, where </w:t>
      </w:r>
      <w:r w:rsidRPr="00BD10AD">
        <w:rPr>
          <w:i/>
          <w:iCs/>
        </w:rPr>
        <w:t>x</w:t>
      </w:r>
      <w:r>
        <w:t xml:space="preserve"> is a function of the CCE containing the DCI, signaling fields within the DCI, and tables within </w:t>
      </w:r>
      <w:r>
        <w:fldChar w:fldCharType="begin"/>
      </w:r>
      <w:r>
        <w:instrText xml:space="preserve"> REF _Ref66199803 \r \h </w:instrText>
      </w:r>
      <w:r>
        <w:fldChar w:fldCharType="separate"/>
      </w:r>
      <w:r w:rsidR="004F7156">
        <w:t>[7]</w:t>
      </w:r>
      <w:r>
        <w:fldChar w:fldCharType="end"/>
      </w:r>
      <w:r>
        <w:t>. Basically, the top and bottom RBs within the bandwidth of a RedCap UE are used.</w:t>
      </w:r>
    </w:p>
    <w:p w14:paraId="2985B6E3" w14:textId="0367E2D5" w:rsidR="00F63829" w:rsidRDefault="00F63829" w:rsidP="00F63829">
      <w:r>
        <w:t xml:space="preserve">As stated in section </w:t>
      </w:r>
      <w:r>
        <w:fldChar w:fldCharType="begin"/>
      </w:r>
      <w:r>
        <w:instrText xml:space="preserve"> REF _Ref68361154 \r \h </w:instrText>
      </w:r>
      <w:r>
        <w:fldChar w:fldCharType="separate"/>
      </w:r>
      <w:r w:rsidR="004F7156">
        <w:t>2.2.1</w:t>
      </w:r>
      <w:r>
        <w:fldChar w:fldCharType="end"/>
      </w:r>
      <w:r>
        <w:t>, the network signals “</w:t>
      </w:r>
      <w:r w:rsidRPr="000A4A23">
        <w:t>An entry into a 16-row table where each row configures a set of cell-specific PUCCH resources/parameters</w:t>
      </w:r>
      <w:r>
        <w:t xml:space="preserve">”. If the network supports RedCap UEs, appropriate configuration of the PUCCH parameters is necessary (such as the table and the </w:t>
      </w:r>
      <w:r w:rsidRPr="00894B84">
        <w:rPr>
          <w:i/>
          <w:iCs/>
        </w:rPr>
        <w:t>locationAndBandwidth</w:t>
      </w:r>
      <w:r>
        <w:t xml:space="preserve"> IE) to ensure that the PUCCH resources are within the bandwidth of a RedCap UE.</w:t>
      </w:r>
    </w:p>
    <w:p w14:paraId="09C5F14B" w14:textId="6B4347F0" w:rsidR="00F63829" w:rsidRDefault="00F63829" w:rsidP="00F63829">
      <w:r>
        <w:t>When the PUCCH resources are within the bandwidth of a RedCap UE</w:t>
      </w:r>
      <w:r w:rsidR="006C7C61">
        <w:t xml:space="preserve">, this </w:t>
      </w:r>
      <w:r>
        <w:t xml:space="preserve">analysis shows that RedCap and non-RedCap UEs can share PUCCH resources. </w:t>
      </w:r>
    </w:p>
    <w:p w14:paraId="64078CCD" w14:textId="29CB806B" w:rsidR="000A4A23" w:rsidRDefault="00114C8C" w:rsidP="000A4A23">
      <w:pPr>
        <w:pStyle w:val="Heading2"/>
      </w:pPr>
      <w:r>
        <w:t>Discussion</w:t>
      </w:r>
    </w:p>
    <w:p w14:paraId="1D71F078" w14:textId="77777777" w:rsidR="00F63829" w:rsidRDefault="00F63829" w:rsidP="00F63829">
      <w:r>
        <w:t>The descriptions of the channels used during initial access show that minor changes in configuration and appropriate network behavior (e.g., “RedCap UE expects”) are needed to ensure a RedCap UE operates within the maximum bandwidth of a RedCap UE. Features available from Rel. 16 and other Rel. 17 work items (when they become available) are sufficient for RedCap UEs.</w:t>
      </w:r>
    </w:p>
    <w:p w14:paraId="3722E750" w14:textId="0F2BA459" w:rsidR="00F63829" w:rsidRPr="000262A8" w:rsidRDefault="00F63829" w:rsidP="00F63829">
      <w:pPr>
        <w:rPr>
          <w:b/>
          <w:bCs/>
          <w:i/>
          <w:iCs/>
        </w:rPr>
      </w:pPr>
      <w:r w:rsidRPr="000262A8">
        <w:rPr>
          <w:b/>
          <w:bCs/>
          <w:i/>
          <w:iCs/>
        </w:rPr>
        <w:t xml:space="preserve">Proposal </w:t>
      </w:r>
      <w:r w:rsidR="006C7C61">
        <w:rPr>
          <w:b/>
          <w:bCs/>
          <w:i/>
          <w:iCs/>
        </w:rPr>
        <w:t>3</w:t>
      </w:r>
      <w:r w:rsidRPr="000262A8">
        <w:rPr>
          <w:b/>
          <w:bCs/>
          <w:i/>
          <w:iCs/>
        </w:rPr>
        <w:t>:</w:t>
      </w:r>
      <w:r>
        <w:rPr>
          <w:b/>
          <w:bCs/>
          <w:i/>
          <w:iCs/>
        </w:rPr>
        <w:t xml:space="preserve"> The existing set of agreements provides the framework to ensure signals and channels used for initial access are within the maximum bandwidth of a RedCap UE.</w:t>
      </w:r>
      <w:r w:rsidRPr="000262A8">
        <w:rPr>
          <w:b/>
          <w:bCs/>
          <w:i/>
          <w:iCs/>
        </w:rPr>
        <w:t xml:space="preserve"> </w:t>
      </w:r>
    </w:p>
    <w:p w14:paraId="5110B8FC" w14:textId="77777777" w:rsidR="00F63829" w:rsidRDefault="00F63829" w:rsidP="00F63829">
      <w:r>
        <w:t xml:space="preserve">While examining the changes needed for configuring resources for Msg2 / Msg 3, and Msg4 appear to be dependent on RACH, work can continue on those topics by decoupling the dependency. For example, a statement such as “Based on the RACH occasion used by a RedCap UE” or “Based on the preamble selected by a RedCap UE”. </w:t>
      </w:r>
    </w:p>
    <w:p w14:paraId="09957BFC" w14:textId="77777777" w:rsidR="00F63829" w:rsidRDefault="00F63829" w:rsidP="00F63829">
      <w:r>
        <w:t>In addition, the analysis also shows how RedCap and non-RedCap UEs can share resources when the resources are located in the bandwidth of RedCap UEs.</w:t>
      </w:r>
    </w:p>
    <w:p w14:paraId="2F28B5E7" w14:textId="15C768A8" w:rsidR="00C042EF" w:rsidRDefault="007A6AE4" w:rsidP="00C042EF">
      <w:pPr>
        <w:pStyle w:val="Heading1"/>
      </w:pPr>
      <w:r>
        <w:t>Discussion about FFS</w:t>
      </w:r>
    </w:p>
    <w:p w14:paraId="185A4208" w14:textId="77777777" w:rsidR="00F63829" w:rsidRDefault="00F63829" w:rsidP="00F63829">
      <w:r>
        <w:t xml:space="preserve">As mentioned, the agreements in RAN1#104 provide a framework to operate a RedCap UE with a reduced bandwidth feature. Further agreements should add to the framework. </w:t>
      </w:r>
    </w:p>
    <w:p w14:paraId="59A3FD3A" w14:textId="77777777" w:rsidR="00F63829" w:rsidRDefault="00F63829" w:rsidP="00F63829">
      <w:r>
        <w:t>In the main agreement, several FFS are listed. We provide our analysis on them.</w:t>
      </w:r>
    </w:p>
    <w:p w14:paraId="00365802" w14:textId="4E449592" w:rsidR="007A6AE4" w:rsidRDefault="007A6AE4" w:rsidP="007A6AE4">
      <w:pPr>
        <w:pStyle w:val="Heading2"/>
      </w:pPr>
      <w:r>
        <w:t>Operating in larger BWP</w:t>
      </w:r>
    </w:p>
    <w:p w14:paraId="32F70F3C" w14:textId="77777777" w:rsidR="00F63829" w:rsidRDefault="00F63829" w:rsidP="00F63829">
      <w:r>
        <w:t>The two FFS focus on whether to allow a RedCap UE to operate in bandwidth is greater than the maximum bandwidth of a RedCap UE. This type of operation should not be allowed.</w:t>
      </w:r>
    </w:p>
    <w:tbl>
      <w:tblPr>
        <w:tblStyle w:val="TableGrid"/>
        <w:tblW w:w="0" w:type="auto"/>
        <w:tblLook w:val="04A0" w:firstRow="1" w:lastRow="0" w:firstColumn="1" w:lastColumn="0" w:noHBand="0" w:noVBand="1"/>
      </w:tblPr>
      <w:tblGrid>
        <w:gridCol w:w="9307"/>
      </w:tblGrid>
      <w:tr w:rsidR="007A6AE4" w:rsidRPr="00934720" w14:paraId="11B35CBD" w14:textId="77777777" w:rsidTr="00C2776D">
        <w:tc>
          <w:tcPr>
            <w:tcW w:w="9350" w:type="dxa"/>
          </w:tcPr>
          <w:p w14:paraId="372B143A" w14:textId="77777777" w:rsidR="007A6AE4" w:rsidRPr="0091662F" w:rsidRDefault="007A6AE4" w:rsidP="005D1E59">
            <w:pPr>
              <w:numPr>
                <w:ilvl w:val="0"/>
                <w:numId w:val="23"/>
              </w:numPr>
              <w:autoSpaceDE/>
              <w:autoSpaceDN/>
              <w:adjustRightInd/>
              <w:snapToGrid/>
              <w:contextualSpacing/>
              <w:jc w:val="left"/>
              <w:rPr>
                <w:rFonts w:eastAsia="Times New Roman"/>
                <w:sz w:val="18"/>
                <w:szCs w:val="20"/>
              </w:rPr>
            </w:pPr>
            <w:r w:rsidRPr="005D1E59">
              <w:rPr>
                <w:rFonts w:eastAsia="Times New Roman"/>
                <w:sz w:val="18"/>
                <w:szCs w:val="20"/>
              </w:rPr>
              <w:t>The initial DL BWP (derived based on MIB/SIB) for RedCap UEs can be the same as the initial DL BWP for non-</w:t>
            </w:r>
            <w:r w:rsidRPr="005D1E59">
              <w:rPr>
                <w:rFonts w:eastAsia="Times New Roman"/>
                <w:sz w:val="18"/>
                <w:szCs w:val="20"/>
              </w:rPr>
              <w:lastRenderedPageBreak/>
              <w:t>RedCap UEs at least when the initial DL BWP is no wider than the RedCap UE bandwidth.</w:t>
            </w:r>
          </w:p>
          <w:p w14:paraId="0AB3CFBD" w14:textId="77777777" w:rsidR="007A6AE4" w:rsidRPr="00934720" w:rsidRDefault="007A6AE4" w:rsidP="00C2776D">
            <w:pPr>
              <w:numPr>
                <w:ilvl w:val="1"/>
                <w:numId w:val="23"/>
              </w:numPr>
              <w:autoSpaceDE/>
              <w:autoSpaceDN/>
              <w:adjustRightInd/>
              <w:snapToGrid/>
              <w:spacing w:line="259" w:lineRule="auto"/>
              <w:contextualSpacing/>
              <w:jc w:val="left"/>
              <w:rPr>
                <w:rFonts w:eastAsia="Times New Roman"/>
                <w:sz w:val="18"/>
                <w:szCs w:val="20"/>
              </w:rPr>
            </w:pPr>
            <w:r w:rsidRPr="00934720">
              <w:rPr>
                <w:rFonts w:eastAsia="Times New Roman"/>
                <w:sz w:val="18"/>
                <w:szCs w:val="20"/>
              </w:rPr>
              <w:t xml:space="preserve">FFS: after initial access, whether a RedCap UE is allowed to operate with an initial DL BWP wider than the maximum RedCap UE bandwidth </w:t>
            </w:r>
          </w:p>
          <w:p w14:paraId="2F3530E5" w14:textId="77777777" w:rsidR="007A6AE4" w:rsidRPr="00934720" w:rsidRDefault="007A6AE4" w:rsidP="00C2776D">
            <w:pPr>
              <w:numPr>
                <w:ilvl w:val="2"/>
                <w:numId w:val="23"/>
              </w:numPr>
              <w:autoSpaceDE/>
              <w:autoSpaceDN/>
              <w:adjustRightInd/>
              <w:snapToGrid/>
              <w:spacing w:line="259" w:lineRule="auto"/>
              <w:contextualSpacing/>
              <w:jc w:val="left"/>
              <w:rPr>
                <w:rFonts w:eastAsia="Times New Roman"/>
                <w:sz w:val="18"/>
                <w:szCs w:val="20"/>
              </w:rPr>
            </w:pPr>
            <w:r w:rsidRPr="00934720">
              <w:rPr>
                <w:rFonts w:eastAsia="Times New Roman"/>
                <w:sz w:val="18"/>
                <w:szCs w:val="20"/>
              </w:rPr>
              <w:t>Discuss further whether or not it is also applicable during initial access</w:t>
            </w:r>
          </w:p>
          <w:p w14:paraId="26A1939D" w14:textId="77777777" w:rsidR="007A6AE4" w:rsidRPr="00934720" w:rsidRDefault="007A6AE4" w:rsidP="00C2776D">
            <w:pPr>
              <w:numPr>
                <w:ilvl w:val="0"/>
                <w:numId w:val="23"/>
              </w:numPr>
              <w:autoSpaceDE/>
              <w:autoSpaceDN/>
              <w:adjustRightInd/>
              <w:snapToGrid/>
              <w:contextualSpacing/>
              <w:jc w:val="left"/>
              <w:rPr>
                <w:rFonts w:eastAsia="Times New Roman"/>
                <w:sz w:val="18"/>
                <w:szCs w:val="20"/>
              </w:rPr>
            </w:pPr>
            <w:r w:rsidRPr="00934720">
              <w:rPr>
                <w:rFonts w:eastAsia="Times New Roman"/>
                <w:sz w:val="18"/>
                <w:szCs w:val="20"/>
              </w:rPr>
              <w:t>The initial UL BWP (derived based on SIB) for RedCap UEs can be the same as the initial UL BWP for non-RedCap UEs at least when the initial UL BWP is no wider than the RedCap UE bandwidth.</w:t>
            </w:r>
          </w:p>
          <w:p w14:paraId="36B67BAD" w14:textId="56E67522" w:rsidR="007A6AE4" w:rsidRPr="00C0494D" w:rsidRDefault="007A6AE4" w:rsidP="00C0494D">
            <w:pPr>
              <w:numPr>
                <w:ilvl w:val="1"/>
                <w:numId w:val="23"/>
              </w:numPr>
              <w:autoSpaceDE/>
              <w:autoSpaceDN/>
              <w:adjustRightInd/>
              <w:snapToGrid/>
              <w:spacing w:after="0"/>
              <w:jc w:val="left"/>
              <w:rPr>
                <w:rFonts w:eastAsia="Times New Roman"/>
                <w:sz w:val="18"/>
                <w:szCs w:val="20"/>
              </w:rPr>
            </w:pPr>
            <w:r w:rsidRPr="00934720">
              <w:rPr>
                <w:rFonts w:eastAsia="Times New Roman"/>
                <w:sz w:val="18"/>
                <w:szCs w:val="20"/>
              </w:rPr>
              <w:t>FFS: during and after initial access, whether a RedCap UE is allowed to operate with an initial UL BWP wider than the maximum RedCap UE bandwidth</w:t>
            </w:r>
            <w:r w:rsidRPr="00934720">
              <w:rPr>
                <w:rFonts w:eastAsia="Times New Roman"/>
                <w:sz w:val="18"/>
                <w:szCs w:val="20"/>
                <w:u w:val="single"/>
              </w:rPr>
              <w:t xml:space="preserve"> </w:t>
            </w:r>
          </w:p>
        </w:tc>
      </w:tr>
    </w:tbl>
    <w:p w14:paraId="0408825B" w14:textId="0DCA1C43" w:rsidR="00004AD3" w:rsidRDefault="00004AD3" w:rsidP="007A6AE4"/>
    <w:p w14:paraId="5804FCFE" w14:textId="77777777" w:rsidR="00F63829" w:rsidRDefault="00F63829" w:rsidP="00F63829">
      <w:r>
        <w:t>The reasons for not allowing a RedCap UE to operate in bandwidth greater than the maximum bandwidth of a RedCap UE are:</w:t>
      </w:r>
    </w:p>
    <w:p w14:paraId="526A706B" w14:textId="14924EA2" w:rsidR="00F63829" w:rsidRDefault="00F63829" w:rsidP="00F63829">
      <w:pPr>
        <w:pStyle w:val="ListParagraph"/>
        <w:numPr>
          <w:ilvl w:val="0"/>
          <w:numId w:val="23"/>
        </w:numPr>
        <w:contextualSpacing w:val="0"/>
      </w:pPr>
      <w:r>
        <w:t xml:space="preserve">The agreements within RAN4 do not allow such behavior. In </w:t>
      </w:r>
      <w:r>
        <w:fldChar w:fldCharType="begin"/>
      </w:r>
      <w:r>
        <w:instrText xml:space="preserve"> REF _Ref68528639 \r \h </w:instrText>
      </w:r>
      <w:r>
        <w:fldChar w:fldCharType="separate"/>
      </w:r>
      <w:r w:rsidR="004F7156">
        <w:t>[14]</w:t>
      </w:r>
      <w:r>
        <w:fldChar w:fldCharType="end"/>
      </w:r>
      <w:r>
        <w:t>, RAN4 stated: (yellow highlighting)</w:t>
      </w:r>
    </w:p>
    <w:p w14:paraId="58679209" w14:textId="77777777" w:rsidR="00F63829" w:rsidRPr="00AA7E1D" w:rsidRDefault="00F63829" w:rsidP="00F63829">
      <w:pPr>
        <w:pStyle w:val="ListParagraph"/>
        <w:rPr>
          <w:sz w:val="20"/>
          <w:szCs w:val="20"/>
        </w:rPr>
      </w:pPr>
      <w:r w:rsidRPr="00AA7E1D">
        <w:rPr>
          <w:sz w:val="20"/>
          <w:szCs w:val="20"/>
        </w:rPr>
        <w:t>‘RAN4 agreed that “UE can access the cell if UE supports a channel bandwidth which is equal to or narrower than the channel bandwidth in SIB1 and is equal to or wider than the initial BWP-bandwidth.”</w:t>
      </w:r>
    </w:p>
    <w:p w14:paraId="185A42F5" w14:textId="77777777" w:rsidR="00F63829" w:rsidRPr="00AA7E1D" w:rsidRDefault="00F63829" w:rsidP="00F63829">
      <w:pPr>
        <w:pStyle w:val="ListParagraph"/>
        <w:rPr>
          <w:sz w:val="20"/>
          <w:szCs w:val="20"/>
        </w:rPr>
      </w:pPr>
      <w:r w:rsidRPr="00AA7E1D">
        <w:rPr>
          <w:sz w:val="20"/>
          <w:szCs w:val="20"/>
          <w:highlight w:val="yellow"/>
        </w:rPr>
        <w:t>BWP-bandwidth can be configured with any number of RBs equal to or narrower than RB size of the supported channel bandwidths.</w:t>
      </w:r>
      <w:r w:rsidRPr="00AA7E1D">
        <w:rPr>
          <w:sz w:val="20"/>
          <w:szCs w:val="20"/>
        </w:rPr>
        <w:t>’</w:t>
      </w:r>
    </w:p>
    <w:p w14:paraId="59C762C1" w14:textId="77777777" w:rsidR="00F63829" w:rsidRDefault="00F63829" w:rsidP="004F7156">
      <w:pPr>
        <w:pStyle w:val="ListParagraph"/>
        <w:numPr>
          <w:ilvl w:val="0"/>
          <w:numId w:val="23"/>
        </w:numPr>
        <w:contextualSpacing w:val="0"/>
      </w:pPr>
      <w:r>
        <w:t xml:space="preserve">A new set of UE behaviors and possibly capabilities is needed for this operation. As a result, a RedCap UE would require </w:t>
      </w:r>
      <w:r w:rsidRPr="00AA7E1D">
        <w:rPr>
          <w:i/>
          <w:iCs/>
        </w:rPr>
        <w:t>increased</w:t>
      </w:r>
      <w:r>
        <w:t xml:space="preserve"> capabilities over non-RedCap UEs, which is contrary to the intent of the WID. </w:t>
      </w:r>
    </w:p>
    <w:p w14:paraId="7F02BCF6" w14:textId="77777777" w:rsidR="00F63829" w:rsidRDefault="00F63829" w:rsidP="003546F2">
      <w:r>
        <w:t>As analyzed before, with changes to the signaling, initial access can always be completed within the bandwidth of the RedCap UE and resources can be shared with non-RedCap UEs.</w:t>
      </w:r>
    </w:p>
    <w:p w14:paraId="27181557" w14:textId="0CF34098" w:rsidR="00F63829" w:rsidRPr="00481F01" w:rsidRDefault="00F63829" w:rsidP="00F63829">
      <w:pPr>
        <w:rPr>
          <w:b/>
          <w:bCs/>
          <w:i/>
          <w:iCs/>
        </w:rPr>
      </w:pPr>
      <w:r w:rsidRPr="00481F01">
        <w:rPr>
          <w:b/>
          <w:bCs/>
          <w:i/>
          <w:iCs/>
        </w:rPr>
        <w:t xml:space="preserve">Proposal </w:t>
      </w:r>
      <w:r w:rsidR="006C7C61">
        <w:rPr>
          <w:b/>
          <w:bCs/>
          <w:i/>
          <w:iCs/>
        </w:rPr>
        <w:t>4</w:t>
      </w:r>
      <w:r w:rsidRPr="00481F01">
        <w:rPr>
          <w:b/>
          <w:bCs/>
          <w:i/>
          <w:iCs/>
        </w:rPr>
        <w:t xml:space="preserve">: A RedCap UE cannot operate </w:t>
      </w:r>
      <w:r>
        <w:rPr>
          <w:b/>
          <w:bCs/>
          <w:i/>
          <w:iCs/>
        </w:rPr>
        <w:t>with</w:t>
      </w:r>
      <w:r w:rsidRPr="00481F01">
        <w:rPr>
          <w:b/>
          <w:bCs/>
          <w:i/>
          <w:iCs/>
        </w:rPr>
        <w:t xml:space="preserve"> a BWP larger than the maximum bandwidth of a RedCap UE.</w:t>
      </w:r>
    </w:p>
    <w:p w14:paraId="3FF3A142" w14:textId="3F88A824" w:rsidR="00F87E66" w:rsidRDefault="00F63829" w:rsidP="00F87E66">
      <w:pPr>
        <w:pStyle w:val="Heading2"/>
      </w:pPr>
      <w:r>
        <w:t>Possible motivations</w:t>
      </w:r>
      <w:r w:rsidR="00F87E66">
        <w:t xml:space="preserve"> for different signaling</w:t>
      </w:r>
    </w:p>
    <w:p w14:paraId="5694E001" w14:textId="77777777" w:rsidR="00F63829" w:rsidRPr="00C0494D" w:rsidRDefault="00F63829" w:rsidP="00F63829">
      <w:r>
        <w:t>In RAN1#104, there was an FFS of possible motivations to introduce signaling/configurations (the sub-bullets). We express our views for each motivation.</w:t>
      </w:r>
    </w:p>
    <w:tbl>
      <w:tblPr>
        <w:tblStyle w:val="TableGrid"/>
        <w:tblW w:w="0" w:type="auto"/>
        <w:tblLook w:val="04A0" w:firstRow="1" w:lastRow="0" w:firstColumn="1" w:lastColumn="0" w:noHBand="0" w:noVBand="1"/>
      </w:tblPr>
      <w:tblGrid>
        <w:gridCol w:w="9307"/>
      </w:tblGrid>
      <w:tr w:rsidR="00F87E66" w:rsidRPr="00934720" w14:paraId="5FFF20B6" w14:textId="77777777" w:rsidTr="007B1C75">
        <w:tc>
          <w:tcPr>
            <w:tcW w:w="9350" w:type="dxa"/>
          </w:tcPr>
          <w:p w14:paraId="07AB7E32" w14:textId="77777777" w:rsidR="00F87E66" w:rsidRPr="00934720" w:rsidRDefault="00F87E66" w:rsidP="007B1C75">
            <w:pPr>
              <w:numPr>
                <w:ilvl w:val="0"/>
                <w:numId w:val="23"/>
              </w:numPr>
              <w:autoSpaceDE/>
              <w:autoSpaceDN/>
              <w:adjustRightInd/>
              <w:snapToGrid/>
              <w:contextualSpacing/>
              <w:jc w:val="left"/>
              <w:rPr>
                <w:rFonts w:eastAsia="Times New Roman"/>
                <w:sz w:val="18"/>
                <w:szCs w:val="20"/>
              </w:rPr>
            </w:pPr>
            <w:r w:rsidRPr="00934720">
              <w:rPr>
                <w:rFonts w:eastAsia="Times New Roman"/>
                <w:sz w:val="18"/>
                <w:szCs w:val="20"/>
              </w:rPr>
              <w:t>FFS whether or not to further introduce the following (e.g., for offloading purpose, for differentiation of RedCap vs. non RedCap UEs, for different BWP#0 configuration options, etc.)</w:t>
            </w:r>
          </w:p>
          <w:p w14:paraId="5914E62E" w14:textId="77777777" w:rsidR="00F87E66" w:rsidRPr="00934720" w:rsidRDefault="00F87E66" w:rsidP="007B1C75">
            <w:pPr>
              <w:numPr>
                <w:ilvl w:val="0"/>
                <w:numId w:val="29"/>
              </w:numPr>
              <w:autoSpaceDE/>
              <w:autoSpaceDN/>
              <w:adjustRightInd/>
              <w:snapToGrid/>
              <w:ind w:left="1440"/>
              <w:contextualSpacing/>
              <w:jc w:val="left"/>
              <w:rPr>
                <w:sz w:val="18"/>
                <w:szCs w:val="20"/>
              </w:rPr>
            </w:pPr>
            <w:r w:rsidRPr="00934720">
              <w:rPr>
                <w:sz w:val="18"/>
                <w:szCs w:val="20"/>
              </w:rPr>
              <w:t>Whether an additional CORESET can be configured for scheduling of RACH (msg2 &amp; msg4)/Paging/SI messages for RedCap UEs</w:t>
            </w:r>
          </w:p>
          <w:p w14:paraId="11CF69E3" w14:textId="77777777" w:rsidR="00F87E66" w:rsidRPr="00934720" w:rsidRDefault="00F87E66" w:rsidP="007B1C75">
            <w:pPr>
              <w:numPr>
                <w:ilvl w:val="0"/>
                <w:numId w:val="29"/>
              </w:numPr>
              <w:autoSpaceDE/>
              <w:autoSpaceDN/>
              <w:adjustRightInd/>
              <w:snapToGrid/>
              <w:ind w:left="1440"/>
              <w:contextualSpacing/>
              <w:jc w:val="left"/>
              <w:rPr>
                <w:sz w:val="18"/>
                <w:szCs w:val="20"/>
              </w:rPr>
            </w:pPr>
            <w:r w:rsidRPr="00934720">
              <w:rPr>
                <w:sz w:val="18"/>
                <w:szCs w:val="20"/>
              </w:rPr>
              <w:t>Whether the SIB-configured initial DL BWP for RedCap UEs can also be configured to be different from the SIB-configured initial DL BWP for non-RedCap UEs.</w:t>
            </w:r>
          </w:p>
          <w:p w14:paraId="5D1DEC4D" w14:textId="77777777" w:rsidR="00F87E66" w:rsidRPr="00934720" w:rsidRDefault="00F87E66" w:rsidP="007B1C75">
            <w:pPr>
              <w:numPr>
                <w:ilvl w:val="0"/>
                <w:numId w:val="29"/>
              </w:numPr>
              <w:autoSpaceDE/>
              <w:autoSpaceDN/>
              <w:adjustRightInd/>
              <w:snapToGrid/>
              <w:spacing w:after="0"/>
              <w:ind w:left="1440"/>
              <w:jc w:val="left"/>
            </w:pPr>
            <w:r w:rsidRPr="00934720">
              <w:rPr>
                <w:sz w:val="18"/>
                <w:szCs w:val="20"/>
              </w:rPr>
              <w:t>Whether the SIB-configured initial UL BWP for RedCap UEs can also be configured to be different from the SIB-configured initial UL BWP for non-RedCap UEs.</w:t>
            </w:r>
          </w:p>
        </w:tc>
      </w:tr>
    </w:tbl>
    <w:p w14:paraId="0BE7FE95" w14:textId="77777777" w:rsidR="00F63829" w:rsidRDefault="00F63829" w:rsidP="00F63829"/>
    <w:p w14:paraId="5E1E61FC" w14:textId="77777777" w:rsidR="00F63829" w:rsidRPr="003622EA" w:rsidRDefault="00F63829" w:rsidP="00F63829">
      <w:pPr>
        <w:rPr>
          <w:b/>
          <w:bCs/>
          <w:u w:val="single"/>
        </w:rPr>
      </w:pPr>
      <w:r w:rsidRPr="003622EA">
        <w:rPr>
          <w:b/>
          <w:bCs/>
          <w:u w:val="single"/>
        </w:rPr>
        <w:t>Offloading</w:t>
      </w:r>
    </w:p>
    <w:p w14:paraId="4EA1E1CE" w14:textId="77777777" w:rsidR="00F63829" w:rsidRDefault="00F63829" w:rsidP="00F63829">
      <w:r>
        <w:t>Several companies expressed comments regarding o</w:t>
      </w:r>
      <w:r w:rsidRPr="00CF30F1">
        <w:t>ffloading</w:t>
      </w:r>
      <w:r>
        <w:t xml:space="preserve"> in RAN1#104 when a large number of RedCap UEs attempt to access / are connected to the system. </w:t>
      </w:r>
      <w:r w:rsidRPr="003622EA">
        <w:t>The WID excludes LPWA, and the SI/WI traffic and evaluations are geared to fewer UEs than a</w:t>
      </w:r>
      <w:r>
        <w:t xml:space="preserve"> </w:t>
      </w:r>
      <w:r w:rsidRPr="003622EA">
        <w:t>typical LPWA case</w:t>
      </w:r>
      <w:r>
        <w:t xml:space="preserve">. </w:t>
      </w:r>
    </w:p>
    <w:p w14:paraId="33606CD6" w14:textId="6B01AE7B" w:rsidR="00F63829" w:rsidRPr="00CF30F1" w:rsidRDefault="00F63829" w:rsidP="00F63829">
      <w:pPr>
        <w:rPr>
          <w:b/>
          <w:bCs/>
          <w:i/>
          <w:iCs/>
        </w:rPr>
      </w:pPr>
      <w:r>
        <w:rPr>
          <w:b/>
          <w:bCs/>
          <w:i/>
          <w:iCs/>
        </w:rPr>
        <w:t>Proposal</w:t>
      </w:r>
      <w:r w:rsidRPr="00CF30F1">
        <w:rPr>
          <w:b/>
          <w:bCs/>
          <w:i/>
          <w:iCs/>
        </w:rPr>
        <w:t xml:space="preserve"> </w:t>
      </w:r>
      <w:r w:rsidR="006C7C61">
        <w:rPr>
          <w:b/>
          <w:bCs/>
          <w:i/>
          <w:iCs/>
        </w:rPr>
        <w:t>5</w:t>
      </w:r>
      <w:r w:rsidRPr="00CF30F1">
        <w:rPr>
          <w:b/>
          <w:bCs/>
          <w:i/>
          <w:iCs/>
        </w:rPr>
        <w:t>. No special enhancements are needed for offloading of RedCap UEs.</w:t>
      </w:r>
    </w:p>
    <w:p w14:paraId="153C0EC8" w14:textId="77777777" w:rsidR="00F63829" w:rsidRPr="003622EA" w:rsidRDefault="00F63829" w:rsidP="00F63829">
      <w:pPr>
        <w:rPr>
          <w:b/>
          <w:bCs/>
          <w:u w:val="single"/>
        </w:rPr>
      </w:pPr>
      <w:r w:rsidRPr="003622EA">
        <w:rPr>
          <w:b/>
          <w:bCs/>
          <w:u w:val="single"/>
        </w:rPr>
        <w:t>Differentiation of RedCap vs non-RedCap UEs</w:t>
      </w:r>
    </w:p>
    <w:p w14:paraId="3C0FDB9C" w14:textId="51AEF176" w:rsidR="00F63829" w:rsidRDefault="00F63829" w:rsidP="00F63829">
      <w:r>
        <w:t xml:space="preserve">In RAN#91, it was agreed to support early identification as an objective of the WID </w:t>
      </w:r>
      <w:r>
        <w:fldChar w:fldCharType="begin"/>
      </w:r>
      <w:r>
        <w:instrText xml:space="preserve"> REF _Ref60902124 \r \h </w:instrText>
      </w:r>
      <w:r>
        <w:fldChar w:fldCharType="separate"/>
      </w:r>
      <w:r w:rsidR="004F7156">
        <w:t>[1]</w:t>
      </w:r>
      <w:r>
        <w:fldChar w:fldCharType="end"/>
      </w:r>
      <w:r>
        <w:t>.</w:t>
      </w:r>
    </w:p>
    <w:p w14:paraId="4768B80D" w14:textId="77777777" w:rsidR="00F63829" w:rsidRPr="00481F01" w:rsidRDefault="00F63829" w:rsidP="00F63829">
      <w:pPr>
        <w:pStyle w:val="B1"/>
        <w:numPr>
          <w:ilvl w:val="0"/>
          <w:numId w:val="23"/>
        </w:numPr>
        <w:overflowPunct w:val="0"/>
        <w:autoSpaceDE w:val="0"/>
        <w:autoSpaceDN w:val="0"/>
        <w:adjustRightInd w:val="0"/>
        <w:jc w:val="both"/>
        <w:textAlignment w:val="baseline"/>
        <w:rPr>
          <w:rFonts w:eastAsia="SimSun"/>
          <w:bCs/>
          <w:i/>
          <w:iCs/>
          <w:lang w:val="en-US" w:eastAsia="ja-JP"/>
        </w:rPr>
      </w:pPr>
      <w:r w:rsidRPr="00481F01">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769B666" w14:textId="77777777" w:rsidR="00F63829" w:rsidRDefault="00F63829" w:rsidP="00F63829">
      <w:r>
        <w:t xml:space="preserve">Early identification can differentiate a RedCap UE from a non-RedCap UE for initial access. Due to the performance impact of the reduced number of receive antennas, the network uses early identification to provide appropriate resources to the RedCap UE during initial access. Once a UE completes initial access, </w:t>
      </w:r>
      <w:r>
        <w:lastRenderedPageBreak/>
        <w:t>normal capability exchange is used to complete the differentiation. From the analysis above for reduced bandwidth, a network can use early identification to allow RedCap UE to share resources with non-RedCap UEs as well as operate with a reduced number of antennas. This is a matter of configuration to have a RedCap UE operate with its reduced capabilities.</w:t>
      </w:r>
    </w:p>
    <w:p w14:paraId="4D871B34" w14:textId="3A8F856B" w:rsidR="00F63829" w:rsidRPr="00C650E5" w:rsidRDefault="00F63829" w:rsidP="00F63829">
      <w:pPr>
        <w:rPr>
          <w:b/>
          <w:bCs/>
          <w:i/>
          <w:iCs/>
        </w:rPr>
      </w:pPr>
      <w:r w:rsidRPr="00C650E5">
        <w:rPr>
          <w:b/>
          <w:bCs/>
          <w:i/>
          <w:iCs/>
        </w:rPr>
        <w:t xml:space="preserve">Proposal </w:t>
      </w:r>
      <w:r w:rsidR="006C7C61">
        <w:rPr>
          <w:b/>
          <w:bCs/>
          <w:i/>
          <w:iCs/>
        </w:rPr>
        <w:t>6</w:t>
      </w:r>
      <w:r w:rsidRPr="00C650E5">
        <w:rPr>
          <w:b/>
          <w:bCs/>
          <w:i/>
          <w:iCs/>
        </w:rPr>
        <w:t>: Differentiation should be discussed as part of the early identification design</w:t>
      </w:r>
      <w:r>
        <w:rPr>
          <w:b/>
          <w:bCs/>
          <w:i/>
          <w:iCs/>
        </w:rPr>
        <w:t>.</w:t>
      </w:r>
    </w:p>
    <w:p w14:paraId="4251D215" w14:textId="77777777" w:rsidR="00F63829" w:rsidRPr="003622EA" w:rsidRDefault="00F63829" w:rsidP="00F63829">
      <w:pPr>
        <w:rPr>
          <w:b/>
          <w:bCs/>
          <w:u w:val="single"/>
        </w:rPr>
      </w:pPr>
      <w:r w:rsidRPr="003622EA">
        <w:rPr>
          <w:b/>
          <w:bCs/>
          <w:u w:val="single"/>
        </w:rPr>
        <w:t>Different BWP#0</w:t>
      </w:r>
    </w:p>
    <w:p w14:paraId="57F5420D" w14:textId="77777777" w:rsidR="00F63829" w:rsidRDefault="00F63829" w:rsidP="00F63829">
      <w:r>
        <w:t>For a UE point of view, it is configured with parameters for a BWP#0. It is transparent to the UE whether the BWP#0 is the same or different for RedCap and non-RedCap UEs. We are fine to study having different BWP#0 with the caveat that the goal is to have a minimum effort to support and to have no major changes to the standards. But having a different BWP#0 may not be necessary as the above analysis shows RedCap and non-RedCap UEs can share resources.</w:t>
      </w:r>
    </w:p>
    <w:p w14:paraId="76F3BF11" w14:textId="1907B7CA" w:rsidR="00F63829" w:rsidRDefault="00F63829" w:rsidP="00F63829">
      <w:r>
        <w:t xml:space="preserve">In </w:t>
      </w:r>
      <w:r>
        <w:fldChar w:fldCharType="begin"/>
      </w:r>
      <w:r>
        <w:instrText xml:space="preserve"> REF _Ref67554463 \r \h </w:instrText>
      </w:r>
      <w:r>
        <w:fldChar w:fldCharType="separate"/>
      </w:r>
      <w:r w:rsidR="004F7156">
        <w:t>[8]</w:t>
      </w:r>
      <w:r>
        <w:fldChar w:fldCharType="end"/>
      </w:r>
      <w:r w:rsidRPr="00C650E5">
        <w:t xml:space="preserve">, </w:t>
      </w:r>
      <w:r>
        <w:t>two</w:t>
      </w:r>
      <w:r w:rsidRPr="00C650E5">
        <w:t xml:space="preserve"> different </w:t>
      </w:r>
      <w:r>
        <w:t>BWP</w:t>
      </w:r>
      <w:r w:rsidRPr="00C650E5">
        <w:t xml:space="preserve">#0 options </w:t>
      </w:r>
      <w:r>
        <w:t>for non-RedCap UEs are shown:</w:t>
      </w:r>
    </w:p>
    <w:p w14:paraId="7FF5E0EA" w14:textId="77777777" w:rsidR="00F63829" w:rsidRDefault="00F63829" w:rsidP="00F63829">
      <w:pPr>
        <w:pStyle w:val="ListParagraph"/>
        <w:numPr>
          <w:ilvl w:val="0"/>
          <w:numId w:val="23"/>
        </w:numPr>
      </w:pPr>
      <w:r>
        <w:t>Opt. 1, in which both RedCap and non-RedCap UEs use the same BWP#0. Note that this option can always be selected.</w:t>
      </w:r>
    </w:p>
    <w:p w14:paraId="16C26706" w14:textId="77777777" w:rsidR="00F63829" w:rsidRDefault="00F63829" w:rsidP="00F63829">
      <w:pPr>
        <w:pStyle w:val="ListParagraph"/>
        <w:numPr>
          <w:ilvl w:val="0"/>
          <w:numId w:val="23"/>
        </w:numPr>
      </w:pPr>
      <w:r>
        <w:t xml:space="preserve">Opt. 2, in which a RedCap UE has one BWP#0 and a non-RedCap UE has a possibly different BWP#0. </w:t>
      </w:r>
    </w:p>
    <w:p w14:paraId="3AF707F4" w14:textId="77777777" w:rsidR="00F63829" w:rsidRDefault="00F63829" w:rsidP="00F63829">
      <w:r>
        <w:t>If there is interest, a</w:t>
      </w:r>
      <w:r w:rsidRPr="00C650E5">
        <w:t xml:space="preserve"> study should focus on minimal spec</w:t>
      </w:r>
      <w:r>
        <w:t>ifications</w:t>
      </w:r>
      <w:r w:rsidRPr="00C650E5">
        <w:t xml:space="preserve"> changes for RedCap UEs in case the non</w:t>
      </w:r>
      <w:r>
        <w:t>-</w:t>
      </w:r>
      <w:r w:rsidRPr="00C650E5">
        <w:t>Red</w:t>
      </w:r>
      <w:r>
        <w:t>C</w:t>
      </w:r>
      <w:r w:rsidRPr="00C650E5">
        <w:t>ap UEs use opt</w:t>
      </w:r>
      <w:r>
        <w:t>.</w:t>
      </w:r>
      <w:r w:rsidRPr="00C650E5">
        <w:t xml:space="preserve"> 2. </w:t>
      </w:r>
      <w:r>
        <w:t>There should be no optimization for this case</w:t>
      </w:r>
      <w:r w:rsidRPr="00C650E5">
        <w:t>.</w:t>
      </w:r>
    </w:p>
    <w:p w14:paraId="2C4E9369" w14:textId="1AA00946" w:rsidR="00F87E66" w:rsidRDefault="00F87E66" w:rsidP="00F63829">
      <w:pPr>
        <w:pStyle w:val="Heading2"/>
      </w:pPr>
      <w:r>
        <w:t>RF retuning</w:t>
      </w:r>
    </w:p>
    <w:p w14:paraId="0A531267" w14:textId="77777777" w:rsidR="00F63829" w:rsidRDefault="00F63829" w:rsidP="00F63829">
      <w:r>
        <w:t>During the discussions of RACH occasions in RAN1#104, several companies expressed interest about retuning times. An LS was even considered. An examination of timing related to switching may provide some estimates for retuning.</w:t>
      </w:r>
    </w:p>
    <w:p w14:paraId="2FF5B4D6" w14:textId="3BF499E8" w:rsidR="00F63829" w:rsidRDefault="00F63829" w:rsidP="00F63829">
      <w:pPr>
        <w:pStyle w:val="ListParagraph"/>
        <w:numPr>
          <w:ilvl w:val="0"/>
          <w:numId w:val="23"/>
        </w:numPr>
      </w:pPr>
      <w:r>
        <w:t xml:space="preserve">From a historical perspective, for LTE MTC devices, RAN4 provided values for retuning 6 RBs within a 20 MHz bandwidth in </w:t>
      </w:r>
      <w:r>
        <w:fldChar w:fldCharType="begin"/>
      </w:r>
      <w:r>
        <w:instrText xml:space="preserve"> REF _Ref67670830 \r \h </w:instrText>
      </w:r>
      <w:r>
        <w:fldChar w:fldCharType="separate"/>
      </w:r>
      <w:r w:rsidR="004F7156">
        <w:t>[10]</w:t>
      </w:r>
      <w:r>
        <w:fldChar w:fldCharType="end"/>
      </w:r>
      <w:r>
        <w:t>. (Numerically, this is about 142 µs.)</w:t>
      </w:r>
    </w:p>
    <w:p w14:paraId="00275129" w14:textId="77777777" w:rsidR="00F63829" w:rsidRPr="00523BE5" w:rsidRDefault="00F63829" w:rsidP="00F63829">
      <w:pPr>
        <w:ind w:left="720"/>
        <w:rPr>
          <w:sz w:val="20"/>
          <w:szCs w:val="20"/>
        </w:rPr>
      </w:pPr>
      <w:r w:rsidRPr="00523BE5">
        <w:rPr>
          <w:sz w:val="20"/>
          <w:szCs w:val="20"/>
        </w:rPr>
        <w:t>“The maximum retuning time between narrowband regions for MTC is 2 symbols including CP length (assuming normal CP)”</w:t>
      </w:r>
    </w:p>
    <w:p w14:paraId="7F613615" w14:textId="5A3AD04C" w:rsidR="00F63829" w:rsidRDefault="00F63829" w:rsidP="00F63829">
      <w:pPr>
        <w:pStyle w:val="ListParagraph"/>
        <w:numPr>
          <w:ilvl w:val="0"/>
          <w:numId w:val="23"/>
        </w:numPr>
      </w:pPr>
      <w:r>
        <w:t xml:space="preserve">In the analysis of BWP switching for NR, RAN4 examined several scenarios. In </w:t>
      </w:r>
      <w:r>
        <w:fldChar w:fldCharType="begin"/>
      </w:r>
      <w:r>
        <w:instrText xml:space="preserve"> REF _Ref67671266 \r \h </w:instrText>
      </w:r>
      <w:r>
        <w:fldChar w:fldCharType="separate"/>
      </w:r>
      <w:r w:rsidR="004F7156">
        <w:t>[11]</w:t>
      </w:r>
      <w:r>
        <w:fldChar w:fldCharType="end"/>
      </w:r>
      <w:r>
        <w:t>,</w:t>
      </w:r>
    </w:p>
    <w:p w14:paraId="4F64B991" w14:textId="77777777" w:rsidR="00F63829" w:rsidRPr="00523BE5" w:rsidRDefault="00F63829" w:rsidP="00F63829">
      <w:pPr>
        <w:ind w:left="720"/>
        <w:rPr>
          <w:sz w:val="20"/>
          <w:szCs w:val="20"/>
        </w:rPr>
      </w:pPr>
      <w:r w:rsidRPr="00523BE5">
        <w:rPr>
          <w:sz w:val="20"/>
          <w:szCs w:val="20"/>
        </w:rPr>
        <w:t>“for intra-band operation, at least for sub6, the transition time is 50~200 µs if the center frequency is different before and after the bandwidth adaptation, regardless other conditions listed in the LS”.</w:t>
      </w:r>
    </w:p>
    <w:p w14:paraId="662FD427" w14:textId="011BF66B" w:rsidR="00F63829" w:rsidRDefault="00F63829" w:rsidP="00F63829">
      <w:pPr>
        <w:pStyle w:val="ListParagraph"/>
        <w:numPr>
          <w:ilvl w:val="0"/>
          <w:numId w:val="23"/>
        </w:numPr>
      </w:pPr>
      <w:r>
        <w:t xml:space="preserve">Further, in </w:t>
      </w:r>
      <w:r>
        <w:fldChar w:fldCharType="begin"/>
      </w:r>
      <w:r>
        <w:instrText xml:space="preserve"> REF _Ref67303082 \r \h </w:instrText>
      </w:r>
      <w:r>
        <w:fldChar w:fldCharType="separate"/>
      </w:r>
      <w:r w:rsidR="004F7156">
        <w:t>[9]</w:t>
      </w:r>
      <w:r>
        <w:fldChar w:fldCharType="end"/>
      </w:r>
      <w:r>
        <w:t xml:space="preserve">, </w:t>
      </w:r>
      <w:r w:rsidRPr="00934720">
        <w:t>the LS defines scenario 1</w:t>
      </w:r>
      <w:r>
        <w:t xml:space="preserve"> for NR</w:t>
      </w:r>
      <w:r w:rsidRPr="00934720">
        <w:t>:</w:t>
      </w:r>
    </w:p>
    <w:p w14:paraId="53EACC43" w14:textId="77777777" w:rsidR="00F63829" w:rsidRPr="00523BE5" w:rsidRDefault="00F63829" w:rsidP="00F63829">
      <w:pPr>
        <w:ind w:left="720"/>
        <w:rPr>
          <w:sz w:val="20"/>
          <w:szCs w:val="20"/>
        </w:rPr>
      </w:pPr>
      <w:r w:rsidRPr="00523BE5">
        <w:rPr>
          <w:sz w:val="20"/>
          <w:szCs w:val="20"/>
        </w:rPr>
        <w:t>“The reconfiguration involves changing the center frequency of the BWP without changing its BW. The reconfiguration may or may not involve changing the SCS.”</w:t>
      </w:r>
    </w:p>
    <w:p w14:paraId="71AAF5FC" w14:textId="441BEFFE" w:rsidR="00F63829" w:rsidRDefault="00F63829" w:rsidP="00F63829">
      <w:pPr>
        <w:ind w:left="720"/>
      </w:pPr>
      <w:r w:rsidRPr="00934720">
        <w:t>The two delays are 0.6 ms and 2 ms for DCI-based and timer-based BWP switching.</w:t>
      </w:r>
      <w:r>
        <w:t xml:space="preserve"> In </w:t>
      </w:r>
      <w:r>
        <w:fldChar w:fldCharType="begin"/>
      </w:r>
      <w:r>
        <w:instrText xml:space="preserve"> REF _Ref67671614 \r \h </w:instrText>
      </w:r>
      <w:r>
        <w:fldChar w:fldCharType="separate"/>
      </w:r>
      <w:r w:rsidR="004F7156">
        <w:t>[4]</w:t>
      </w:r>
      <w:r>
        <w:fldChar w:fldCharType="end"/>
      </w:r>
      <w:r>
        <w:t xml:space="preserve">, Table </w:t>
      </w:r>
      <w:r w:rsidRPr="005F45D1">
        <w:t>8.6.2-1</w:t>
      </w:r>
      <w:r>
        <w:t xml:space="preserve"> specifies two values (based on UE capability) for the BWP switching delay for each numerology. For Type 1 switching (the smaller values), the switching delay is about 0.75 to 1 ms.</w:t>
      </w:r>
    </w:p>
    <w:p w14:paraId="46ABC7F9" w14:textId="77777777" w:rsidR="00F63829" w:rsidRDefault="00F63829" w:rsidP="00F63829">
      <w:pPr>
        <w:pStyle w:val="ListParagraph"/>
        <w:numPr>
          <w:ilvl w:val="0"/>
          <w:numId w:val="23"/>
        </w:numPr>
      </w:pPr>
      <w:r>
        <w:t xml:space="preserve">Carrier switching: intraband UL / SUL switching (switch time is 0 µs); interband (UL / SUL switching (switch time is {35, 140, 210} µs with the capability </w:t>
      </w:r>
      <w:r>
        <w:rPr>
          <w:bCs/>
          <w:i/>
          <w:iCs/>
        </w:rPr>
        <w:t>uplinkTxSwitchingPeriod</w:t>
      </w:r>
      <w:r>
        <w:t>);</w:t>
      </w:r>
    </w:p>
    <w:p w14:paraId="47236603" w14:textId="77777777" w:rsidR="00F63829" w:rsidRDefault="00F63829" w:rsidP="00F63829">
      <w:pPr>
        <w:pStyle w:val="ListParagraph"/>
        <w:numPr>
          <w:ilvl w:val="0"/>
          <w:numId w:val="23"/>
        </w:numPr>
      </w:pPr>
      <w:r>
        <w:t>Note as a baseline, TDD switch time is (25600 T</w:t>
      </w:r>
      <w:r w:rsidRPr="00114C8C">
        <w:rPr>
          <w:vertAlign w:val="subscript"/>
        </w:rPr>
        <w:t>s</w:t>
      </w:r>
      <w:r>
        <w:t>=13</w:t>
      </w:r>
      <w:r w:rsidRPr="00D24F94">
        <w:t xml:space="preserve"> </w:t>
      </w:r>
      <w:r>
        <w:t xml:space="preserve">µs for FR1). </w:t>
      </w:r>
    </w:p>
    <w:p w14:paraId="7DDC5FD9" w14:textId="4BDB4112" w:rsidR="00F63829" w:rsidRDefault="00F63829" w:rsidP="0023038F">
      <w:r>
        <w:t>Based on Rel. 15 values, it seems that about 200 µs could be an estimate for retuning. Of course, RAN4 would have to provide the actual values</w:t>
      </w:r>
      <w:r w:rsidR="003C7563">
        <w:t>, and it may be worth asking RAN4 what values should be used for RedCap</w:t>
      </w:r>
      <w:r>
        <w:t xml:space="preserve">. </w:t>
      </w:r>
    </w:p>
    <w:p w14:paraId="69462A5A" w14:textId="77777777" w:rsidR="00B83C1E" w:rsidRPr="00373C7B" w:rsidRDefault="00B83C1E" w:rsidP="00373C7B"/>
    <w:p w14:paraId="1A801C54" w14:textId="75AA36D2" w:rsidR="004B3422" w:rsidRDefault="004B3422" w:rsidP="004B3422">
      <w:pPr>
        <w:pStyle w:val="Heading1"/>
        <w:tabs>
          <w:tab w:val="clear" w:pos="432"/>
        </w:tabs>
      </w:pPr>
      <w:bookmarkStart w:id="9" w:name="_Ref129681832"/>
      <w:r>
        <w:lastRenderedPageBreak/>
        <w:t>Conclusion</w:t>
      </w:r>
    </w:p>
    <w:p w14:paraId="1E060722" w14:textId="21E4CB58" w:rsidR="0023038F" w:rsidRPr="0023038F" w:rsidRDefault="0023038F" w:rsidP="0023038F">
      <w:r>
        <w:t xml:space="preserve">In this contribution, we examined the agreements for RAN1#104 and show that </w:t>
      </w:r>
      <w:r w:rsidRPr="0023038F">
        <w:t>th</w:t>
      </w:r>
      <w:r>
        <w:t>ose</w:t>
      </w:r>
      <w:r w:rsidRPr="0023038F">
        <w:t xml:space="preserve"> agreements are sufficient to make significant progress on the bandwidth reduction feature</w:t>
      </w:r>
      <w:r>
        <w:t xml:space="preserve">. </w:t>
      </w:r>
      <w:r w:rsidR="006C7C61">
        <w:t xml:space="preserve">In addition, analysis shows </w:t>
      </w:r>
      <w:r w:rsidR="006C7C61" w:rsidRPr="006C7C61">
        <w:t>how RedCap and non-RedCap UEs can share resources when the resources are located in the bandwidth of RedCap UEs</w:t>
      </w:r>
      <w:r w:rsidR="006C7C61">
        <w:t>.</w:t>
      </w:r>
    </w:p>
    <w:p w14:paraId="4FA12F8E" w14:textId="77777777" w:rsidR="0023038F" w:rsidRPr="001E0853" w:rsidRDefault="0023038F" w:rsidP="0023038F">
      <w:pPr>
        <w:rPr>
          <w:b/>
          <w:bCs/>
          <w:i/>
          <w:iCs/>
        </w:rPr>
      </w:pPr>
      <w:r>
        <w:rPr>
          <w:b/>
          <w:bCs/>
          <w:i/>
          <w:iCs/>
        </w:rPr>
        <w:t>Observation 1</w:t>
      </w:r>
      <w:r w:rsidRPr="001E0853">
        <w:rPr>
          <w:b/>
          <w:bCs/>
          <w:i/>
          <w:iCs/>
        </w:rPr>
        <w:t xml:space="preserve">: </w:t>
      </w:r>
      <w:r>
        <w:rPr>
          <w:b/>
          <w:bCs/>
          <w:i/>
          <w:iCs/>
        </w:rPr>
        <w:t>While sharing</w:t>
      </w:r>
      <w:r w:rsidRPr="00B31446">
        <w:rPr>
          <w:b/>
          <w:bCs/>
          <w:i/>
          <w:iCs/>
        </w:rPr>
        <w:t xml:space="preserve"> SSB/CORTESET#0</w:t>
      </w:r>
      <w:r>
        <w:rPr>
          <w:b/>
          <w:bCs/>
          <w:i/>
          <w:iCs/>
        </w:rPr>
        <w:t xml:space="preserve"> between RedCap and non-RedCap UEs</w:t>
      </w:r>
      <w:r w:rsidRPr="00B31446">
        <w:rPr>
          <w:b/>
          <w:bCs/>
          <w:i/>
          <w:iCs/>
        </w:rPr>
        <w:t xml:space="preserve">, </w:t>
      </w:r>
      <w:r>
        <w:rPr>
          <w:b/>
          <w:bCs/>
          <w:i/>
          <w:iCs/>
        </w:rPr>
        <w:t>the analysis</w:t>
      </w:r>
      <w:r w:rsidRPr="00B31446">
        <w:rPr>
          <w:b/>
          <w:bCs/>
          <w:i/>
          <w:iCs/>
        </w:rPr>
        <w:t xml:space="preserve"> confirm</w:t>
      </w:r>
      <w:r>
        <w:rPr>
          <w:b/>
          <w:bCs/>
          <w:i/>
          <w:iCs/>
        </w:rPr>
        <w:t>s</w:t>
      </w:r>
      <w:r w:rsidRPr="00B31446">
        <w:rPr>
          <w:b/>
          <w:bCs/>
          <w:i/>
          <w:iCs/>
        </w:rPr>
        <w:t xml:space="preserve"> that no values are more than 20MHz</w:t>
      </w:r>
      <w:r>
        <w:rPr>
          <w:b/>
          <w:bCs/>
          <w:i/>
          <w:iCs/>
        </w:rPr>
        <w:t xml:space="preserve"> for FR1.</w:t>
      </w:r>
    </w:p>
    <w:p w14:paraId="6AC058DA" w14:textId="77777777" w:rsidR="00F63829" w:rsidRPr="00934720" w:rsidRDefault="00F63829" w:rsidP="00F63829">
      <w:pPr>
        <w:rPr>
          <w:b/>
          <w:bCs/>
          <w:i/>
          <w:iCs/>
        </w:rPr>
      </w:pPr>
      <w:r>
        <w:rPr>
          <w:b/>
          <w:bCs/>
          <w:i/>
          <w:iCs/>
        </w:rPr>
        <w:t>Observation 2</w:t>
      </w:r>
      <w:r w:rsidRPr="00934720">
        <w:rPr>
          <w:b/>
          <w:bCs/>
          <w:i/>
          <w:iCs/>
        </w:rPr>
        <w:t xml:space="preserve">: A RedCap UE </w:t>
      </w:r>
      <w:r>
        <w:rPr>
          <w:b/>
          <w:bCs/>
          <w:i/>
          <w:iCs/>
        </w:rPr>
        <w:t>is always able to receive</w:t>
      </w:r>
      <w:r w:rsidRPr="00934720">
        <w:rPr>
          <w:b/>
          <w:bCs/>
          <w:i/>
          <w:iCs/>
        </w:rPr>
        <w:t xml:space="preserve"> the PDCCH within </w:t>
      </w:r>
      <w:r>
        <w:rPr>
          <w:b/>
          <w:bCs/>
          <w:i/>
          <w:iCs/>
        </w:rPr>
        <w:t>its</w:t>
      </w:r>
      <w:r w:rsidRPr="00934720">
        <w:rPr>
          <w:b/>
          <w:bCs/>
          <w:i/>
          <w:iCs/>
        </w:rPr>
        <w:t xml:space="preserve"> </w:t>
      </w:r>
      <w:r w:rsidRPr="00660AD2">
        <w:rPr>
          <w:b/>
          <w:bCs/>
          <w:i/>
          <w:iCs/>
        </w:rPr>
        <w:t>initial DL BWP</w:t>
      </w:r>
      <w:r w:rsidRPr="00934720">
        <w:rPr>
          <w:b/>
          <w:bCs/>
          <w:i/>
          <w:iCs/>
        </w:rPr>
        <w:t>.</w:t>
      </w:r>
      <w:r>
        <w:rPr>
          <w:b/>
          <w:bCs/>
          <w:i/>
          <w:iCs/>
        </w:rPr>
        <w:t xml:space="preserve"> No changes for RedCap UEs and PDCCH are necessary in the specifications.</w:t>
      </w:r>
    </w:p>
    <w:p w14:paraId="3FF6F9AF" w14:textId="77777777" w:rsidR="006C7C61" w:rsidRPr="00934720" w:rsidRDefault="006C7C61" w:rsidP="006C7C61">
      <w:pPr>
        <w:rPr>
          <w:b/>
          <w:bCs/>
          <w:i/>
          <w:iCs/>
        </w:rPr>
      </w:pPr>
      <w:r w:rsidRPr="00934720">
        <w:rPr>
          <w:b/>
          <w:bCs/>
          <w:i/>
          <w:iCs/>
        </w:rPr>
        <w:t>Observation</w:t>
      </w:r>
      <w:r>
        <w:rPr>
          <w:b/>
          <w:bCs/>
          <w:i/>
          <w:iCs/>
        </w:rPr>
        <w:t xml:space="preserve"> 3</w:t>
      </w:r>
      <w:r w:rsidRPr="00934720">
        <w:rPr>
          <w:b/>
          <w:bCs/>
          <w:i/>
          <w:iCs/>
        </w:rPr>
        <w:t xml:space="preserve">: </w:t>
      </w:r>
      <w:r>
        <w:rPr>
          <w:b/>
          <w:bCs/>
          <w:i/>
          <w:iCs/>
        </w:rPr>
        <w:t>By configuring which RACH occasion a RedCap UE can use, the network can ensure the PDSCH for Msg2/MsgB is within the bandwidth of the RedCap UE</w:t>
      </w:r>
      <w:r w:rsidRPr="00934720">
        <w:rPr>
          <w:b/>
          <w:bCs/>
          <w:i/>
          <w:iCs/>
        </w:rPr>
        <w:t>.</w:t>
      </w:r>
    </w:p>
    <w:p w14:paraId="39FBA9C8" w14:textId="09925F96" w:rsidR="00F63829" w:rsidRPr="00114C8C" w:rsidRDefault="00F63829" w:rsidP="00F63829">
      <w:pPr>
        <w:rPr>
          <w:b/>
          <w:bCs/>
          <w:i/>
          <w:iCs/>
        </w:rPr>
      </w:pPr>
      <w:r w:rsidRPr="00114C8C">
        <w:rPr>
          <w:b/>
          <w:bCs/>
          <w:i/>
          <w:iCs/>
        </w:rPr>
        <w:t xml:space="preserve">Observation </w:t>
      </w:r>
      <w:r>
        <w:rPr>
          <w:b/>
          <w:bCs/>
          <w:i/>
          <w:iCs/>
        </w:rPr>
        <w:t>4</w:t>
      </w:r>
      <w:r w:rsidRPr="00114C8C">
        <w:rPr>
          <w:b/>
          <w:bCs/>
          <w:i/>
          <w:iCs/>
        </w:rPr>
        <w:t>: the maximum bandwidth of each RACH occasion is less than the maximum bandwidth of a RedCap UE</w:t>
      </w:r>
      <w:r w:rsidR="003546F2" w:rsidRPr="00114C8C">
        <w:rPr>
          <w:b/>
          <w:bCs/>
          <w:i/>
          <w:iCs/>
        </w:rPr>
        <w:t xml:space="preserve">. </w:t>
      </w:r>
    </w:p>
    <w:p w14:paraId="06AD364D" w14:textId="77777777" w:rsidR="00F63829" w:rsidRDefault="00F63829" w:rsidP="00F63829">
      <w:pPr>
        <w:rPr>
          <w:b/>
          <w:bCs/>
          <w:i/>
          <w:iCs/>
        </w:rPr>
      </w:pPr>
      <w:r w:rsidRPr="00114C8C">
        <w:rPr>
          <w:b/>
          <w:bCs/>
          <w:i/>
          <w:iCs/>
        </w:rPr>
        <w:t xml:space="preserve">Proposal </w:t>
      </w:r>
      <w:r>
        <w:rPr>
          <w:b/>
          <w:bCs/>
          <w:i/>
          <w:iCs/>
        </w:rPr>
        <w:t>1</w:t>
      </w:r>
      <w:r w:rsidRPr="00114C8C">
        <w:rPr>
          <w:b/>
          <w:bCs/>
          <w:i/>
          <w:iCs/>
        </w:rPr>
        <w:t xml:space="preserve">: </w:t>
      </w:r>
      <w:r w:rsidRPr="001B545D">
        <w:rPr>
          <w:b/>
          <w:bCs/>
          <w:i/>
          <w:iCs/>
        </w:rPr>
        <w:t>RedCap UEs can share RACH occasions with legacy UEs</w:t>
      </w:r>
    </w:p>
    <w:p w14:paraId="3E08D6E1" w14:textId="77777777" w:rsidR="00F63829" w:rsidRDefault="00F63829" w:rsidP="00F63829">
      <w:pPr>
        <w:pStyle w:val="ListParagraph"/>
        <w:numPr>
          <w:ilvl w:val="0"/>
          <w:numId w:val="23"/>
        </w:numPr>
      </w:pPr>
      <w:r w:rsidRPr="001B545D">
        <w:rPr>
          <w:b/>
          <w:bCs/>
          <w:i/>
          <w:iCs/>
        </w:rPr>
        <w:t>A subset of RACH occasions can be indicated with a mask, thereby ensuring that all occasions are within the RedCap UE bandwidth</w:t>
      </w:r>
    </w:p>
    <w:p w14:paraId="74284456" w14:textId="77777777" w:rsidR="00F63829" w:rsidRDefault="00F63829" w:rsidP="00F63829">
      <w:r>
        <w:rPr>
          <w:b/>
          <w:bCs/>
          <w:i/>
          <w:iCs/>
        </w:rPr>
        <w:t>Observation 5</w:t>
      </w:r>
      <w:r w:rsidRPr="00974DCA">
        <w:rPr>
          <w:b/>
          <w:bCs/>
          <w:i/>
          <w:iCs/>
        </w:rPr>
        <w:t xml:space="preserve">: </w:t>
      </w:r>
      <w:r>
        <w:rPr>
          <w:b/>
          <w:bCs/>
          <w:i/>
          <w:iCs/>
        </w:rPr>
        <w:t>Option 3 ensures the</w:t>
      </w:r>
      <w:r w:rsidRPr="00974DCA">
        <w:rPr>
          <w:b/>
          <w:bCs/>
          <w:i/>
          <w:iCs/>
        </w:rPr>
        <w:t xml:space="preserve"> RACH occasion is within the bandwidth of a RedCap UE</w:t>
      </w:r>
      <w:r>
        <w:rPr>
          <w:b/>
          <w:bCs/>
          <w:i/>
          <w:iCs/>
        </w:rPr>
        <w:t xml:space="preserve"> as this option</w:t>
      </w:r>
      <w:r w:rsidRPr="00114C8C">
        <w:rPr>
          <w:b/>
          <w:bCs/>
          <w:i/>
          <w:iCs/>
        </w:rPr>
        <w:t xml:space="preserve"> requires minimal changes and no new elements</w:t>
      </w:r>
      <w:r w:rsidRPr="00974DCA">
        <w:rPr>
          <w:b/>
          <w:bCs/>
          <w:i/>
          <w:iCs/>
        </w:rPr>
        <w:t>.</w:t>
      </w:r>
    </w:p>
    <w:p w14:paraId="34702EB5" w14:textId="77777777" w:rsidR="006C7C61" w:rsidRDefault="006C7C61" w:rsidP="006C7C61">
      <w:r>
        <w:rPr>
          <w:b/>
          <w:bCs/>
          <w:i/>
          <w:iCs/>
        </w:rPr>
        <w:t>Proposal 2</w:t>
      </w:r>
      <w:r w:rsidRPr="00974DCA">
        <w:rPr>
          <w:b/>
          <w:bCs/>
          <w:i/>
          <w:iCs/>
        </w:rPr>
        <w:t xml:space="preserve">: </w:t>
      </w:r>
      <w:r>
        <w:rPr>
          <w:b/>
          <w:bCs/>
          <w:i/>
          <w:iCs/>
        </w:rPr>
        <w:t>In addition to sharing RACH occasions with legacy UEs, at least some RedCap UEs may be configured with dedicated RACH occasions</w:t>
      </w:r>
      <w:r w:rsidRPr="00974DCA">
        <w:rPr>
          <w:b/>
          <w:bCs/>
          <w:i/>
          <w:iCs/>
        </w:rPr>
        <w:t>.</w:t>
      </w:r>
    </w:p>
    <w:p w14:paraId="7265407A" w14:textId="6C72A864" w:rsidR="00F63829" w:rsidRDefault="00F63829" w:rsidP="00F63829">
      <w:pPr>
        <w:rPr>
          <w:b/>
          <w:bCs/>
          <w:i/>
          <w:iCs/>
        </w:rPr>
      </w:pPr>
      <w:r>
        <w:rPr>
          <w:b/>
          <w:bCs/>
          <w:i/>
          <w:iCs/>
        </w:rPr>
        <w:t>Observation</w:t>
      </w:r>
      <w:r w:rsidRPr="00254B1A">
        <w:rPr>
          <w:b/>
          <w:bCs/>
          <w:i/>
          <w:iCs/>
        </w:rPr>
        <w:t xml:space="preserve"> </w:t>
      </w:r>
      <w:r w:rsidR="006C7C61">
        <w:rPr>
          <w:b/>
          <w:bCs/>
          <w:i/>
          <w:iCs/>
        </w:rPr>
        <w:t>6</w:t>
      </w:r>
      <w:r w:rsidRPr="00254B1A">
        <w:rPr>
          <w:b/>
          <w:bCs/>
          <w:i/>
          <w:iCs/>
        </w:rPr>
        <w:t xml:space="preserve">: </w:t>
      </w:r>
      <w:r>
        <w:rPr>
          <w:b/>
          <w:bCs/>
          <w:i/>
          <w:iCs/>
        </w:rPr>
        <w:t>A limited number of specification changes may be needed to ensure PUSCH for Msg3</w:t>
      </w:r>
      <w:r w:rsidRPr="00254B1A">
        <w:rPr>
          <w:b/>
          <w:bCs/>
          <w:i/>
          <w:iCs/>
        </w:rPr>
        <w:t xml:space="preserve"> is within the bandwidth of a RedCap UE.</w:t>
      </w:r>
    </w:p>
    <w:p w14:paraId="31676B14" w14:textId="05B2F9BF" w:rsidR="00F63829" w:rsidRPr="000262A8" w:rsidRDefault="00F63829" w:rsidP="00F63829">
      <w:pPr>
        <w:rPr>
          <w:b/>
          <w:bCs/>
          <w:i/>
          <w:iCs/>
        </w:rPr>
      </w:pPr>
      <w:r w:rsidRPr="000262A8">
        <w:rPr>
          <w:b/>
          <w:bCs/>
          <w:i/>
          <w:iCs/>
        </w:rPr>
        <w:t xml:space="preserve">Proposal </w:t>
      </w:r>
      <w:r w:rsidR="006C7C61">
        <w:rPr>
          <w:b/>
          <w:bCs/>
          <w:i/>
          <w:iCs/>
        </w:rPr>
        <w:t>3</w:t>
      </w:r>
      <w:r w:rsidRPr="000262A8">
        <w:rPr>
          <w:b/>
          <w:bCs/>
          <w:i/>
          <w:iCs/>
        </w:rPr>
        <w:t>:</w:t>
      </w:r>
      <w:r>
        <w:rPr>
          <w:b/>
          <w:bCs/>
          <w:i/>
          <w:iCs/>
        </w:rPr>
        <w:t xml:space="preserve"> The existing set of agreements provides the framework to ensure signals and channels used for initial access are within the maximum bandwidth of a RedCap UE.</w:t>
      </w:r>
      <w:r w:rsidRPr="000262A8">
        <w:rPr>
          <w:b/>
          <w:bCs/>
          <w:i/>
          <w:iCs/>
        </w:rPr>
        <w:t xml:space="preserve"> </w:t>
      </w:r>
    </w:p>
    <w:p w14:paraId="6783A153" w14:textId="3E23B9C7" w:rsidR="00F63829" w:rsidRPr="00481F01" w:rsidRDefault="00F63829" w:rsidP="00F63829">
      <w:pPr>
        <w:rPr>
          <w:b/>
          <w:bCs/>
          <w:i/>
          <w:iCs/>
        </w:rPr>
      </w:pPr>
      <w:r w:rsidRPr="00481F01">
        <w:rPr>
          <w:b/>
          <w:bCs/>
          <w:i/>
          <w:iCs/>
        </w:rPr>
        <w:t xml:space="preserve">Proposal </w:t>
      </w:r>
      <w:r w:rsidR="006C7C61">
        <w:rPr>
          <w:b/>
          <w:bCs/>
          <w:i/>
          <w:iCs/>
        </w:rPr>
        <w:t>4</w:t>
      </w:r>
      <w:r w:rsidRPr="00481F01">
        <w:rPr>
          <w:b/>
          <w:bCs/>
          <w:i/>
          <w:iCs/>
        </w:rPr>
        <w:t xml:space="preserve">: A RedCap UE cannot operate </w:t>
      </w:r>
      <w:r>
        <w:rPr>
          <w:b/>
          <w:bCs/>
          <w:i/>
          <w:iCs/>
        </w:rPr>
        <w:t>with</w:t>
      </w:r>
      <w:r w:rsidRPr="00481F01">
        <w:rPr>
          <w:b/>
          <w:bCs/>
          <w:i/>
          <w:iCs/>
        </w:rPr>
        <w:t xml:space="preserve"> a BWP larger than the maximum bandwidth of a RedCap UE.</w:t>
      </w:r>
    </w:p>
    <w:p w14:paraId="3FD0DCCC" w14:textId="7B9AD344" w:rsidR="00F63829" w:rsidRPr="005C4670" w:rsidRDefault="00F63829" w:rsidP="00F63829">
      <w:pPr>
        <w:rPr>
          <w:b/>
          <w:bCs/>
          <w:i/>
          <w:iCs/>
        </w:rPr>
      </w:pPr>
      <w:r>
        <w:rPr>
          <w:b/>
          <w:bCs/>
          <w:i/>
          <w:iCs/>
        </w:rPr>
        <w:t>Proposal</w:t>
      </w:r>
      <w:r w:rsidRPr="00CF30F1">
        <w:rPr>
          <w:b/>
          <w:bCs/>
          <w:i/>
          <w:iCs/>
        </w:rPr>
        <w:t xml:space="preserve"> </w:t>
      </w:r>
      <w:r w:rsidR="006C7C61">
        <w:rPr>
          <w:b/>
          <w:bCs/>
          <w:i/>
          <w:iCs/>
        </w:rPr>
        <w:t>5</w:t>
      </w:r>
      <w:r w:rsidRPr="00CF30F1">
        <w:rPr>
          <w:b/>
          <w:bCs/>
          <w:i/>
          <w:iCs/>
        </w:rPr>
        <w:t>. No special enhancements are needed for offloading of RedCap UEs.</w:t>
      </w:r>
    </w:p>
    <w:p w14:paraId="4AB34A50" w14:textId="7DA7DEF2" w:rsidR="00F63829" w:rsidRPr="00C650E5" w:rsidRDefault="00F63829" w:rsidP="00F63829">
      <w:pPr>
        <w:rPr>
          <w:b/>
          <w:bCs/>
          <w:i/>
          <w:iCs/>
        </w:rPr>
      </w:pPr>
      <w:r w:rsidRPr="00C650E5">
        <w:rPr>
          <w:b/>
          <w:bCs/>
          <w:i/>
          <w:iCs/>
        </w:rPr>
        <w:t xml:space="preserve">Proposal </w:t>
      </w:r>
      <w:r w:rsidR="006C7C61">
        <w:rPr>
          <w:b/>
          <w:bCs/>
          <w:i/>
          <w:iCs/>
        </w:rPr>
        <w:t>6</w:t>
      </w:r>
      <w:r w:rsidRPr="00C650E5">
        <w:rPr>
          <w:b/>
          <w:bCs/>
          <w:i/>
          <w:iCs/>
        </w:rPr>
        <w:t>: Differentiation should be discussed as part of the early identification design</w:t>
      </w:r>
      <w:r>
        <w:rPr>
          <w:b/>
          <w:bCs/>
          <w:i/>
          <w:iCs/>
        </w:rPr>
        <w:t>.</w:t>
      </w:r>
    </w:p>
    <w:p w14:paraId="6894A1C9" w14:textId="77777777" w:rsidR="008365B1" w:rsidRPr="004047A8" w:rsidRDefault="008365B1" w:rsidP="00C90627"/>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t>References</w:t>
      </w:r>
    </w:p>
    <w:p w14:paraId="0C91BF73" w14:textId="73191B9D" w:rsidR="002A16D5" w:rsidRPr="00F16977" w:rsidRDefault="00276D8B" w:rsidP="00352A9C">
      <w:pPr>
        <w:pStyle w:val="References"/>
        <w:tabs>
          <w:tab w:val="clear" w:pos="360"/>
        </w:tabs>
        <w:ind w:left="432" w:hanging="432"/>
        <w:rPr>
          <w:lang w:val="en-GB" w:eastAsia="zh-CN"/>
        </w:rPr>
      </w:pPr>
      <w:bookmarkStart w:id="13" w:name="_Ref60902124"/>
      <w:bookmarkEnd w:id="9"/>
      <w:bookmarkEnd w:id="10"/>
      <w:bookmarkEnd w:id="11"/>
      <w:bookmarkEnd w:id="12"/>
      <w:r w:rsidRPr="00276D8B">
        <w:rPr>
          <w:lang w:val="en-GB"/>
        </w:rPr>
        <w:t>RP-202933</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Pr>
          <w:lang w:eastAsia="zh-CN"/>
        </w:rPr>
        <w:t>90</w:t>
      </w:r>
      <w:r w:rsidR="002A16D5">
        <w:rPr>
          <w:lang w:eastAsia="zh-CN"/>
        </w:rPr>
        <w:t xml:space="preserve">e, </w:t>
      </w:r>
      <w:r>
        <w:rPr>
          <w:lang w:eastAsia="zh-CN"/>
        </w:rPr>
        <w:t>Dec. 7-11</w:t>
      </w:r>
      <w:r w:rsidR="0021634C">
        <w:rPr>
          <w:lang w:eastAsia="zh-CN"/>
        </w:rPr>
        <w:t>,</w:t>
      </w:r>
      <w:r w:rsidR="002A16D5">
        <w:rPr>
          <w:lang w:eastAsia="zh-CN"/>
        </w:rPr>
        <w:t xml:space="preserve"> 2020.</w:t>
      </w:r>
      <w:bookmarkEnd w:id="13"/>
    </w:p>
    <w:p w14:paraId="508A5491" w14:textId="77777777" w:rsidR="003F1345" w:rsidRDefault="003F1345" w:rsidP="00352A9C">
      <w:pPr>
        <w:pStyle w:val="References"/>
        <w:tabs>
          <w:tab w:val="clear" w:pos="360"/>
        </w:tabs>
        <w:ind w:left="432" w:hanging="432"/>
        <w:rPr>
          <w:lang w:val="en-GB" w:eastAsia="zh-CN"/>
        </w:rPr>
      </w:pPr>
      <w:bookmarkStart w:id="14" w:name="_Ref65593867"/>
      <w:bookmarkStart w:id="15" w:name="_Ref60993381"/>
      <w:bookmarkStart w:id="16" w:name="_Ref60994040"/>
      <w:r>
        <w:rPr>
          <w:lang w:val="en-GB" w:eastAsia="zh-CN"/>
        </w:rPr>
        <w:t>Chairman Note, RAN1, RAN1#104, Jan. 25 - Feb. 5. 2021.</w:t>
      </w:r>
      <w:bookmarkEnd w:id="14"/>
    </w:p>
    <w:p w14:paraId="0E87AB9F" w14:textId="3AB6D9FB" w:rsidR="00765C61" w:rsidRPr="003424BF" w:rsidRDefault="003F1345" w:rsidP="00352A9C">
      <w:pPr>
        <w:pStyle w:val="References"/>
        <w:tabs>
          <w:tab w:val="clear" w:pos="360"/>
        </w:tabs>
        <w:ind w:left="432" w:hanging="432"/>
        <w:rPr>
          <w:lang w:val="en-GB" w:eastAsia="zh-CN"/>
        </w:rPr>
      </w:pPr>
      <w:bookmarkStart w:id="17" w:name="_Ref65591617"/>
      <w:r>
        <w:rPr>
          <w:lang w:val="en-GB" w:eastAsia="zh-CN"/>
        </w:rPr>
        <w:t>38.331</w:t>
      </w:r>
      <w:bookmarkEnd w:id="15"/>
      <w:bookmarkEnd w:id="16"/>
      <w:bookmarkEnd w:id="17"/>
    </w:p>
    <w:p w14:paraId="09851614" w14:textId="5D1A5ECF" w:rsidR="00DB4F07" w:rsidRPr="003424BF" w:rsidRDefault="003F1345" w:rsidP="00352A9C">
      <w:pPr>
        <w:pStyle w:val="References"/>
        <w:tabs>
          <w:tab w:val="clear" w:pos="360"/>
        </w:tabs>
        <w:ind w:left="432" w:hanging="432"/>
        <w:rPr>
          <w:lang w:val="en-GB" w:eastAsia="zh-CN"/>
        </w:rPr>
      </w:pPr>
      <w:bookmarkStart w:id="18" w:name="_Ref61373645"/>
      <w:bookmarkStart w:id="19" w:name="_Ref67671614"/>
      <w:r w:rsidRPr="00352A9C">
        <w:rPr>
          <w:lang w:val="en-GB" w:eastAsia="zh-CN"/>
        </w:rPr>
        <w:t>38.133</w:t>
      </w:r>
      <w:bookmarkEnd w:id="18"/>
      <w:bookmarkEnd w:id="19"/>
    </w:p>
    <w:p w14:paraId="0386EBC6" w14:textId="41934E1A" w:rsidR="003D71C9" w:rsidRDefault="003D71C9" w:rsidP="00352A9C">
      <w:pPr>
        <w:pStyle w:val="References"/>
        <w:tabs>
          <w:tab w:val="clear" w:pos="360"/>
        </w:tabs>
        <w:ind w:left="432" w:hanging="432"/>
        <w:rPr>
          <w:lang w:val="en-GB" w:eastAsia="zh-CN"/>
        </w:rPr>
      </w:pPr>
      <w:bookmarkStart w:id="20" w:name="_Ref67302930"/>
      <w:r>
        <w:rPr>
          <w:lang w:val="en-GB" w:eastAsia="zh-CN"/>
        </w:rPr>
        <w:t>38.212</w:t>
      </w:r>
      <w:bookmarkEnd w:id="20"/>
    </w:p>
    <w:p w14:paraId="57855537" w14:textId="4AE064B3" w:rsidR="005A033B" w:rsidRPr="007C56CE" w:rsidRDefault="005A033B" w:rsidP="00352A9C">
      <w:pPr>
        <w:pStyle w:val="References"/>
        <w:tabs>
          <w:tab w:val="clear" w:pos="360"/>
        </w:tabs>
        <w:ind w:left="432" w:hanging="432"/>
        <w:rPr>
          <w:lang w:val="en-GB" w:eastAsia="zh-CN"/>
        </w:rPr>
      </w:pPr>
      <w:bookmarkStart w:id="21" w:name="_Ref66107432"/>
      <w:r w:rsidRPr="00352A9C">
        <w:rPr>
          <w:lang w:val="en-GB" w:eastAsia="zh-CN"/>
        </w:rPr>
        <w:t>38.211</w:t>
      </w:r>
      <w:bookmarkEnd w:id="21"/>
    </w:p>
    <w:p w14:paraId="1D8401C5" w14:textId="7206D00E" w:rsidR="007C56CE" w:rsidRPr="005A033B" w:rsidRDefault="007C56CE" w:rsidP="00352A9C">
      <w:pPr>
        <w:pStyle w:val="References"/>
        <w:tabs>
          <w:tab w:val="clear" w:pos="360"/>
        </w:tabs>
        <w:ind w:left="432" w:hanging="432"/>
        <w:rPr>
          <w:lang w:val="en-GB" w:eastAsia="zh-CN"/>
        </w:rPr>
      </w:pPr>
      <w:bookmarkStart w:id="22" w:name="_Ref66199803"/>
      <w:r w:rsidRPr="00352A9C">
        <w:rPr>
          <w:lang w:val="en-GB" w:eastAsia="zh-CN"/>
        </w:rPr>
        <w:t>38.213</w:t>
      </w:r>
      <w:bookmarkEnd w:id="22"/>
    </w:p>
    <w:p w14:paraId="0CCB72F7" w14:textId="27D4084F" w:rsidR="00CD65A7" w:rsidRPr="00352A9C" w:rsidRDefault="00CD65A7" w:rsidP="00352A9C">
      <w:pPr>
        <w:pStyle w:val="References"/>
        <w:tabs>
          <w:tab w:val="clear" w:pos="360"/>
        </w:tabs>
        <w:ind w:left="432" w:hanging="432"/>
        <w:rPr>
          <w:lang w:val="en-GB" w:eastAsia="zh-CN"/>
        </w:rPr>
      </w:pPr>
      <w:bookmarkStart w:id="23" w:name="_Ref67554463"/>
      <w:r w:rsidRPr="00352A9C">
        <w:rPr>
          <w:lang w:val="en-GB" w:eastAsia="zh-CN"/>
        </w:rPr>
        <w:t>R1-2003842</w:t>
      </w:r>
      <w:r w:rsidR="006E5C4F" w:rsidRPr="00352A9C">
        <w:rPr>
          <w:lang w:val="en-GB" w:eastAsia="zh-CN"/>
        </w:rPr>
        <w:t>, “Feature lead summary for Maintenance of UL Signals and Channels”, Ericsson, RAN1#101, May 25– June 5, 2020</w:t>
      </w:r>
      <w:bookmarkEnd w:id="23"/>
    </w:p>
    <w:p w14:paraId="2564EC34" w14:textId="1844D813" w:rsidR="001A1B64" w:rsidRDefault="001A1B64" w:rsidP="00352A9C">
      <w:pPr>
        <w:pStyle w:val="References"/>
        <w:tabs>
          <w:tab w:val="clear" w:pos="360"/>
        </w:tabs>
        <w:ind w:left="432" w:hanging="432"/>
        <w:rPr>
          <w:lang w:val="en-GB" w:eastAsia="zh-CN"/>
        </w:rPr>
      </w:pPr>
      <w:bookmarkStart w:id="24" w:name="_Ref67303082"/>
      <w:r w:rsidRPr="001A1B64">
        <w:rPr>
          <w:lang w:val="en-GB" w:eastAsia="zh-CN"/>
        </w:rPr>
        <w:t>R1-1803602, “LS on BWP switching delay”, RAN4, Intel, RAN1#92B, Apr. 18-22, 2018.</w:t>
      </w:r>
      <w:bookmarkEnd w:id="24"/>
    </w:p>
    <w:p w14:paraId="24221CCF" w14:textId="4EDFAD3F" w:rsidR="00ED54FE" w:rsidRDefault="00ED54FE" w:rsidP="00352A9C">
      <w:pPr>
        <w:pStyle w:val="References"/>
        <w:tabs>
          <w:tab w:val="clear" w:pos="360"/>
        </w:tabs>
        <w:ind w:left="432" w:hanging="432"/>
        <w:rPr>
          <w:lang w:val="en-GB" w:eastAsia="zh-CN"/>
        </w:rPr>
      </w:pPr>
      <w:bookmarkStart w:id="25" w:name="_Ref67670830"/>
      <w:r>
        <w:rPr>
          <w:lang w:val="en-GB" w:eastAsia="zh-CN"/>
        </w:rPr>
        <w:t>R1-155051, “</w:t>
      </w:r>
      <w:r w:rsidRPr="00ED54FE">
        <w:rPr>
          <w:lang w:val="en-GB" w:eastAsia="zh-CN"/>
        </w:rPr>
        <w:t>Reply LS on retuning time between narrowband regions for MTC</w:t>
      </w:r>
      <w:r>
        <w:rPr>
          <w:lang w:val="en-GB" w:eastAsia="zh-CN"/>
        </w:rPr>
        <w:t>”, Ericsson, RAN1#82B, Oct. 10, 2015.</w:t>
      </w:r>
      <w:bookmarkEnd w:id="25"/>
    </w:p>
    <w:p w14:paraId="1F2885D6" w14:textId="03E8AA15" w:rsidR="00276D8B" w:rsidRDefault="00B32893" w:rsidP="00B32893">
      <w:pPr>
        <w:pStyle w:val="References"/>
        <w:tabs>
          <w:tab w:val="clear" w:pos="360"/>
        </w:tabs>
        <w:ind w:left="432" w:hanging="432"/>
        <w:rPr>
          <w:lang w:val="en-GB" w:eastAsia="zh-CN"/>
        </w:rPr>
      </w:pPr>
      <w:bookmarkStart w:id="26" w:name="_Ref67671266"/>
      <w:r w:rsidRPr="00B32893">
        <w:rPr>
          <w:lang w:val="en-GB" w:eastAsia="zh-CN"/>
        </w:rPr>
        <w:t>R4-1702029, “Reply LS on UE RF Bandwidth Adaptation in NR”, MediaTek, RAN4#82, Feb. 13-17, 2017.</w:t>
      </w:r>
      <w:bookmarkEnd w:id="26"/>
    </w:p>
    <w:p w14:paraId="7E26C1B1" w14:textId="6156260A" w:rsidR="002B6743" w:rsidRDefault="002B6743" w:rsidP="002B6743">
      <w:pPr>
        <w:pStyle w:val="References"/>
        <w:tabs>
          <w:tab w:val="clear" w:pos="360"/>
        </w:tabs>
        <w:ind w:left="432" w:hanging="432"/>
        <w:rPr>
          <w:lang w:val="en-GB" w:eastAsia="zh-CN"/>
        </w:rPr>
      </w:pPr>
      <w:bookmarkStart w:id="27" w:name="_Ref67895364"/>
      <w:r w:rsidRPr="00352A9C">
        <w:rPr>
          <w:lang w:val="en-GB" w:eastAsia="zh-CN"/>
        </w:rPr>
        <w:lastRenderedPageBreak/>
        <w:t>38.</w:t>
      </w:r>
      <w:r>
        <w:rPr>
          <w:lang w:val="en-GB" w:eastAsia="zh-CN"/>
        </w:rPr>
        <w:t>321</w:t>
      </w:r>
      <w:bookmarkEnd w:id="27"/>
    </w:p>
    <w:p w14:paraId="40FE3C61" w14:textId="15AEEF6D" w:rsidR="00E66A48" w:rsidRDefault="00E66A48" w:rsidP="002B6743">
      <w:pPr>
        <w:pStyle w:val="References"/>
        <w:tabs>
          <w:tab w:val="clear" w:pos="360"/>
        </w:tabs>
        <w:ind w:left="432" w:hanging="432"/>
        <w:rPr>
          <w:lang w:val="en-GB" w:eastAsia="zh-CN"/>
        </w:rPr>
      </w:pPr>
      <w:bookmarkStart w:id="28" w:name="_Ref67896245"/>
      <w:r w:rsidRPr="00E66A48">
        <w:rPr>
          <w:lang w:val="en-GB" w:eastAsia="zh-CN"/>
        </w:rPr>
        <w:t>R1-2101852</w:t>
      </w:r>
      <w:r>
        <w:rPr>
          <w:lang w:val="en-GB" w:eastAsia="zh-CN"/>
        </w:rPr>
        <w:t>, “</w:t>
      </w:r>
      <w:r w:rsidRPr="00E66A48">
        <w:rPr>
          <w:lang w:val="en-GB" w:eastAsia="zh-CN"/>
        </w:rPr>
        <w:t>FL summary #4 for UE complexity reduction for RedCap</w:t>
      </w:r>
      <w:r>
        <w:rPr>
          <w:lang w:val="en-GB" w:eastAsia="zh-CN"/>
        </w:rPr>
        <w:t>”, Ericsson, RAN1#104, Jan. 25 - Feb. 5. 2021.</w:t>
      </w:r>
      <w:bookmarkEnd w:id="28"/>
    </w:p>
    <w:p w14:paraId="7323F3AC" w14:textId="79034710" w:rsidR="00615FC7" w:rsidRPr="005A033B" w:rsidRDefault="00615FC7" w:rsidP="002B6743">
      <w:pPr>
        <w:pStyle w:val="References"/>
        <w:tabs>
          <w:tab w:val="clear" w:pos="360"/>
        </w:tabs>
        <w:ind w:left="432" w:hanging="432"/>
        <w:rPr>
          <w:lang w:val="en-GB" w:eastAsia="zh-CN"/>
        </w:rPr>
      </w:pPr>
      <w:bookmarkStart w:id="29" w:name="_Ref68528639"/>
      <w:r w:rsidRPr="00615FC7">
        <w:rPr>
          <w:lang w:val="en-GB" w:eastAsia="zh-CN"/>
        </w:rPr>
        <w:t>R1-1909965</w:t>
      </w:r>
      <w:r>
        <w:rPr>
          <w:lang w:val="en-GB" w:eastAsia="zh-CN"/>
        </w:rPr>
        <w:t>, “</w:t>
      </w:r>
      <w:r w:rsidRPr="00615FC7">
        <w:rPr>
          <w:lang w:val="en-GB" w:eastAsia="zh-CN"/>
        </w:rPr>
        <w:t>LS reply on supported BW for initial BWP</w:t>
      </w:r>
      <w:r>
        <w:rPr>
          <w:lang w:val="en-GB" w:eastAsia="zh-CN"/>
        </w:rPr>
        <w:t>”,</w:t>
      </w:r>
      <w:r w:rsidRPr="00615FC7">
        <w:rPr>
          <w:lang w:val="en-GB" w:eastAsia="zh-CN"/>
        </w:rPr>
        <w:t xml:space="preserve"> RAN4</w:t>
      </w:r>
      <w:r>
        <w:rPr>
          <w:lang w:val="en-GB" w:eastAsia="zh-CN"/>
        </w:rPr>
        <w:t xml:space="preserve">, </w:t>
      </w:r>
      <w:r w:rsidRPr="00615FC7">
        <w:rPr>
          <w:lang w:val="en-GB" w:eastAsia="zh-CN"/>
        </w:rPr>
        <w:t>R</w:t>
      </w:r>
      <w:r>
        <w:rPr>
          <w:lang w:val="en-GB" w:eastAsia="zh-CN"/>
        </w:rPr>
        <w:t>AN</w:t>
      </w:r>
      <w:r w:rsidRPr="00615FC7">
        <w:rPr>
          <w:lang w:val="en-GB" w:eastAsia="zh-CN"/>
        </w:rPr>
        <w:t>1</w:t>
      </w:r>
      <w:r>
        <w:rPr>
          <w:lang w:val="en-GB" w:eastAsia="zh-CN"/>
        </w:rPr>
        <w:t>#</w:t>
      </w:r>
      <w:r w:rsidRPr="00615FC7">
        <w:rPr>
          <w:lang w:val="en-GB" w:eastAsia="zh-CN"/>
        </w:rPr>
        <w:t>98b</w:t>
      </w:r>
      <w:r>
        <w:rPr>
          <w:lang w:val="en-GB" w:eastAsia="zh-CN"/>
        </w:rPr>
        <w:t>, Oct. 14-18, 2019.</w:t>
      </w:r>
      <w:bookmarkEnd w:id="29"/>
    </w:p>
    <w:p w14:paraId="1E020E56" w14:textId="22C60E50" w:rsidR="00F63829" w:rsidRPr="00D35735" w:rsidRDefault="00F63829" w:rsidP="00F63829">
      <w:pPr>
        <w:pStyle w:val="References"/>
        <w:tabs>
          <w:tab w:val="clear" w:pos="360"/>
        </w:tabs>
        <w:ind w:left="432" w:hanging="432"/>
        <w:rPr>
          <w:lang w:val="en-GB" w:eastAsia="zh-CN"/>
        </w:rPr>
      </w:pPr>
      <w:bookmarkStart w:id="30" w:name="_Ref68558229"/>
      <w:r w:rsidRPr="00780665">
        <w:rPr>
          <w:lang w:val="en-GB" w:eastAsia="zh-CN"/>
        </w:rPr>
        <w:t>R1-2102779</w:t>
      </w:r>
      <w:r>
        <w:rPr>
          <w:lang w:val="en-GB" w:eastAsia="zh-CN"/>
        </w:rPr>
        <w:t>, “</w:t>
      </w:r>
      <w:r w:rsidRPr="00780665">
        <w:rPr>
          <w:lang w:val="en-GB" w:eastAsia="zh-CN"/>
        </w:rPr>
        <w:t>RX branch reduction for RedCap UEs</w:t>
      </w:r>
      <w:r>
        <w:rPr>
          <w:lang w:val="en-GB" w:eastAsia="zh-CN"/>
        </w:rPr>
        <w:t xml:space="preserve">”, </w:t>
      </w:r>
      <w:r w:rsidR="001754F5" w:rsidRPr="00780665">
        <w:rPr>
          <w:lang w:val="en-GB" w:eastAsia="zh-CN"/>
        </w:rPr>
        <w:t>F</w:t>
      </w:r>
      <w:r w:rsidR="001754F5">
        <w:rPr>
          <w:lang w:val="en-GB" w:eastAsia="zh-CN"/>
        </w:rPr>
        <w:t>UTUREWEI</w:t>
      </w:r>
      <w:r>
        <w:rPr>
          <w:lang w:val="en-GB" w:eastAsia="zh-CN"/>
        </w:rPr>
        <w:t>,</w:t>
      </w:r>
      <w:r w:rsidRPr="00780665">
        <w:rPr>
          <w:lang w:val="en-GB" w:eastAsia="zh-CN"/>
        </w:rPr>
        <w:t xml:space="preserve"> </w:t>
      </w:r>
      <w:r w:rsidRPr="00D35735">
        <w:rPr>
          <w:lang w:val="en-GB" w:eastAsia="zh-CN"/>
        </w:rPr>
        <w:t>RAN1#104</w:t>
      </w:r>
      <w:r>
        <w:rPr>
          <w:lang w:val="en-GB" w:eastAsia="zh-CN"/>
        </w:rPr>
        <w:t>b, Apr. 12 – 20, 2021.</w:t>
      </w:r>
      <w:bookmarkEnd w:id="30"/>
    </w:p>
    <w:p w14:paraId="68DDEFD6" w14:textId="77777777" w:rsidR="00015A37" w:rsidRPr="004047A8" w:rsidRDefault="00015A37" w:rsidP="00015A37"/>
    <w:p w14:paraId="468CC8DC" w14:textId="77777777" w:rsidR="00015A37" w:rsidRDefault="00015A37" w:rsidP="002F718C">
      <w:pPr>
        <w:rPr>
          <w:lang w:val="en-GB" w:eastAsia="zh-CN"/>
        </w:rPr>
      </w:pPr>
    </w:p>
    <w:p w14:paraId="5CCB6734" w14:textId="77777777" w:rsidR="00D205CC" w:rsidRPr="00F16977" w:rsidRDefault="00D205CC" w:rsidP="002F718C">
      <w:pPr>
        <w:rPr>
          <w:lang w:val="en-GB" w:eastAsia="zh-CN"/>
        </w:rPr>
      </w:pPr>
    </w:p>
    <w:sectPr w:rsidR="00D205CC"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12B33" w14:textId="77777777" w:rsidR="00084B66" w:rsidRDefault="00084B66">
      <w:r>
        <w:separator/>
      </w:r>
    </w:p>
  </w:endnote>
  <w:endnote w:type="continuationSeparator" w:id="0">
    <w:p w14:paraId="27A7F886" w14:textId="77777777" w:rsidR="00084B66" w:rsidRDefault="0008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CEA27" w14:textId="77777777" w:rsidR="00084B66" w:rsidRDefault="00084B66">
      <w:r>
        <w:separator/>
      </w:r>
    </w:p>
  </w:footnote>
  <w:footnote w:type="continuationSeparator" w:id="0">
    <w:p w14:paraId="648D5B06" w14:textId="77777777" w:rsidR="00084B66" w:rsidRDefault="00084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13C2C"/>
    <w:multiLevelType w:val="hybridMultilevel"/>
    <w:tmpl w:val="746CB63C"/>
    <w:lvl w:ilvl="0" w:tplc="762AC9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0FD857A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356F2886"/>
    <w:multiLevelType w:val="hybridMultilevel"/>
    <w:tmpl w:val="C164A78A"/>
    <w:lvl w:ilvl="0" w:tplc="B6E60F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954135"/>
    <w:multiLevelType w:val="hybridMultilevel"/>
    <w:tmpl w:val="3446E580"/>
    <w:lvl w:ilvl="0" w:tplc="7412796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D55C3B"/>
    <w:multiLevelType w:val="hybridMultilevel"/>
    <w:tmpl w:val="10284E34"/>
    <w:lvl w:ilvl="0" w:tplc="EB6C1A32">
      <w:start w:val="4"/>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B68AE"/>
    <w:multiLevelType w:val="hybridMultilevel"/>
    <w:tmpl w:val="86421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28"/>
  </w:num>
  <w:num w:numId="4">
    <w:abstractNumId w:val="32"/>
  </w:num>
  <w:num w:numId="5">
    <w:abstractNumId w:val="17"/>
  </w:num>
  <w:num w:numId="6">
    <w:abstractNumId w:val="6"/>
  </w:num>
  <w:num w:numId="7">
    <w:abstractNumId w:val="7"/>
  </w:num>
  <w:num w:numId="8">
    <w:abstractNumId w:val="25"/>
  </w:num>
  <w:num w:numId="9">
    <w:abstractNumId w:val="24"/>
  </w:num>
  <w:num w:numId="10">
    <w:abstractNumId w:val="2"/>
  </w:num>
  <w:num w:numId="11">
    <w:abstractNumId w:val="21"/>
  </w:num>
  <w:num w:numId="12">
    <w:abstractNumId w:val="3"/>
  </w:num>
  <w:num w:numId="13">
    <w:abstractNumId w:val="0"/>
  </w:num>
  <w:num w:numId="14">
    <w:abstractNumId w:val="19"/>
  </w:num>
  <w:num w:numId="15">
    <w:abstractNumId w:val="9"/>
  </w:num>
  <w:num w:numId="16">
    <w:abstractNumId w:val="26"/>
  </w:num>
  <w:num w:numId="17">
    <w:abstractNumId w:val="33"/>
  </w:num>
  <w:num w:numId="18">
    <w:abstractNumId w:val="8"/>
  </w:num>
  <w:num w:numId="19">
    <w:abstractNumId w:val="1"/>
  </w:num>
  <w:num w:numId="20">
    <w:abstractNumId w:val="30"/>
  </w:num>
  <w:num w:numId="21">
    <w:abstractNumId w:val="15"/>
  </w:num>
  <w:num w:numId="22">
    <w:abstractNumId w:val="1"/>
  </w:num>
  <w:num w:numId="23">
    <w:abstractNumId w:val="11"/>
  </w:num>
  <w:num w:numId="24">
    <w:abstractNumId w:val="13"/>
  </w:num>
  <w:num w:numId="25">
    <w:abstractNumId w:val="23"/>
  </w:num>
  <w:num w:numId="26">
    <w:abstractNumId w:val="29"/>
  </w:num>
  <w:num w:numId="27">
    <w:abstractNumId w:val="35"/>
  </w:num>
  <w:num w:numId="28">
    <w:abstractNumId w:val="20"/>
  </w:num>
  <w:num w:numId="29">
    <w:abstractNumId w:val="31"/>
  </w:num>
  <w:num w:numId="30">
    <w:abstractNumId w:val="10"/>
  </w:num>
  <w:num w:numId="31">
    <w:abstractNumId w:val="34"/>
  </w:num>
  <w:num w:numId="32">
    <w:abstractNumId w:val="5"/>
  </w:num>
  <w:num w:numId="33">
    <w:abstractNumId w:val="36"/>
  </w:num>
  <w:num w:numId="34">
    <w:abstractNumId w:val="4"/>
  </w:num>
  <w:num w:numId="35">
    <w:abstractNumId w:val="14"/>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16"/>
  </w:num>
  <w:num w:numId="40">
    <w:abstractNumId w:val="16"/>
  </w:num>
  <w:num w:numId="41">
    <w:abstractNumId w:val="16"/>
  </w:num>
  <w:num w:numId="42">
    <w:abstractNumId w:val="16"/>
  </w:num>
  <w:num w:numId="4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8CB"/>
    <w:rsid w:val="000020F6"/>
    <w:rsid w:val="00002893"/>
    <w:rsid w:val="00002CB0"/>
    <w:rsid w:val="000033A3"/>
    <w:rsid w:val="00003605"/>
    <w:rsid w:val="00003B0B"/>
    <w:rsid w:val="00003C56"/>
    <w:rsid w:val="00003EC2"/>
    <w:rsid w:val="000040A9"/>
    <w:rsid w:val="000040D7"/>
    <w:rsid w:val="0000451C"/>
    <w:rsid w:val="0000458E"/>
    <w:rsid w:val="0000492C"/>
    <w:rsid w:val="00004AD3"/>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A37"/>
    <w:rsid w:val="00015EFB"/>
    <w:rsid w:val="000162CA"/>
    <w:rsid w:val="000165E2"/>
    <w:rsid w:val="0001678E"/>
    <w:rsid w:val="00016B0E"/>
    <w:rsid w:val="00016EF9"/>
    <w:rsid w:val="000172BE"/>
    <w:rsid w:val="00017519"/>
    <w:rsid w:val="00017531"/>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525F"/>
    <w:rsid w:val="000262A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446"/>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3A2"/>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4822"/>
    <w:rsid w:val="00084B66"/>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B31"/>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A23"/>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0F7"/>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3EB"/>
    <w:rsid w:val="000D78F4"/>
    <w:rsid w:val="000E025B"/>
    <w:rsid w:val="000E07D6"/>
    <w:rsid w:val="000E1380"/>
    <w:rsid w:val="000E18DF"/>
    <w:rsid w:val="000E1A27"/>
    <w:rsid w:val="000E2BD7"/>
    <w:rsid w:val="000E3123"/>
    <w:rsid w:val="000E3DB1"/>
    <w:rsid w:val="000E4761"/>
    <w:rsid w:val="000E48AF"/>
    <w:rsid w:val="000E50F5"/>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09FF"/>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4C8C"/>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F63"/>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260"/>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4F5"/>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3CE"/>
    <w:rsid w:val="001A2C89"/>
    <w:rsid w:val="001A3BB2"/>
    <w:rsid w:val="001A488C"/>
    <w:rsid w:val="001A4965"/>
    <w:rsid w:val="001A5387"/>
    <w:rsid w:val="001A57EE"/>
    <w:rsid w:val="001A5C71"/>
    <w:rsid w:val="001A673E"/>
    <w:rsid w:val="001A76A4"/>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829"/>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3FAF"/>
    <w:rsid w:val="001C40F9"/>
    <w:rsid w:val="001C40FC"/>
    <w:rsid w:val="001C41B6"/>
    <w:rsid w:val="001C458B"/>
    <w:rsid w:val="001C50F9"/>
    <w:rsid w:val="001C542A"/>
    <w:rsid w:val="001C5D4F"/>
    <w:rsid w:val="001C64C0"/>
    <w:rsid w:val="001C67D0"/>
    <w:rsid w:val="001C6822"/>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85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D1C"/>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4ED0"/>
    <w:rsid w:val="002252C6"/>
    <w:rsid w:val="0022565B"/>
    <w:rsid w:val="00225905"/>
    <w:rsid w:val="00225A6A"/>
    <w:rsid w:val="00225AC7"/>
    <w:rsid w:val="00225ACC"/>
    <w:rsid w:val="00225DE1"/>
    <w:rsid w:val="0022727F"/>
    <w:rsid w:val="0022780F"/>
    <w:rsid w:val="00227DBD"/>
    <w:rsid w:val="0023038F"/>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375A1"/>
    <w:rsid w:val="002401F5"/>
    <w:rsid w:val="002407C9"/>
    <w:rsid w:val="00240E54"/>
    <w:rsid w:val="002419CC"/>
    <w:rsid w:val="00241CFB"/>
    <w:rsid w:val="0024208F"/>
    <w:rsid w:val="00242380"/>
    <w:rsid w:val="00242436"/>
    <w:rsid w:val="002427E1"/>
    <w:rsid w:val="0024342B"/>
    <w:rsid w:val="00243E1F"/>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D3B"/>
    <w:rsid w:val="00251F81"/>
    <w:rsid w:val="00252BE0"/>
    <w:rsid w:val="00252FEB"/>
    <w:rsid w:val="00253583"/>
    <w:rsid w:val="00253588"/>
    <w:rsid w:val="00253C1D"/>
    <w:rsid w:val="002546F4"/>
    <w:rsid w:val="00254B1A"/>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689"/>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6A3"/>
    <w:rsid w:val="00276851"/>
    <w:rsid w:val="00276A35"/>
    <w:rsid w:val="00276D8B"/>
    <w:rsid w:val="00276F36"/>
    <w:rsid w:val="0027746E"/>
    <w:rsid w:val="002774DD"/>
    <w:rsid w:val="00277835"/>
    <w:rsid w:val="00277A83"/>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4CA9"/>
    <w:rsid w:val="002859AF"/>
    <w:rsid w:val="00285F67"/>
    <w:rsid w:val="002866AD"/>
    <w:rsid w:val="00286AE7"/>
    <w:rsid w:val="00287243"/>
    <w:rsid w:val="00287552"/>
    <w:rsid w:val="00290266"/>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743"/>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FA2"/>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529"/>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4BF"/>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A9C"/>
    <w:rsid w:val="00352BBC"/>
    <w:rsid w:val="00352F64"/>
    <w:rsid w:val="003530D2"/>
    <w:rsid w:val="0035331A"/>
    <w:rsid w:val="003534E1"/>
    <w:rsid w:val="0035382D"/>
    <w:rsid w:val="00353F59"/>
    <w:rsid w:val="0035463B"/>
    <w:rsid w:val="003546F2"/>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710"/>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728"/>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B3A"/>
    <w:rsid w:val="003C2D21"/>
    <w:rsid w:val="003C3559"/>
    <w:rsid w:val="003C4135"/>
    <w:rsid w:val="003C4503"/>
    <w:rsid w:val="003C52AA"/>
    <w:rsid w:val="003C56F7"/>
    <w:rsid w:val="003C5E6B"/>
    <w:rsid w:val="003C5ED6"/>
    <w:rsid w:val="003C645E"/>
    <w:rsid w:val="003C652F"/>
    <w:rsid w:val="003C6B63"/>
    <w:rsid w:val="003C6B81"/>
    <w:rsid w:val="003C7563"/>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36B"/>
    <w:rsid w:val="00421DCF"/>
    <w:rsid w:val="00421F52"/>
    <w:rsid w:val="00422341"/>
    <w:rsid w:val="004226CC"/>
    <w:rsid w:val="00423392"/>
    <w:rsid w:val="00423622"/>
    <w:rsid w:val="00423641"/>
    <w:rsid w:val="004237F1"/>
    <w:rsid w:val="00423DA5"/>
    <w:rsid w:val="00423EEC"/>
    <w:rsid w:val="00424604"/>
    <w:rsid w:val="00426266"/>
    <w:rsid w:val="00426BFD"/>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756"/>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1F01"/>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8CE"/>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28E1"/>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656"/>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39D3"/>
    <w:rsid w:val="004F407E"/>
    <w:rsid w:val="004F41E5"/>
    <w:rsid w:val="004F517A"/>
    <w:rsid w:val="004F5479"/>
    <w:rsid w:val="004F5800"/>
    <w:rsid w:val="004F5EEE"/>
    <w:rsid w:val="004F6C73"/>
    <w:rsid w:val="004F7156"/>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3BE5"/>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B48"/>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456"/>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24"/>
    <w:rsid w:val="00571BF7"/>
    <w:rsid w:val="00572760"/>
    <w:rsid w:val="00572B31"/>
    <w:rsid w:val="0057320B"/>
    <w:rsid w:val="005736E5"/>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347"/>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33B"/>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A6DB3"/>
    <w:rsid w:val="005B02C1"/>
    <w:rsid w:val="005B0542"/>
    <w:rsid w:val="005B0870"/>
    <w:rsid w:val="005B1277"/>
    <w:rsid w:val="005B1C65"/>
    <w:rsid w:val="005B1C66"/>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1E59"/>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C8A"/>
    <w:rsid w:val="005F0E91"/>
    <w:rsid w:val="005F1498"/>
    <w:rsid w:val="005F1C11"/>
    <w:rsid w:val="005F25A0"/>
    <w:rsid w:val="005F27BF"/>
    <w:rsid w:val="005F2CBE"/>
    <w:rsid w:val="005F3D1F"/>
    <w:rsid w:val="005F4171"/>
    <w:rsid w:val="005F45D1"/>
    <w:rsid w:val="005F46D6"/>
    <w:rsid w:val="005F4B64"/>
    <w:rsid w:val="005F4DD6"/>
    <w:rsid w:val="005F50D8"/>
    <w:rsid w:val="005F53A1"/>
    <w:rsid w:val="005F5879"/>
    <w:rsid w:val="005F6B77"/>
    <w:rsid w:val="005F7487"/>
    <w:rsid w:val="005F753E"/>
    <w:rsid w:val="005F7625"/>
    <w:rsid w:val="006000B7"/>
    <w:rsid w:val="006002C7"/>
    <w:rsid w:val="00600EFB"/>
    <w:rsid w:val="00600F95"/>
    <w:rsid w:val="00601725"/>
    <w:rsid w:val="00601839"/>
    <w:rsid w:val="00602759"/>
    <w:rsid w:val="0060277A"/>
    <w:rsid w:val="00602788"/>
    <w:rsid w:val="00602B7C"/>
    <w:rsid w:val="00603312"/>
    <w:rsid w:val="00603FB5"/>
    <w:rsid w:val="006046BF"/>
    <w:rsid w:val="0060489C"/>
    <w:rsid w:val="00604DC7"/>
    <w:rsid w:val="00604E47"/>
    <w:rsid w:val="00605441"/>
    <w:rsid w:val="006068A8"/>
    <w:rsid w:val="00606970"/>
    <w:rsid w:val="00606A20"/>
    <w:rsid w:val="00606AC4"/>
    <w:rsid w:val="006072C6"/>
    <w:rsid w:val="00607A2E"/>
    <w:rsid w:val="00607AA4"/>
    <w:rsid w:val="00607D8D"/>
    <w:rsid w:val="00607DCE"/>
    <w:rsid w:val="00607F2E"/>
    <w:rsid w:val="006104D0"/>
    <w:rsid w:val="00610D72"/>
    <w:rsid w:val="006130F7"/>
    <w:rsid w:val="00613AF8"/>
    <w:rsid w:val="00613D8E"/>
    <w:rsid w:val="006142E0"/>
    <w:rsid w:val="0061444B"/>
    <w:rsid w:val="00614454"/>
    <w:rsid w:val="00615FC7"/>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37FB"/>
    <w:rsid w:val="00654068"/>
    <w:rsid w:val="00654285"/>
    <w:rsid w:val="0065479C"/>
    <w:rsid w:val="00654B38"/>
    <w:rsid w:val="00654B83"/>
    <w:rsid w:val="00655061"/>
    <w:rsid w:val="0065510C"/>
    <w:rsid w:val="0065565F"/>
    <w:rsid w:val="0065589D"/>
    <w:rsid w:val="00655B63"/>
    <w:rsid w:val="006571F6"/>
    <w:rsid w:val="00660AD2"/>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C61"/>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2C1"/>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3E10"/>
    <w:rsid w:val="006E4156"/>
    <w:rsid w:val="006E445F"/>
    <w:rsid w:val="006E45F3"/>
    <w:rsid w:val="006E4A2F"/>
    <w:rsid w:val="006E4D29"/>
    <w:rsid w:val="006E4ED4"/>
    <w:rsid w:val="006E5C4F"/>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840"/>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BB9"/>
    <w:rsid w:val="00725C99"/>
    <w:rsid w:val="00726036"/>
    <w:rsid w:val="00726110"/>
    <w:rsid w:val="00726279"/>
    <w:rsid w:val="0072692D"/>
    <w:rsid w:val="00726A9B"/>
    <w:rsid w:val="00726D75"/>
    <w:rsid w:val="00726E28"/>
    <w:rsid w:val="00727530"/>
    <w:rsid w:val="0072757A"/>
    <w:rsid w:val="007275F1"/>
    <w:rsid w:val="0073029F"/>
    <w:rsid w:val="007311C4"/>
    <w:rsid w:val="007314DD"/>
    <w:rsid w:val="007314F0"/>
    <w:rsid w:val="00731E7C"/>
    <w:rsid w:val="00732852"/>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6ED"/>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727"/>
    <w:rsid w:val="007908F8"/>
    <w:rsid w:val="0079162F"/>
    <w:rsid w:val="007920D1"/>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6AE4"/>
    <w:rsid w:val="007A7A96"/>
    <w:rsid w:val="007B0085"/>
    <w:rsid w:val="007B03AF"/>
    <w:rsid w:val="007B0D96"/>
    <w:rsid w:val="007B1543"/>
    <w:rsid w:val="007B1AC0"/>
    <w:rsid w:val="007B1B9F"/>
    <w:rsid w:val="007B1C2D"/>
    <w:rsid w:val="007B1C75"/>
    <w:rsid w:val="007B2333"/>
    <w:rsid w:val="007B25A8"/>
    <w:rsid w:val="007B270A"/>
    <w:rsid w:val="007B2D3B"/>
    <w:rsid w:val="007B44D9"/>
    <w:rsid w:val="007B5018"/>
    <w:rsid w:val="007B52CD"/>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70BF"/>
    <w:rsid w:val="007C7BB9"/>
    <w:rsid w:val="007C7ECA"/>
    <w:rsid w:val="007D01D9"/>
    <w:rsid w:val="007D0BB4"/>
    <w:rsid w:val="007D14A5"/>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0E19"/>
    <w:rsid w:val="007E1369"/>
    <w:rsid w:val="007E17A2"/>
    <w:rsid w:val="007E1A1B"/>
    <w:rsid w:val="007E1A88"/>
    <w:rsid w:val="007E27EB"/>
    <w:rsid w:val="007E2D10"/>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718"/>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1806"/>
    <w:rsid w:val="008221B3"/>
    <w:rsid w:val="0082232D"/>
    <w:rsid w:val="0082248E"/>
    <w:rsid w:val="008224EA"/>
    <w:rsid w:val="008228D4"/>
    <w:rsid w:val="00822944"/>
    <w:rsid w:val="00822E2E"/>
    <w:rsid w:val="008235ED"/>
    <w:rsid w:val="00823FB6"/>
    <w:rsid w:val="00824195"/>
    <w:rsid w:val="00824462"/>
    <w:rsid w:val="00824B6F"/>
    <w:rsid w:val="00824E0E"/>
    <w:rsid w:val="00824FDF"/>
    <w:rsid w:val="00825125"/>
    <w:rsid w:val="0082518E"/>
    <w:rsid w:val="00825749"/>
    <w:rsid w:val="008257CC"/>
    <w:rsid w:val="00825F5C"/>
    <w:rsid w:val="00826345"/>
    <w:rsid w:val="00826393"/>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6BCC"/>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4B84"/>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2DC"/>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77D"/>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62F"/>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2BB"/>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3A6E"/>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9AF"/>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7D"/>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592"/>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1D8"/>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A7E1D"/>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25"/>
    <w:rsid w:val="00AB43EC"/>
    <w:rsid w:val="00AB488E"/>
    <w:rsid w:val="00AB4BF4"/>
    <w:rsid w:val="00AB50AF"/>
    <w:rsid w:val="00AB50FC"/>
    <w:rsid w:val="00AB5443"/>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12"/>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563"/>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D7"/>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0A2"/>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2893"/>
    <w:rsid w:val="00B3378D"/>
    <w:rsid w:val="00B33CEE"/>
    <w:rsid w:val="00B340AA"/>
    <w:rsid w:val="00B3455B"/>
    <w:rsid w:val="00B34A9F"/>
    <w:rsid w:val="00B34B80"/>
    <w:rsid w:val="00B3501B"/>
    <w:rsid w:val="00B35CDA"/>
    <w:rsid w:val="00B3690B"/>
    <w:rsid w:val="00B372F2"/>
    <w:rsid w:val="00B37D97"/>
    <w:rsid w:val="00B4050D"/>
    <w:rsid w:val="00B40BC3"/>
    <w:rsid w:val="00B411BD"/>
    <w:rsid w:val="00B413E2"/>
    <w:rsid w:val="00B4155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8D"/>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4B78"/>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3C1E"/>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97E54"/>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421D"/>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036"/>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0AD"/>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074"/>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2EF"/>
    <w:rsid w:val="00C0432F"/>
    <w:rsid w:val="00C0494D"/>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2776D"/>
    <w:rsid w:val="00C30E58"/>
    <w:rsid w:val="00C3109B"/>
    <w:rsid w:val="00C312BD"/>
    <w:rsid w:val="00C31BFF"/>
    <w:rsid w:val="00C32217"/>
    <w:rsid w:val="00C322C1"/>
    <w:rsid w:val="00C327E7"/>
    <w:rsid w:val="00C3400F"/>
    <w:rsid w:val="00C344A0"/>
    <w:rsid w:val="00C34B64"/>
    <w:rsid w:val="00C34C36"/>
    <w:rsid w:val="00C3523F"/>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74B"/>
    <w:rsid w:val="00C4304C"/>
    <w:rsid w:val="00C43315"/>
    <w:rsid w:val="00C43F62"/>
    <w:rsid w:val="00C441EA"/>
    <w:rsid w:val="00C44677"/>
    <w:rsid w:val="00C4476F"/>
    <w:rsid w:val="00C44EA4"/>
    <w:rsid w:val="00C452F5"/>
    <w:rsid w:val="00C45465"/>
    <w:rsid w:val="00C454AC"/>
    <w:rsid w:val="00C454B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87FC7"/>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5A7"/>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5CC"/>
    <w:rsid w:val="00D20B8B"/>
    <w:rsid w:val="00D2162C"/>
    <w:rsid w:val="00D217E9"/>
    <w:rsid w:val="00D21A3C"/>
    <w:rsid w:val="00D21A90"/>
    <w:rsid w:val="00D233F1"/>
    <w:rsid w:val="00D241D2"/>
    <w:rsid w:val="00D24765"/>
    <w:rsid w:val="00D24F94"/>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67D0"/>
    <w:rsid w:val="00D478C4"/>
    <w:rsid w:val="00D47DD0"/>
    <w:rsid w:val="00D50183"/>
    <w:rsid w:val="00D50C49"/>
    <w:rsid w:val="00D51D12"/>
    <w:rsid w:val="00D521B2"/>
    <w:rsid w:val="00D52F94"/>
    <w:rsid w:val="00D5362B"/>
    <w:rsid w:val="00D53C29"/>
    <w:rsid w:val="00D54500"/>
    <w:rsid w:val="00D547F8"/>
    <w:rsid w:val="00D547FE"/>
    <w:rsid w:val="00D55072"/>
    <w:rsid w:val="00D551B5"/>
    <w:rsid w:val="00D555E0"/>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633"/>
    <w:rsid w:val="00D73EBB"/>
    <w:rsid w:val="00D73F90"/>
    <w:rsid w:val="00D74B92"/>
    <w:rsid w:val="00D751FB"/>
    <w:rsid w:val="00D754D6"/>
    <w:rsid w:val="00D75895"/>
    <w:rsid w:val="00D75A68"/>
    <w:rsid w:val="00D75B44"/>
    <w:rsid w:val="00D761AA"/>
    <w:rsid w:val="00D76CC6"/>
    <w:rsid w:val="00D76FAE"/>
    <w:rsid w:val="00D77040"/>
    <w:rsid w:val="00D777D7"/>
    <w:rsid w:val="00D77948"/>
    <w:rsid w:val="00D807ED"/>
    <w:rsid w:val="00D80AB8"/>
    <w:rsid w:val="00D80E06"/>
    <w:rsid w:val="00D80FEC"/>
    <w:rsid w:val="00D81792"/>
    <w:rsid w:val="00D819B1"/>
    <w:rsid w:val="00D81BA1"/>
    <w:rsid w:val="00D822EB"/>
    <w:rsid w:val="00D82494"/>
    <w:rsid w:val="00D830C6"/>
    <w:rsid w:val="00D8315D"/>
    <w:rsid w:val="00D8344F"/>
    <w:rsid w:val="00D8375D"/>
    <w:rsid w:val="00D83898"/>
    <w:rsid w:val="00D83AE9"/>
    <w:rsid w:val="00D83D50"/>
    <w:rsid w:val="00D83F48"/>
    <w:rsid w:val="00D84266"/>
    <w:rsid w:val="00D8489C"/>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C31"/>
    <w:rsid w:val="00DA1D1C"/>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721"/>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18F2"/>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0F7"/>
    <w:rsid w:val="00E64424"/>
    <w:rsid w:val="00E64C99"/>
    <w:rsid w:val="00E64CD3"/>
    <w:rsid w:val="00E64E8F"/>
    <w:rsid w:val="00E66248"/>
    <w:rsid w:val="00E66945"/>
    <w:rsid w:val="00E66A48"/>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C8"/>
    <w:rsid w:val="00E91F04"/>
    <w:rsid w:val="00E91F35"/>
    <w:rsid w:val="00E9259E"/>
    <w:rsid w:val="00E93024"/>
    <w:rsid w:val="00E95BA6"/>
    <w:rsid w:val="00E95DD9"/>
    <w:rsid w:val="00E96728"/>
    <w:rsid w:val="00E96740"/>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4FE"/>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3829"/>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E66"/>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70B"/>
    <w:rsid w:val="00FB6165"/>
    <w:rsid w:val="00FB6D70"/>
    <w:rsid w:val="00FB739C"/>
    <w:rsid w:val="00FB78E7"/>
    <w:rsid w:val="00FC0150"/>
    <w:rsid w:val="00FC035D"/>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6937"/>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4B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pPr>
      <w:jc w:val="center"/>
    </w:pPr>
    <w:rPr>
      <w:b/>
      <w:bCs/>
      <w:sz w:val="20"/>
      <w:szCs w:val="20"/>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52A9C"/>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7526ED"/>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customStyle="1" w:styleId="ReferenceChar">
    <w:name w:val="Reference Char"/>
    <w:link w:val="Reference"/>
    <w:qFormat/>
    <w:locked/>
    <w:rsid w:val="00015A37"/>
    <w:rPr>
      <w:rFonts w:ascii="Arial" w:eastAsiaTheme="minorHAnsi" w:hAnsi="Arial" w:cstheme="minorBidi"/>
      <w:sz w:val="22"/>
      <w:szCs w:val="22"/>
      <w:lang w:eastAsia="zh-CN"/>
    </w:rPr>
  </w:style>
  <w:style w:type="paragraph" w:customStyle="1" w:styleId="Reference">
    <w:name w:val="Reference"/>
    <w:basedOn w:val="BodyText"/>
    <w:link w:val="ReferenceChar"/>
    <w:qFormat/>
    <w:rsid w:val="00015A37"/>
    <w:pPr>
      <w:numPr>
        <w:numId w:val="36"/>
      </w:numPr>
      <w:autoSpaceDE/>
      <w:autoSpaceDN/>
      <w:adjustRightInd/>
      <w:snapToGrid/>
      <w:spacing w:line="256" w:lineRule="auto"/>
    </w:pPr>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695423">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7343458">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1484659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8066591">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4546</Words>
  <Characters>26005</Characters>
  <Application>Microsoft Office Word</Application>
  <DocSecurity>0</DocSecurity>
  <Lines>412</Lines>
  <Paragraphs>207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4</cp:revision>
  <cp:lastPrinted>2007-06-18T23:08:00Z</cp:lastPrinted>
  <dcterms:created xsi:type="dcterms:W3CDTF">2021-04-06T17:36:00Z</dcterms:created>
  <dcterms:modified xsi:type="dcterms:W3CDTF">2021-04-06T18:33:00Z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(3)H38D1b/Is/SFW/2vEQnR2TQAEdiYQdLzXFRBUWL+7DF+s0IZ4s8HC2FeHa0544k1bkEOH5qL
KZKBLzjaV/vmY2/OP7srNPQKLF2/Q7ryacTFCoBtA5ubQP1crxYdHJ/QKs2A5A+93rEHSe5S
ZC1ZW0AACkA70pSMlHfjAFqoVk55fAXrKAVE/hCwzImkN6sixidYKUDIRfazvoi3nR6R9Ayd
ORMQH0M7xnemxacRUR</vt:lpwstr>
  </property>
  <property fmtid="{D5CDD505-2E9C-101B-9397-08002B2CF9AE}" pid="13" name="_2015_ms_pID_725343_00">
    <vt:lpwstr>_2015_ms_pID_725343</vt:lpwstr>
  </property>
  <property fmtid="{D5CDD505-2E9C-101B-9397-08002B2CF9AE}" pid="14" name="_2015_ms_pID_7253431">
    <vt:lpwstr>EpBAfbkfNUWxtB8vtiLdWzckLFoVjGFsWyrKmxVR8m9e85p3eiT61E
3hv+NVmsi3vz2SOv/bzgnxARTI/q3mdgkw4xBybFKyD+68noLCfcEkQuSVQ9DhdSLJi/bU7R
ZQH4FZiAsjuQa3X4i4xcE84rmRZ8x1it6rAxjLypU2LNwrKYCMidYuMglz59QHpshMgD/c3E
/2Ja+pJryiW0WZiAIFMLphQIb/YQw55YqUsr</vt:lpwstr>
  </property>
  <property fmtid="{D5CDD505-2E9C-101B-9397-08002B2CF9AE}" pid="15" name="_2015_ms_pID_7253431_00">
    <vt:lpwstr>_2015_ms_pID_7253431</vt:lpwstr>
  </property>
  <property fmtid="{D5CDD505-2E9C-101B-9397-08002B2CF9AE}" pid="16" name="_2015_ms_pID_7253432">
    <vt:lpwstr>vZD5jCUmmcjM3mVFJl0bXBWMzAHzjCXKlcFR
xr5oh5ptasyfDoopQLJUdN2Dxz4SCDUOC6CXKh+VDIYv/LK3AYk=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