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3785" w14:textId="77777777" w:rsidR="00FD2750" w:rsidRDefault="00FC78D4">
      <w:pPr>
        <w:spacing w:after="0"/>
        <w:ind w:left="1988" w:hanging="1988"/>
        <w:jc w:val="both"/>
        <w:rPr>
          <w:rFonts w:ascii="Arial" w:hAnsi="Arial" w:cs="Arial"/>
          <w:b/>
          <w:sz w:val="24"/>
          <w:szCs w:val="24"/>
        </w:rPr>
      </w:pPr>
      <w:bookmarkStart w:id="0" w:name="_GoBack"/>
      <w:bookmarkEnd w:id="0"/>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1" w:name="_Hlk58583563"/>
      <w:bookmarkStart w:id="2"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1"/>
      <w:r>
        <w:rPr>
          <w:lang w:eastAsia="ja-JP"/>
        </w:rPr>
        <w:t xml:space="preserve">. </w:t>
      </w:r>
    </w:p>
    <w:p w14:paraId="0623674C" w14:textId="77777777" w:rsidR="00FD2750" w:rsidRDefault="00FC78D4">
      <w:pPr>
        <w:pStyle w:val="B1"/>
        <w:spacing w:before="180"/>
        <w:ind w:left="1440" w:firstLine="0"/>
        <w:jc w:val="left"/>
        <w:rPr>
          <w:lang w:eastAsia="ja-JP"/>
        </w:rPr>
      </w:pPr>
      <w:bookmarkStart w:id="3" w:name="_Hlk58594267"/>
      <w:r>
        <w:rPr>
          <w:lang w:eastAsia="ja-JP"/>
        </w:rPr>
        <w:t>Note: Except for timing line related aspects, a common design framework shall be adopted for 480kHz to 960kHz</w:t>
      </w:r>
    </w:p>
    <w:bookmarkEnd w:id="2"/>
    <w:bookmarkEnd w:id="3"/>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4"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4"/>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2: 2000MHz: [9, vivo], [12, Intel], [15, InterDigital],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5"/>
      <w:r>
        <w:rPr>
          <w:rFonts w:ascii="Times New Roman" w:hAnsi="Times New Roman"/>
          <w:szCs w:val="20"/>
          <w:lang w:eastAsia="zh-CN"/>
        </w:rPr>
        <w:t xml:space="preserve">option 3 and 4 </w:t>
      </w:r>
      <w:commentRangeEnd w:id="5"/>
      <w:r w:rsidR="00824CC0">
        <w:rPr>
          <w:rStyle w:val="CommentReference"/>
          <w:rFonts w:ascii="Times New Roman" w:hAnsi="Times New Roman"/>
          <w:lang w:eastAsia="zh-CN"/>
        </w:rPr>
        <w:commentReference w:id="5"/>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bl>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w:t>
      </w:r>
      <w:r>
        <w:lastRenderedPageBreak/>
        <w:t xml:space="preserve">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E92CE3">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bl>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lastRenderedPageBreak/>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6" w:name="_Hlk61849163"/>
            <w:bookmarkStart w:id="7"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6"/>
            <w:bookmarkEnd w:id="7"/>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bl>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E92CE3">
            <w:pPr>
              <w:pStyle w:val="BodyText"/>
              <w:spacing w:before="0" w:after="0" w:line="240" w:lineRule="auto"/>
              <w:rPr>
                <w:rFonts w:ascii="Times New Roman" w:hAnsi="Times New Roman"/>
                <w:szCs w:val="20"/>
                <w:lang w:eastAsia="zh-CN"/>
              </w:rPr>
            </w:pPr>
          </w:p>
          <w:p w14:paraId="72C819FF"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E92CE3">
            <w:pPr>
              <w:pStyle w:val="BodyText"/>
              <w:spacing w:before="0" w:after="0" w:line="240" w:lineRule="auto"/>
              <w:rPr>
                <w:rFonts w:ascii="Times New Roman" w:hAnsi="Times New Roman"/>
                <w:szCs w:val="20"/>
                <w:lang w:eastAsia="zh-CN"/>
              </w:rPr>
            </w:pPr>
          </w:p>
          <w:p w14:paraId="17F1C221"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E92CE3">
            <w:pPr>
              <w:pStyle w:val="BodyText"/>
              <w:spacing w:before="0" w:after="0" w:line="240" w:lineRule="auto"/>
              <w:rPr>
                <w:rFonts w:ascii="Times New Roman" w:hAnsi="Times New Roman"/>
                <w:szCs w:val="20"/>
                <w:lang w:eastAsia="zh-CN"/>
              </w:rPr>
            </w:pPr>
          </w:p>
          <w:p w14:paraId="196C6EBD"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E92CE3">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E92CE3">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bl>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E92CE3">
            <w:pPr>
              <w:pStyle w:val="BodyText"/>
              <w:spacing w:before="0" w:after="0" w:line="240" w:lineRule="auto"/>
              <w:rPr>
                <w:rFonts w:ascii="Times New Roman" w:hAnsi="Times New Roman"/>
                <w:szCs w:val="20"/>
                <w:lang w:eastAsia="zh-CN"/>
              </w:rPr>
            </w:pPr>
          </w:p>
          <w:p w14:paraId="7311DBD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E92CE3">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E92CE3">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E92CE3">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E92CE3">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E92CE3">
            <w:pPr>
              <w:pStyle w:val="BodyText"/>
              <w:spacing w:before="0" w:after="0" w:line="240" w:lineRule="auto"/>
              <w:rPr>
                <w:rFonts w:ascii="Times New Roman" w:hAnsi="Times New Roman"/>
                <w:szCs w:val="20"/>
                <w:lang w:eastAsia="zh-CN"/>
              </w:rPr>
            </w:pPr>
          </w:p>
          <w:p w14:paraId="43C34180"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E92CE3">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E92CE3">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E92CE3">
            <w:pPr>
              <w:pStyle w:val="BodyText"/>
              <w:spacing w:before="0" w:after="0" w:line="240" w:lineRule="auto"/>
              <w:rPr>
                <w:rFonts w:ascii="Times New Roman" w:hAnsi="Times New Roman"/>
                <w:szCs w:val="20"/>
                <w:lang w:eastAsia="zh-CN"/>
              </w:rPr>
            </w:pPr>
          </w:p>
        </w:tc>
      </w:tr>
    </w:tbl>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bl>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E92CE3">
            <w:pPr>
              <w:pStyle w:val="BodyText"/>
              <w:spacing w:before="0" w:after="0" w:line="240" w:lineRule="auto"/>
              <w:rPr>
                <w:rFonts w:ascii="Times New Roman" w:hAnsi="Times New Roman"/>
                <w:szCs w:val="20"/>
                <w:lang w:eastAsia="zh-CN"/>
              </w:rPr>
            </w:pPr>
          </w:p>
          <w:p w14:paraId="5A5FA424"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E92CE3">
            <w:pPr>
              <w:pStyle w:val="BodyText"/>
              <w:spacing w:before="0" w:after="0" w:line="240" w:lineRule="auto"/>
              <w:rPr>
                <w:rFonts w:ascii="Times New Roman" w:hAnsi="Times New Roman"/>
                <w:szCs w:val="20"/>
                <w:lang w:eastAsia="zh-CN"/>
              </w:rPr>
            </w:pPr>
          </w:p>
          <w:p w14:paraId="1604B275"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E92CE3">
            <w:pPr>
              <w:pStyle w:val="BodyText"/>
              <w:spacing w:before="0" w:after="0" w:line="240" w:lineRule="auto"/>
              <w:rPr>
                <w:rFonts w:ascii="Times New Roman" w:hAnsi="Times New Roman"/>
                <w:szCs w:val="20"/>
                <w:lang w:eastAsia="zh-CN"/>
              </w:rPr>
            </w:pPr>
          </w:p>
          <w:p w14:paraId="0090E54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18"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2C46DF">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0"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21" w:history="1">
        <w:r w:rsidR="00FC78D4">
          <w:rPr>
            <w:rStyle w:val="Hyperlink"/>
            <w:rFonts w:asciiTheme="minorHAnsi" w:hAnsiTheme="minorHAnsi" w:cstheme="minorHAnsi"/>
            <w:sz w:val="20"/>
            <w:szCs w:val="20"/>
            <w:lang w:eastAsia="zh-CN"/>
          </w:rPr>
          <w:t>R1-2100077</w:t>
        </w:r>
      </w:hyperlink>
    </w:p>
    <w:p w14:paraId="6CF9042E"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PDSCH/PUSCH enhancments for 52-71GHz band</w:t>
      </w:r>
      <w:r w:rsidR="00FC78D4">
        <w:rPr>
          <w:rFonts w:asciiTheme="minorHAnsi" w:hAnsiTheme="minorHAnsi" w:cstheme="minorHAnsi"/>
          <w:sz w:val="20"/>
          <w:szCs w:val="20"/>
          <w:lang w:eastAsia="zh-CN"/>
        </w:rPr>
        <w:tab/>
        <w:t>Huawei, HiSilicon</w:t>
      </w:r>
    </w:p>
    <w:p w14:paraId="43EB921B"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4"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2C46DF">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ongbo Si/5G PHY Standards /SRA/Engineer/Samsung Electronics" w:date="2021-01-26T19:43:00Z" w:initials="HSS/">
    <w:p w14:paraId="3152B4B5" w14:textId="78624D3A" w:rsidR="00B262B8" w:rsidRDefault="00B262B8">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B59C" w14:textId="77777777" w:rsidR="002C46DF" w:rsidRDefault="002C46DF">
      <w:pPr>
        <w:spacing w:after="0" w:line="240" w:lineRule="auto"/>
      </w:pPr>
      <w:r>
        <w:separator/>
      </w:r>
    </w:p>
  </w:endnote>
  <w:endnote w:type="continuationSeparator" w:id="0">
    <w:p w14:paraId="426EB301" w14:textId="77777777" w:rsidR="002C46DF" w:rsidRDefault="002C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FA9B" w14:textId="77777777" w:rsidR="00B262B8" w:rsidRDefault="00B26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B262B8" w:rsidRDefault="00B262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B7512" w14:textId="4A2DEBE1" w:rsidR="00B262B8" w:rsidRDefault="00B262B8">
    <w:pPr>
      <w:pStyle w:val="Footer"/>
      <w:ind w:right="360"/>
    </w:pPr>
    <w:r>
      <w:rPr>
        <w:rStyle w:val="PageNumber"/>
      </w:rPr>
      <w:fldChar w:fldCharType="begin"/>
    </w:r>
    <w:r>
      <w:rPr>
        <w:rStyle w:val="PageNumber"/>
      </w:rPr>
      <w:instrText xml:space="preserve"> PAGE </w:instrText>
    </w:r>
    <w:r>
      <w:rPr>
        <w:rStyle w:val="PageNumber"/>
      </w:rPr>
      <w:fldChar w:fldCharType="separate"/>
    </w:r>
    <w:r w:rsidR="003E0591">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0591">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EFBD1" w14:textId="77777777" w:rsidR="002C46DF" w:rsidRDefault="002C46DF">
      <w:pPr>
        <w:spacing w:after="0" w:line="240" w:lineRule="auto"/>
      </w:pPr>
      <w:r>
        <w:separator/>
      </w:r>
    </w:p>
  </w:footnote>
  <w:footnote w:type="continuationSeparator" w:id="0">
    <w:p w14:paraId="6499E906" w14:textId="77777777" w:rsidR="002C46DF" w:rsidRDefault="002C4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ED06" w14:textId="77777777" w:rsidR="00B262B8" w:rsidRDefault="00B262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1"/>
  </w:num>
  <w:num w:numId="7">
    <w:abstractNumId w:val="11"/>
  </w:num>
  <w:num w:numId="8">
    <w:abstractNumId w:val="17"/>
  </w:num>
  <w:num w:numId="9">
    <w:abstractNumId w:val="0"/>
  </w:num>
  <w:num w:numId="10">
    <w:abstractNumId w:val="25"/>
  </w:num>
  <w:num w:numId="11">
    <w:abstractNumId w:val="12"/>
  </w:num>
  <w:num w:numId="12">
    <w:abstractNumId w:val="24"/>
  </w:num>
  <w:num w:numId="13">
    <w:abstractNumId w:val="3"/>
  </w:num>
  <w:num w:numId="14">
    <w:abstractNumId w:val="18"/>
  </w:num>
  <w:num w:numId="15">
    <w:abstractNumId w:val="15"/>
  </w:num>
  <w:num w:numId="16">
    <w:abstractNumId w:val="2"/>
  </w:num>
  <w:num w:numId="17">
    <w:abstractNumId w:val="16"/>
  </w:num>
  <w:num w:numId="18">
    <w:abstractNumId w:val="8"/>
  </w:num>
  <w:num w:numId="19">
    <w:abstractNumId w:val="4"/>
  </w:num>
  <w:num w:numId="20">
    <w:abstractNumId w:val="9"/>
  </w:num>
  <w:num w:numId="21">
    <w:abstractNumId w:val="5"/>
  </w:num>
  <w:num w:numId="22">
    <w:abstractNumId w:val="6"/>
  </w:num>
  <w:num w:numId="23">
    <w:abstractNumId w:val="23"/>
  </w:num>
  <w:num w:numId="24">
    <w:abstractNumId w:val="13"/>
  </w:num>
  <w:num w:numId="25">
    <w:abstractNumId w:val="7"/>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4-e/Docs/R1-2100050.zip" TargetMode="External"/><Relationship Id="rId26" Type="http://schemas.openxmlformats.org/officeDocument/2006/relationships/hyperlink" Target="https://www.3gpp.org/ftp/tsg_ran/WG1_RL1/TSGR1_104-e/Docs/R1-2100374.zip" TargetMode="External"/><Relationship Id="rId39" Type="http://schemas.openxmlformats.org/officeDocument/2006/relationships/hyperlink" Target="https://www.3gpp.org/ftp/tsg_ran/WG1_RL1/TSGR1_104-e/Docs/R1-2101198.zip" TargetMode="External"/><Relationship Id="rId21" Type="http://schemas.openxmlformats.org/officeDocument/2006/relationships/hyperlink" Target="https://www.3gpp.org/ftp/tsg_ran/WG1_RL1/TSGR1_104-e/Docs/R1-2100077.zip" TargetMode="External"/><Relationship Id="rId34" Type="http://schemas.openxmlformats.org/officeDocument/2006/relationships/hyperlink" Target="https://www.3gpp.org/ftp/tsg_ran/WG1_RL1/TSGR1_104-e/Docs/R1-2100840.zip" TargetMode="External"/><Relationship Id="rId42" Type="http://schemas.openxmlformats.org/officeDocument/2006/relationships/hyperlink" Target="https://www.3gpp.org/ftp/tsg_ran/WG1_RL1/TSGR1_104-e/Docs/R1-2101330.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05.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261.zip" TargetMode="External"/><Relationship Id="rId32" Type="http://schemas.openxmlformats.org/officeDocument/2006/relationships/hyperlink" Target="https://www.3gpp.org/ftp/tsg_ran/WG1_RL1/TSGR1_104-e/Docs/R1-2100820.zip" TargetMode="External"/><Relationship Id="rId37" Type="http://schemas.openxmlformats.org/officeDocument/2006/relationships/hyperlink" Target="https://www.3gpp.org/ftp/tsg_ran/WG1_RL1/TSGR1_104-e/Docs/R1-2100940.zip" TargetMode="External"/><Relationship Id="rId40" Type="http://schemas.openxmlformats.org/officeDocument/2006/relationships/hyperlink" Target="https://www.3gpp.org/ftp/tsg_ran/WG1_RL1/TSGR1_104-e/Docs/R1-2101310.zip" TargetMode="External"/><Relationship Id="rId45" Type="http://schemas.openxmlformats.org/officeDocument/2006/relationships/hyperlink" Target="https://www.3gpp.org/ftp/tsg_ran/WG1_RL1/TSGR1_104-e/Docs/R1-2101609.zip" TargetMode="External"/><Relationship Id="rId53"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61.zip" TargetMode="External"/><Relationship Id="rId31" Type="http://schemas.openxmlformats.org/officeDocument/2006/relationships/hyperlink" Target="https://www.3gpp.org/ftp/tsg_ran/WG1_RL1/TSGR1_104-e/Docs/R1-2100741.zip" TargetMode="External"/><Relationship Id="rId44" Type="http://schemas.openxmlformats.org/officeDocument/2006/relationships/hyperlink" Target="https://www.3gpp.org/ftp/tsg_ran/WG1_RL1/TSGR1_104-e/Docs/R1-210145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153.zip" TargetMode="External"/><Relationship Id="rId27" Type="http://schemas.openxmlformats.org/officeDocument/2006/relationships/hyperlink" Target="https://www.3gpp.org/ftp/tsg_ran/WG1_RL1/TSGR1_104-e/Docs/R1-2100433.zip" TargetMode="External"/><Relationship Id="rId30" Type="http://schemas.openxmlformats.org/officeDocument/2006/relationships/hyperlink" Target="https://www.3gpp.org/ftp/tsg_ran/WG1_RL1/TSGR1_104-e/Docs/R1-2100647.zip" TargetMode="External"/><Relationship Id="rId35" Type="http://schemas.openxmlformats.org/officeDocument/2006/relationships/hyperlink" Target="https://www.3gpp.org/ftp/tsg_ran/WG1_RL1/TSGR1_104-e/Docs/R1-2100853.zip" TargetMode="External"/><Relationship Id="rId43" Type="http://schemas.openxmlformats.org/officeDocument/2006/relationships/hyperlink" Target="https://www.3gpp.org/ftp/tsg_ran/WG1_RL1/TSGR1_104-e/Docs/R1-2101376.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tsg_ran/WG1_RL1/TSGR1_104-e/Docs/R1-2100300.zip" TargetMode="External"/><Relationship Id="rId33" Type="http://schemas.openxmlformats.org/officeDocument/2006/relationships/hyperlink" Target="https://www.3gpp.org/ftp/tsg_ran/WG1_RL1/TSGR1_104-e/Docs/R1-2101780.zip" TargetMode="External"/><Relationship Id="rId38" Type="http://schemas.openxmlformats.org/officeDocument/2006/relationships/hyperlink" Target="https://www.3gpp.org/ftp/tsg_ran/WG1_RL1/TSGR1_104-e/Docs/R1-2101112.zip" TargetMode="External"/><Relationship Id="rId46" Type="http://schemas.openxmlformats.org/officeDocument/2006/relationships/header" Target="header1.xml"/><Relationship Id="rId20" Type="http://schemas.openxmlformats.org/officeDocument/2006/relationships/hyperlink" Target="https://www.3gpp.org/ftp/tsg_ran/WG1_RL1/TSGR1_104-e/Docs/R1-2101819.zip" TargetMode="External"/><Relationship Id="rId41" Type="http://schemas.openxmlformats.org/officeDocument/2006/relationships/hyperlink" Target="https://www.3gpp.org/ftp/tsg_ran/WG1_RL1/TSGR1_104-e/Docs/R1-210132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4-e/Docs/R1-2100201.zip" TargetMode="External"/><Relationship Id="rId28" Type="http://schemas.openxmlformats.org/officeDocument/2006/relationships/hyperlink" Target="https://www.3gpp.org/ftp/tsg_ran/WG1_RL1/TSGR1_104-e/Docs/R1-2100553.zip" TargetMode="External"/><Relationship Id="rId36" Type="http://schemas.openxmlformats.org/officeDocument/2006/relationships/hyperlink" Target="https://www.3gpp.org/ftp/tsg_ran/WG1_RL1/TSGR1_104-e/Docs/R1-2100896.zip" TargetMode="External"/><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6.xml><?xml version="1.0" encoding="utf-8"?>
<ds:datastoreItem xmlns:ds="http://schemas.openxmlformats.org/officeDocument/2006/customXml" ds:itemID="{8D338801-123F-49B3-9B86-5A372535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Pages>
  <Words>15263</Words>
  <Characters>87004</Characters>
  <Application>Microsoft Office Word</Application>
  <DocSecurity>0</DocSecurity>
  <Lines>725</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102063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David mazzarese</cp:lastModifiedBy>
  <cp:revision>2</cp:revision>
  <cp:lastPrinted>2011-11-09T07:49:00Z</cp:lastPrinted>
  <dcterms:created xsi:type="dcterms:W3CDTF">2021-01-27T05:19:00Z</dcterms:created>
  <dcterms:modified xsi:type="dcterms:W3CDTF">2021-01-27T05:19:00Z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