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BF1EA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w:t>
            </w:r>
            <w:r>
              <w:rPr>
                <w:b/>
                <w:sz w:val="18"/>
                <w:szCs w:val="20"/>
              </w:rPr>
              <w:t xml:space="preserve">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w:t>
            </w:r>
            <w:r>
              <w:rPr>
                <w:b/>
                <w:sz w:val="18"/>
                <w:szCs w:val="20"/>
              </w:rPr>
              <w:t xml:space="preserve">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w:t>
            </w:r>
            <w:r>
              <w:rPr>
                <w:b/>
                <w:sz w:val="18"/>
                <w:szCs w:val="20"/>
              </w:rPr>
              <w:t xml:space="preserve">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w:t>
            </w:r>
            <w:r>
              <w:rPr>
                <w:b/>
                <w:sz w:val="18"/>
                <w:szCs w:val="20"/>
              </w:rPr>
              <w:t xml:space="preserve">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9BAF9DD" w:rsidR="00DE37B1"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112D5" w14:textId="3BB3BF34" w:rsidR="0096531D" w:rsidRPr="00545C01" w:rsidRDefault="0096531D" w:rsidP="006E695F">
            <w:pPr>
              <w:snapToGrid w:val="0"/>
              <w:rPr>
                <w:rFonts w:eastAsia="DengXian"/>
                <w:sz w:val="18"/>
                <w:szCs w:val="18"/>
                <w:lang w:eastAsia="zh-CN"/>
              </w:rPr>
            </w:pP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39052800" w:rsidR="00FB10EC" w:rsidRDefault="00FB10EC" w:rsidP="00FB10EC">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E774" w14:textId="15109A89" w:rsidR="0096531D" w:rsidRPr="0096531D" w:rsidRDefault="0096531D" w:rsidP="0096531D">
            <w:pPr>
              <w:snapToGrid w:val="0"/>
              <w:rPr>
                <w:sz w:val="18"/>
                <w:szCs w:val="18"/>
                <w:lang w:val="en-GB"/>
              </w:rPr>
            </w:pP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430CA1FE" w:rsidR="00C5760D" w:rsidRDefault="00C5760D" w:rsidP="00C5760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15DC649D" w:rsidR="00C5760D" w:rsidRDefault="00C5760D" w:rsidP="00C5760D">
            <w:pPr>
              <w:snapToGrid w:val="0"/>
              <w:rPr>
                <w:sz w:val="18"/>
              </w:rPr>
            </w:pP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227B44E" w:rsidR="00867306" w:rsidRDefault="00867306" w:rsidP="00867306">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F67D" w14:textId="56AF67A3" w:rsidR="00201970" w:rsidRDefault="00201970" w:rsidP="00867306">
            <w:pPr>
              <w:snapToGrid w:val="0"/>
              <w:rPr>
                <w:sz w:val="18"/>
              </w:rPr>
            </w:pP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00261897" w:rsidR="00C5760D" w:rsidRDefault="00C5760D" w:rsidP="00C5760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2CEB" w14:textId="683CD0E0" w:rsidR="00F06C04" w:rsidRDefault="00F06C04" w:rsidP="006939E5">
            <w:pPr>
              <w:snapToGrid w:val="0"/>
              <w:rPr>
                <w:rFonts w:eastAsia="Malgun Gothic"/>
                <w:sz w:val="18"/>
              </w:rPr>
            </w:pP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AF98B33" w:rsidR="00A3510E" w:rsidRDefault="00A3510E" w:rsidP="00A3510E">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5150" w14:textId="508A0BF5" w:rsidR="00A3510E" w:rsidRDefault="00A3510E" w:rsidP="00A3510E">
            <w:pPr>
              <w:snapToGrid w:val="0"/>
              <w:rPr>
                <w:rFonts w:eastAsia="Malgun Gothic"/>
                <w:sz w:val="18"/>
              </w:rPr>
            </w:pP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5A3B376A" w:rsidR="00E10B70" w:rsidRDefault="00E10B70" w:rsidP="00A3510E">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6C3B4" w14:textId="325DF98C" w:rsidR="006658F9" w:rsidRDefault="006658F9" w:rsidP="00240BBA">
            <w:pPr>
              <w:snapToGrid w:val="0"/>
              <w:rPr>
                <w:sz w:val="18"/>
                <w:lang w:eastAsia="zh-CN"/>
              </w:rPr>
            </w:pP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43AA418" w:rsidR="003843EE" w:rsidRDefault="003843EE" w:rsidP="003843EE">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C0C9" w14:textId="2CC9C942" w:rsidR="003843EE" w:rsidRDefault="003843EE" w:rsidP="003843EE">
            <w:pPr>
              <w:snapToGrid w:val="0"/>
              <w:rPr>
                <w:sz w:val="18"/>
                <w:lang w:eastAsia="zh-CN"/>
              </w:rPr>
            </w:pP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2BF538CD" w:rsidR="00747615" w:rsidRDefault="00747615" w:rsidP="00747615">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FAA3" w14:textId="68B6129E" w:rsidR="00747615" w:rsidRDefault="00747615" w:rsidP="00747615">
            <w:pPr>
              <w:snapToGrid w:val="0"/>
              <w:rPr>
                <w:sz w:val="18"/>
                <w:lang w:eastAsia="zh-CN"/>
              </w:rPr>
            </w:pP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5B6850A" w:rsidR="001E4BCF" w:rsidRDefault="001E4BCF" w:rsidP="001E4BCF">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ECED" w14:textId="7990DE8B" w:rsidR="001E4BCF" w:rsidRDefault="001E4BCF" w:rsidP="001E4BCF">
            <w:pPr>
              <w:snapToGrid w:val="0"/>
              <w:rPr>
                <w:sz w:val="18"/>
                <w:lang w:eastAsia="zh-CN"/>
              </w:rPr>
            </w:pP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4735FF33" w:rsidR="007B644B" w:rsidRDefault="007B644B" w:rsidP="001E4BCF">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061AA4EE" w:rsidR="007B644B" w:rsidRDefault="007B644B" w:rsidP="00585124">
            <w:pPr>
              <w:snapToGrid w:val="0"/>
              <w:rPr>
                <w:sz w:val="18"/>
                <w:lang w:eastAsia="zh-CN"/>
              </w:rPr>
            </w:pP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038CE8F6" w:rsidR="009E4E17" w:rsidRDefault="009E4E17" w:rsidP="001E4BCF">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77AF" w14:textId="7D8C1EF7" w:rsidR="009C7024" w:rsidRDefault="009C7024" w:rsidP="009C7024">
            <w:pPr>
              <w:pStyle w:val="NormalWeb"/>
              <w:snapToGrid w:val="0"/>
              <w:spacing w:before="0" w:after="0"/>
              <w:jc w:val="both"/>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Yes</w:t>
            </w:r>
            <w:r w:rsidRPr="006F32F1">
              <w:rPr>
                <w:sz w:val="18"/>
                <w:szCs w:val="20"/>
              </w:rPr>
              <w:t>: Samsung, ZTE</w:t>
            </w:r>
            <w:r w:rsidRPr="006F32F1">
              <w:rPr>
                <w:rFonts w:eastAsia="DengXian"/>
                <w:sz w:val="18"/>
                <w:szCs w:val="20"/>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E3A79D8" w:rsidR="00DE37B1" w:rsidRPr="00213008" w:rsidRDefault="00DE37B1" w:rsidP="0021300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194B" w14:textId="031CAD8C" w:rsidR="00B640FA" w:rsidRPr="00E24894" w:rsidRDefault="00B640FA" w:rsidP="00B640FA">
            <w:pPr>
              <w:rPr>
                <w:sz w:val="18"/>
                <w:szCs w:val="18"/>
              </w:rPr>
            </w:pP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2E9F6FBC" w:rsidR="00C97105" w:rsidRDefault="00C97105" w:rsidP="00C9710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264E8DB7" w:rsidR="00C97105" w:rsidRDefault="00C97105" w:rsidP="00C97105">
            <w:pPr>
              <w:snapToGrid w:val="0"/>
              <w:rPr>
                <w:sz w:val="18"/>
                <w:szCs w:val="18"/>
              </w:rPr>
            </w:pP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31070500" w:rsidR="006E6D66" w:rsidRDefault="006E6D66" w:rsidP="00C97105">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358E595D" w:rsidR="006E6D66" w:rsidRDefault="006E6D66" w:rsidP="006E6D66">
            <w:pPr>
              <w:snapToGrid w:val="0"/>
              <w:rPr>
                <w:sz w:val="18"/>
                <w:lang w:eastAsia="zh-CN"/>
              </w:rPr>
            </w:pP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3D5641E4" w:rsidR="004D4407" w:rsidRDefault="004D4407" w:rsidP="00C97105">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5579E06" w:rsidR="004D4407" w:rsidRDefault="004D4407" w:rsidP="006E6D66">
            <w:pPr>
              <w:snapToGrid w:val="0"/>
              <w:rPr>
                <w:sz w:val="18"/>
                <w:lang w:eastAsia="zh-CN"/>
              </w:rPr>
            </w:pP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4D99D6FF" w:rsidR="00616208" w:rsidRDefault="00616208" w:rsidP="00C97105">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312AAF75" w:rsidR="00616208" w:rsidRDefault="00616208" w:rsidP="006E6D66">
            <w:pPr>
              <w:snapToGrid w:val="0"/>
              <w:rPr>
                <w:sz w:val="18"/>
                <w:lang w:eastAsia="zh-CN"/>
              </w:rPr>
            </w:pP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3D1AA140" w:rsidR="002D7B09" w:rsidRDefault="002D7B09" w:rsidP="002D7B09">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21D9D705" w:rsidR="002D7B09" w:rsidRDefault="002D7B09" w:rsidP="002D7B09">
            <w:pPr>
              <w:snapToGrid w:val="0"/>
              <w:rPr>
                <w:sz w:val="18"/>
                <w:lang w:eastAsia="zh-CN"/>
              </w:rPr>
            </w:pP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41A8E433" w:rsidR="00A3415B" w:rsidRDefault="00A3415B" w:rsidP="002D7B09">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5518DE5D" w:rsidR="00FD1024" w:rsidRDefault="00FD1024" w:rsidP="002D7B09">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07474B1A" w:rsidR="00FD1024" w:rsidRDefault="00FD1024" w:rsidP="00A3415B">
            <w:pPr>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lastRenderedPageBreak/>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w:t>
            </w:r>
            <w:r w:rsidRPr="0009241B">
              <w:rPr>
                <w:rFonts w:ascii="Times" w:eastAsia="Batang" w:hAnsi="Times" w:cs="Times New Roman"/>
                <w:sz w:val="20"/>
                <w:szCs w:val="20"/>
                <w:lang w:val="en-GB" w:eastAsia="en-US"/>
              </w:rPr>
              <w:t xml:space="preserve">egarding application time of the beam indication: if beam indication is received, down-select </w:t>
            </w:r>
            <w:r w:rsidRPr="0009241B">
              <w:rPr>
                <w:rFonts w:ascii="Times" w:eastAsia="Batang" w:hAnsi="Times" w:cs="Times New Roman"/>
                <w:sz w:val="20"/>
                <w:szCs w:val="20"/>
                <w:lang w:val="en-GB" w:eastAsia="en-US"/>
              </w:rPr>
              <w:t>(</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w:t>
            </w:r>
            <w:r w:rsidRPr="0009241B">
              <w:rPr>
                <w:rFonts w:ascii="Times" w:eastAsia="Batang" w:hAnsi="Times" w:cs="Times New Roman"/>
                <w:sz w:val="20"/>
                <w:szCs w:val="20"/>
                <w:lang w:val="en-GB" w:eastAsia="en-US"/>
              </w:rPr>
              <w:t>A</w:t>
            </w:r>
            <w:r w:rsidRPr="0009241B">
              <w:rPr>
                <w:rFonts w:ascii="Times" w:eastAsia="Batang" w:hAnsi="Times" w:cs="Times New Roman"/>
                <w:sz w:val="20"/>
                <w:szCs w:val="20"/>
                <w:lang w:val="en-GB" w:eastAsia="en-US"/>
              </w:rPr>
              <w:t>: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 xml:space="preserve">Alt1B: </w:t>
            </w:r>
            <w:r w:rsidRPr="0075184B">
              <w:rPr>
                <w:rFonts w:ascii="Times" w:eastAsia="Batang" w:hAnsi="Times" w:cs="Times New Roman"/>
                <w:color w:val="3333FF"/>
                <w:sz w:val="20"/>
                <w:szCs w:val="20"/>
                <w:lang w:val="en-GB" w:eastAsia="en-US"/>
              </w:rPr>
              <w:t>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w:t>
            </w:r>
            <w:r w:rsidRPr="0075184B">
              <w:rPr>
                <w:rFonts w:ascii="Times" w:eastAsia="Batang" w:hAnsi="Times"/>
                <w:color w:val="3333FF"/>
                <w:sz w:val="20"/>
                <w:szCs w:val="20"/>
                <w:lang w:val="en-GB" w:eastAsia="en-US"/>
              </w:rPr>
              <w: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478440AC" w:rsidR="00253730" w:rsidRPr="003439B6" w:rsidRDefault="00253730" w:rsidP="0025373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1C320F5E" w:rsidR="00A53246" w:rsidRPr="003439B6" w:rsidRDefault="00A53246" w:rsidP="009F1772">
            <w:pPr>
              <w:snapToGrid w:val="0"/>
              <w:rPr>
                <w:rFonts w:eastAsia="Malgun Gothic"/>
                <w:sz w:val="18"/>
                <w:szCs w:val="18"/>
                <w:lang w:eastAsia="zh-TW"/>
              </w:rPr>
            </w:pP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3BA49C98" w:rsidR="001C4CEB" w:rsidRPr="003439B6" w:rsidRDefault="001C4CEB" w:rsidP="001C4CEB">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37B1D0D0" w:rsidR="001C4CEB" w:rsidRPr="003439B6" w:rsidRDefault="001C4CEB" w:rsidP="00AF382E">
            <w:pPr>
              <w:snapToGrid w:val="0"/>
              <w:rPr>
                <w:rFonts w:eastAsia="Malgun Gothic"/>
                <w:sz w:val="18"/>
                <w:szCs w:val="18"/>
              </w:rPr>
            </w:pP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019B9B41" w:rsidR="00B214EE" w:rsidRPr="003439B6" w:rsidRDefault="00B214EE" w:rsidP="00B214E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87DB3" w14:textId="351855AD" w:rsidR="00B214EE" w:rsidRPr="003439B6" w:rsidRDefault="00B214EE" w:rsidP="00B214EE">
            <w:pPr>
              <w:snapToGrid w:val="0"/>
              <w:rPr>
                <w:rFonts w:eastAsia="Malgun Gothic"/>
                <w:sz w:val="18"/>
                <w:szCs w:val="18"/>
              </w:rPr>
            </w:pP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0E7F7C37" w:rsidR="00035652" w:rsidRPr="003439B6" w:rsidRDefault="00035652" w:rsidP="0003565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499FB214" w:rsidR="00035652" w:rsidRPr="003439B6" w:rsidRDefault="00035652" w:rsidP="00035652">
            <w:pPr>
              <w:snapToGrid w:val="0"/>
              <w:rPr>
                <w:rFonts w:eastAsia="Malgun Gothic"/>
                <w:sz w:val="18"/>
                <w:szCs w:val="18"/>
              </w:rPr>
            </w:pP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4C2A59" w:rsidR="00D57A66" w:rsidRPr="003439B6" w:rsidRDefault="00D57A66" w:rsidP="00D57A66">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4BCD0BD8" w:rsidR="00D57A66" w:rsidRPr="003439B6" w:rsidRDefault="00D57A66" w:rsidP="00D57A66">
            <w:pPr>
              <w:snapToGrid w:val="0"/>
              <w:rPr>
                <w:rFonts w:eastAsia="Malgun Gothic"/>
                <w:b/>
                <w:bCs/>
                <w:sz w:val="18"/>
                <w:szCs w:val="18"/>
              </w:rPr>
            </w:pP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53DCBDD1" w:rsidR="00974A98" w:rsidRPr="003439B6" w:rsidRDefault="00974A98" w:rsidP="00974A98">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90159BF" w:rsidR="00974A98" w:rsidRPr="003439B6" w:rsidRDefault="00974A98" w:rsidP="00974A98">
            <w:pPr>
              <w:snapToGrid w:val="0"/>
              <w:rPr>
                <w:rFonts w:eastAsia="Malgun Gothic"/>
                <w:sz w:val="18"/>
                <w:szCs w:val="18"/>
              </w:rPr>
            </w:pP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B7CB45B" w:rsidR="00CE789E" w:rsidRPr="003439B6" w:rsidRDefault="00CE789E" w:rsidP="00CE789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566AD510" w:rsidR="00CE789E" w:rsidRPr="003439B6" w:rsidRDefault="00CE789E" w:rsidP="00CE789E">
            <w:pPr>
              <w:snapToGrid w:val="0"/>
              <w:rPr>
                <w:rFonts w:eastAsia="Malgun Gothic"/>
                <w:sz w:val="18"/>
                <w:szCs w:val="18"/>
              </w:rPr>
            </w:pP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1739C43E" w:rsidR="00A001D2" w:rsidRPr="003439B6" w:rsidRDefault="00A001D2" w:rsidP="00A001D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5A1FF653" w:rsidR="00A001D2" w:rsidRPr="003439B6" w:rsidRDefault="00A001D2" w:rsidP="00A001D2">
            <w:pPr>
              <w:snapToGrid w:val="0"/>
              <w:rPr>
                <w:rFonts w:eastAsia="Malgun Gothic"/>
                <w:sz w:val="18"/>
                <w:szCs w:val="18"/>
              </w:rPr>
            </w:pP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553EA15" w:rsidR="00F13F00" w:rsidRPr="003439B6" w:rsidRDefault="00F13F00" w:rsidP="00F13F0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B625" w14:textId="1E2A3C31" w:rsidR="00F13F00" w:rsidRPr="003439B6" w:rsidRDefault="00F13F00" w:rsidP="00F13F00">
            <w:pPr>
              <w:snapToGrid w:val="0"/>
              <w:rPr>
                <w:rFonts w:eastAsia="Malgun Gothic"/>
                <w:sz w:val="18"/>
                <w:szCs w:val="18"/>
              </w:rPr>
            </w:pP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5A9AD12D" w:rsidR="007D0FF4" w:rsidRPr="003439B6" w:rsidRDefault="007D0FF4" w:rsidP="00F13F0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0F481002" w:rsidR="002B1AE8" w:rsidRPr="003439B6" w:rsidRDefault="002B1AE8" w:rsidP="002B1AE8">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lastRenderedPageBreak/>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lastRenderedPageBreak/>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C14891">
        <w:tc>
          <w:tcPr>
            <w:tcW w:w="9926" w:type="dxa"/>
          </w:tcPr>
          <w:p w14:paraId="4EA42FA4" w14:textId="77777777" w:rsidR="00F26F0A" w:rsidRPr="00F26F0A" w:rsidRDefault="00F26F0A" w:rsidP="00C14891">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 xml:space="preserve">Interested companies are encouraged to provide their inputs on the </w:t>
            </w:r>
            <w:r w:rsidR="0079640C" w:rsidRPr="0079640C">
              <w:rPr>
                <w:rFonts w:cs="Times New Roman"/>
                <w:color w:val="3333FF"/>
                <w:sz w:val="20"/>
                <w:szCs w:val="20"/>
              </w:rPr>
              <w:t>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 xml:space="preserve">Alt1. A panel entity corresponds to a </w:t>
            </w:r>
            <w:r w:rsidRPr="0079640C">
              <w:rPr>
                <w:color w:val="3333FF"/>
                <w:sz w:val="20"/>
                <w:szCs w:val="20"/>
              </w:rPr>
              <w:t>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w:t>
            </w:r>
            <w:r w:rsidRPr="0079640C">
              <w:rPr>
                <w:color w:val="3333FF"/>
                <w:sz w:val="20"/>
                <w:szCs w:val="20"/>
              </w:rPr>
              <w:t>A panel entity corresponds to a</w:t>
            </w:r>
            <w:r w:rsidRPr="0079640C">
              <w:rPr>
                <w:color w:val="3333FF"/>
                <w:sz w:val="20"/>
                <w:szCs w:val="20"/>
              </w:rPr>
              <w:t xml:space="preserve"> group </w:t>
            </w:r>
            <w:r w:rsidRPr="0079640C">
              <w:rPr>
                <w:color w:val="3333FF"/>
                <w:sz w:val="20"/>
                <w:szCs w:val="20"/>
              </w:rPr>
              <w:t xml:space="preserve">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w:t>
            </w:r>
            <w:bookmarkStart w:id="2" w:name="_GoBack"/>
            <w:bookmarkEnd w:id="2"/>
            <w:r>
              <w:rPr>
                <w:rFonts w:eastAsia="SimSun"/>
                <w:sz w:val="18"/>
                <w:szCs w:val="18"/>
                <w:lang w:eastAsia="zh-CN"/>
              </w:rPr>
              <w:t>se provide answers to the question</w:t>
            </w:r>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197318A" w:rsidR="00783535" w:rsidRDefault="00783535" w:rsidP="002C6A9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5AA1F094" w:rsidR="00783535" w:rsidRDefault="00783535" w:rsidP="002C6A9D">
            <w:pPr>
              <w:snapToGrid w:val="0"/>
              <w:rPr>
                <w:sz w:val="18"/>
                <w:lang w:eastAsia="zh-CN"/>
              </w:rPr>
            </w:pP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68FA236D" w:rsidR="00116133" w:rsidRDefault="00116133" w:rsidP="0011613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70543174" w:rsidR="00116133" w:rsidRDefault="00116133" w:rsidP="00116133">
            <w:pPr>
              <w:snapToGrid w:val="0"/>
              <w:rPr>
                <w:sz w:val="18"/>
                <w:lang w:eastAsia="zh-CN"/>
              </w:rPr>
            </w:pP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0423EC5B" w:rsidR="003B31C4" w:rsidRDefault="003B31C4" w:rsidP="0011613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5F2E0934" w:rsidR="003B31C4" w:rsidRDefault="003B31C4" w:rsidP="00116133">
            <w:pPr>
              <w:snapToGrid w:val="0"/>
              <w:rPr>
                <w:sz w:val="18"/>
                <w:lang w:eastAsia="zh-CN"/>
              </w:rPr>
            </w:pP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36BB99DF" w:rsidR="00550DBA" w:rsidRPr="00550DBA" w:rsidRDefault="00550DBA" w:rsidP="0011613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7221" w14:textId="712F1814" w:rsidR="00550DBA" w:rsidRDefault="00550DBA" w:rsidP="00550DBA">
            <w:pPr>
              <w:snapToGrid w:val="0"/>
              <w:rPr>
                <w:sz w:val="18"/>
                <w:lang w:eastAsia="zh-CN"/>
              </w:rPr>
            </w:pPr>
          </w:p>
        </w:tc>
      </w:tr>
      <w:tr w:rsidR="00F75324"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98DCF47" w:rsidR="00F75324" w:rsidRDefault="00F75324" w:rsidP="00BE6F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560ADB59" w:rsidR="00F75324" w:rsidRDefault="00F75324" w:rsidP="00BE6FA8">
            <w:pPr>
              <w:snapToGrid w:val="0"/>
              <w:rPr>
                <w:sz w:val="18"/>
                <w:lang w:eastAsia="zh-CN"/>
              </w:rPr>
            </w:pPr>
          </w:p>
        </w:tc>
      </w:tr>
      <w:tr w:rsidR="00F87E41"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7FD35FD7" w:rsidR="00F87E41" w:rsidRDefault="00F87E41" w:rsidP="00F87E4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9AA92EC" w:rsidR="00F87E41" w:rsidRDefault="00F87E41" w:rsidP="00F87E41">
            <w:pPr>
              <w:snapToGrid w:val="0"/>
              <w:rPr>
                <w:rFonts w:eastAsia="Malgun Gothic"/>
                <w:sz w:val="18"/>
                <w:szCs w:val="18"/>
              </w:rPr>
            </w:pPr>
          </w:p>
        </w:tc>
      </w:tr>
      <w:tr w:rsidR="00D96261"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7CE8AC44" w:rsidR="00D96261" w:rsidRDefault="00D96261" w:rsidP="00D96261">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6B10C1D3" w:rsidR="00D96261" w:rsidRDefault="00D96261" w:rsidP="00D96261">
            <w:pPr>
              <w:snapToGrid w:val="0"/>
              <w:rPr>
                <w:rFonts w:eastAsia="Malgun Gothic"/>
                <w:sz w:val="18"/>
                <w:szCs w:val="18"/>
              </w:rPr>
            </w:pPr>
          </w:p>
        </w:tc>
      </w:tr>
      <w:tr w:rsidR="00B45D9F"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3DAE86D5" w:rsidR="00B45D9F" w:rsidRDefault="00B45D9F" w:rsidP="002929F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73451E76" w:rsidR="00B45D9F" w:rsidRPr="00282BAD" w:rsidRDefault="00B45D9F" w:rsidP="002929FD">
            <w:pPr>
              <w:snapToGrid w:val="0"/>
              <w:rPr>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lastRenderedPageBreak/>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w:t>
            </w:r>
            <w:r w:rsidR="00702AAC" w:rsidRPr="00702AAC">
              <w:rPr>
                <w:sz w:val="20"/>
                <w:szCs w:val="20"/>
                <w:lang w:eastAsia="zh-CN"/>
              </w:rPr>
              <w:t>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lastRenderedPageBreak/>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6BF89F6D" w:rsidR="00DE37B1" w:rsidRDefault="00DE37B1">
            <w:pPr>
              <w:snapToGrid w:val="0"/>
              <w:rPr>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633E66BF" w:rsidR="00DE37B1" w:rsidRPr="00CF7BB4" w:rsidRDefault="00DE37B1">
            <w:pPr>
              <w:snapToGrid w:val="0"/>
              <w:rPr>
                <w:rFonts w:eastAsia="DengXian"/>
                <w:sz w:val="18"/>
                <w:szCs w:val="18"/>
                <w:lang w:eastAsia="zh-CN"/>
              </w:rPr>
            </w:pP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40EA262C"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3C0903F8" w:rsidR="00203E3A" w:rsidRPr="00557967" w:rsidRDefault="00203E3A" w:rsidP="00203E3A">
            <w:pPr>
              <w:snapToGrid w:val="0"/>
              <w:rPr>
                <w:sz w:val="18"/>
                <w:szCs w:val="20"/>
              </w:rPr>
            </w:pP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04193121"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71C74118" w:rsidR="00E6154C" w:rsidRPr="00E6154C" w:rsidRDefault="00E6154C" w:rsidP="00E6154C">
            <w:pPr>
              <w:snapToGrid w:val="0"/>
              <w:rPr>
                <w:rFonts w:eastAsia="DengXian"/>
                <w:sz w:val="18"/>
                <w:szCs w:val="18"/>
                <w:lang w:eastAsia="zh-CN"/>
              </w:rPr>
            </w:pP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6FEB8609" w:rsidR="00C5760D" w:rsidRPr="00CB7106" w:rsidRDefault="00C5760D" w:rsidP="00C5760D">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557E78C2" w:rsidR="00C5760D" w:rsidRPr="00CB7106" w:rsidRDefault="00C5760D" w:rsidP="00C5760D">
            <w:pPr>
              <w:snapToGrid w:val="0"/>
              <w:rPr>
                <w:rFonts w:eastAsia="Malgun Gothic"/>
                <w:sz w:val="18"/>
                <w:szCs w:val="18"/>
              </w:rPr>
            </w:pP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4C31C108"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39820620" w:rsidR="00951F57" w:rsidRDefault="00951F57" w:rsidP="00951F57">
            <w:pPr>
              <w:snapToGrid w:val="0"/>
              <w:rPr>
                <w:rFonts w:eastAsia="DengXian"/>
                <w:sz w:val="18"/>
                <w:szCs w:val="18"/>
                <w:lang w:eastAsia="zh-CN"/>
              </w:rPr>
            </w:pP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1331AF35" w:rsidR="00A3510E" w:rsidRDefault="00A3510E" w:rsidP="00A3510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4B9A" w14:textId="2BC72DB8" w:rsidR="00A3510E" w:rsidRDefault="00A3510E" w:rsidP="00A3510E">
            <w:pPr>
              <w:snapToGrid w:val="0"/>
              <w:rPr>
                <w:rFonts w:eastAsia="DengXian"/>
                <w:sz w:val="18"/>
                <w:szCs w:val="18"/>
                <w:lang w:eastAsia="zh-CN"/>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38E87B53"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CA357" w14:textId="77777777" w:rsidR="00E03338" w:rsidRDefault="00E03338">
      <w:r>
        <w:separator/>
      </w:r>
    </w:p>
  </w:endnote>
  <w:endnote w:type="continuationSeparator" w:id="0">
    <w:p w14:paraId="755A9966" w14:textId="77777777" w:rsidR="00E03338" w:rsidRDefault="00E0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7BFB2" w14:textId="77777777" w:rsidR="00E03338" w:rsidRDefault="00E03338">
      <w:r>
        <w:rPr>
          <w:color w:val="000000"/>
        </w:rPr>
        <w:separator/>
      </w:r>
    </w:p>
  </w:footnote>
  <w:footnote w:type="continuationSeparator" w:id="0">
    <w:p w14:paraId="7CD16A0D" w14:textId="77777777" w:rsidR="00E03338" w:rsidRDefault="00E03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2"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0"/>
  </w:num>
  <w:num w:numId="2">
    <w:abstractNumId w:val="3"/>
  </w:num>
  <w:num w:numId="3">
    <w:abstractNumId w:val="2"/>
  </w:num>
  <w:num w:numId="4">
    <w:abstractNumId w:val="10"/>
  </w:num>
  <w:num w:numId="5">
    <w:abstractNumId w:val="13"/>
  </w:num>
  <w:num w:numId="6">
    <w:abstractNumId w:val="24"/>
  </w:num>
  <w:num w:numId="7">
    <w:abstractNumId w:val="12"/>
  </w:num>
  <w:num w:numId="8">
    <w:abstractNumId w:val="9"/>
  </w:num>
  <w:num w:numId="9">
    <w:abstractNumId w:val="7"/>
  </w:num>
  <w:num w:numId="10">
    <w:abstractNumId w:val="5"/>
  </w:num>
  <w:num w:numId="11">
    <w:abstractNumId w:val="21"/>
  </w:num>
  <w:num w:numId="12">
    <w:abstractNumId w:val="23"/>
  </w:num>
  <w:num w:numId="13">
    <w:abstractNumId w:val="16"/>
  </w:num>
  <w:num w:numId="14">
    <w:abstractNumId w:val="18"/>
  </w:num>
  <w:num w:numId="15">
    <w:abstractNumId w:val="22"/>
  </w:num>
  <w:num w:numId="16">
    <w:abstractNumId w:val="17"/>
  </w:num>
  <w:num w:numId="17">
    <w:abstractNumId w:val="6"/>
  </w:num>
  <w:num w:numId="18">
    <w:abstractNumId w:val="15"/>
  </w:num>
  <w:num w:numId="19">
    <w:abstractNumId w:val="1"/>
  </w:num>
  <w:num w:numId="20">
    <w:abstractNumId w:val="14"/>
  </w:num>
  <w:num w:numId="21">
    <w:abstractNumId w:val="0"/>
  </w:num>
  <w:num w:numId="22">
    <w:abstractNumId w:val="19"/>
    <w:lvlOverride w:ilvl="0"/>
    <w:lvlOverride w:ilvl="1"/>
    <w:lvlOverride w:ilvl="2"/>
    <w:lvlOverride w:ilvl="3"/>
    <w:lvlOverride w:ilvl="4"/>
    <w:lvlOverride w:ilvl="5"/>
    <w:lvlOverride w:ilvl="6"/>
    <w:lvlOverride w:ilvl="7"/>
    <w:lvlOverride w:ilvl="8"/>
  </w:num>
  <w:num w:numId="23">
    <w:abstractNumId w:val="8"/>
  </w:num>
  <w:num w:numId="24">
    <w:abstractNumId w:val="11"/>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uiPriority w:val="99"/>
    <w:rsid w:val="007C2CAD"/>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92B7B-90DF-4D91-9A4C-EAB3B19E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2411</Words>
  <Characters>13743</Characters>
  <Application>Microsoft Office Word</Application>
  <DocSecurity>0</DocSecurity>
  <Lines>114</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37</cp:revision>
  <dcterms:created xsi:type="dcterms:W3CDTF">2021-02-01T07:58:00Z</dcterms:created>
  <dcterms:modified xsi:type="dcterms:W3CDTF">2021-02-02T03:27:00Z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