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w:t>
      </w:r>
      <w:proofErr w:type="spellStart"/>
      <w:r>
        <w:rPr>
          <w:lang w:val="en-US" w:eastAsia="ja-JP"/>
        </w:rPr>
        <w:t>FeLAA</w:t>
      </w:r>
      <w:proofErr w:type="spellEnd"/>
      <w:r>
        <w:rPr>
          <w:lang w:val="en-US" w:eastAsia="ja-JP"/>
        </w:rPr>
        <w:t xml:space="preserve">.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w:t>
      </w:r>
      <w:proofErr w:type="spellStart"/>
      <w:r w:rsidRPr="000029F0">
        <w:rPr>
          <w:highlight w:val="cyan"/>
          <w:lang w:eastAsia="x-none"/>
        </w:rPr>
        <w:t>unlic</w:t>
      </w:r>
      <w:proofErr w:type="spellEnd"/>
      <w:r w:rsidRPr="000029F0">
        <w:rPr>
          <w:highlight w:val="cyan"/>
          <w:lang w:eastAsia="x-none"/>
        </w:rPr>
        <w:t xml:space="preserve">) by Jan-29 – </w:t>
      </w:r>
      <w:proofErr w:type="spellStart"/>
      <w:r w:rsidRPr="000029F0">
        <w:rPr>
          <w:highlight w:val="cyan"/>
          <w:lang w:eastAsia="x-none"/>
        </w:rPr>
        <w:t>Jinyoung</w:t>
      </w:r>
      <w:proofErr w:type="spellEnd"/>
      <w:r w:rsidRPr="000029F0">
        <w:rPr>
          <w:highlight w:val="cyan"/>
          <w:lang w:eastAsia="x-none"/>
        </w:rPr>
        <w:t xml:space="preserve"> (Samsung)</w:t>
      </w:r>
    </w:p>
    <w:p w14:paraId="10775B3E" w14:textId="1639BCEB" w:rsidR="003F5015" w:rsidRDefault="003F5015" w:rsidP="003F5015">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UCI is always mapped to the 2nd slot of a subframe.</w:t>
      </w:r>
    </w:p>
    <w:p w14:paraId="5E84937B" w14:textId="193DE688" w:rsidR="00957DCD" w:rsidRPr="00B14FCF" w:rsidRDefault="00957DCD" w:rsidP="000770DD">
      <w:pPr>
        <w:ind w:leftChars="200" w:left="400"/>
        <w:rPr>
          <w:rFonts w:ascii="Arial" w:hAnsi="Arial" w:cs="Arial"/>
          <w:i/>
          <w:sz w:val="24"/>
        </w:rPr>
      </w:pPr>
      <w:bookmarkStart w:id="3" w:name="_Toc10818743"/>
      <w:bookmarkStart w:id="4" w:name="_Toc20409153"/>
      <w:bookmarkStart w:id="5" w:name="_Toc29387694"/>
      <w:bookmarkStart w:id="6" w:name="_Toc29388723"/>
      <w:bookmarkStart w:id="7" w:name="_Toc35531598"/>
      <w:bookmarkStart w:id="8" w:name="_Toc44619936"/>
      <w:bookmarkStart w:id="9"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3"/>
      <w:bookmarkEnd w:id="4"/>
      <w:bookmarkEnd w:id="5"/>
      <w:bookmarkEnd w:id="6"/>
      <w:bookmarkEnd w:id="7"/>
      <w:bookmarkEnd w:id="8"/>
      <w:bookmarkEnd w:id="9"/>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the CQI/PMI information is present only on the second slot of the subframe.</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Gulim" w:hAnsi="Arial" w:cs="Arial"/>
          <w:i/>
          <w:sz w:val="24"/>
        </w:rPr>
      </w:pPr>
      <w:bookmarkStart w:id="10" w:name="_Toc10818745"/>
      <w:proofErr w:type="gramStart"/>
      <w:r w:rsidRPr="00B30E88">
        <w:rPr>
          <w:rFonts w:ascii="Arial" w:hAnsi="Arial" w:cs="Arial"/>
          <w:i/>
          <w:sz w:val="24"/>
        </w:rPr>
        <w:t>5.2.2.8  Channel</w:t>
      </w:r>
      <w:proofErr w:type="gramEnd"/>
      <w:r w:rsidRPr="00B30E88">
        <w:rPr>
          <w:rFonts w:ascii="Arial" w:hAnsi="Arial" w:cs="Arial"/>
          <w:i/>
          <w:sz w:val="24"/>
        </w:rPr>
        <w:t xml:space="preserve"> </w:t>
      </w:r>
      <w:proofErr w:type="spellStart"/>
      <w:r w:rsidRPr="00B30E88">
        <w:rPr>
          <w:rFonts w:ascii="Arial" w:hAnsi="Arial" w:cs="Arial"/>
          <w:i/>
          <w:sz w:val="24"/>
        </w:rPr>
        <w:t>interleaver</w:t>
      </w:r>
      <w:bookmarkEnd w:id="10"/>
      <w:proofErr w:type="spellEnd"/>
    </w:p>
    <w:p w14:paraId="0093F2E8" w14:textId="77777777" w:rsidR="00D708BA" w:rsidRPr="00B30E88" w:rsidRDefault="00D708BA" w:rsidP="000770DD">
      <w:pPr>
        <w:ind w:leftChars="200" w:left="400"/>
        <w:rPr>
          <w:i/>
          <w:lang w:val="en-US"/>
        </w:rPr>
      </w:pPr>
      <w:r w:rsidRPr="00B30E88">
        <w:rPr>
          <w:rFonts w:hint="eastAsia"/>
          <w:i/>
        </w:rPr>
        <w:t xml:space="preserve">The channel </w:t>
      </w:r>
      <w:proofErr w:type="spellStart"/>
      <w:r w:rsidRPr="00B30E88">
        <w:rPr>
          <w:rFonts w:hint="eastAsia"/>
          <w:i/>
        </w:rPr>
        <w:t>interleaver</w:t>
      </w:r>
      <w:proofErr w:type="spellEnd"/>
      <w:r w:rsidRPr="00B30E88">
        <w:rPr>
          <w:rFonts w:hint="eastAsia"/>
          <w:i/>
        </w:rPr>
        <w:t xml:space="preserve"> described in this subclause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if the PUSCH is Partial PUSCH Mode 1, the CQI/PMI and RI information are present only on the second slot of the subframe</w:t>
      </w:r>
      <w:r w:rsidRPr="00B30E88">
        <w:rPr>
          <w:i/>
        </w:rPr>
        <w:t xml:space="preserve"> regardless</w:t>
      </w:r>
      <w:r w:rsidRPr="00B30E88">
        <w:rPr>
          <w:i/>
          <w:lang w:eastAsia="zh-CN"/>
        </w:rPr>
        <w:t xml:space="preserve"> of</w:t>
      </w:r>
      <w:r w:rsidRPr="00B30E88">
        <w:rPr>
          <w:i/>
        </w:rPr>
        <w:t xml:space="preserve"> the number of actually transmitted slot(s) for the subframe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r w:rsidR="00184E3C" w:rsidRPr="00184E3C">
        <w:rPr>
          <w:rFonts w:eastAsiaTheme="minorEastAsia"/>
          <w:lang w:val="en-US"/>
        </w:rPr>
        <w:t>sub</w:t>
      </w:r>
      <w:r w:rsidR="00184E3C">
        <w:rPr>
          <w:rFonts w:eastAsiaTheme="minorEastAsia"/>
          <w:lang w:val="en-US"/>
        </w:rPr>
        <w:t>frame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TableGrid"/>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sidRPr="00514C71">
              <w:t xml:space="preserve"> </w:t>
            </w:r>
            <w:r w:rsidRPr="009F7466">
              <w:rPr>
                <w:highlight w:val="yellow"/>
              </w:rPr>
              <w:t xml:space="preserve">from the column with </w:t>
            </w:r>
            <w:r w:rsidRPr="009F7466">
              <w:rPr>
                <w:noProof/>
                <w:position w:val="-20"/>
                <w:highlight w:val="yellow"/>
                <w:lang w:val="en-US" w:eastAsia="zh-CN"/>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eastAsia="zh-CN"/>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eastAsia="zh-CN"/>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eastAsia="zh-CN"/>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 xml:space="preserve">Set </w:t>
            </w:r>
            <w:proofErr w:type="spellStart"/>
            <w:r w:rsidRPr="00514C71">
              <w:t>i</w:t>
            </w:r>
            <w:proofErr w:type="spellEnd"/>
            <w:r w:rsidRPr="00514C71">
              <w:t>,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zh-CN"/>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zh-CN"/>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MS PMincho"/>
                <w:noProof/>
                <w:position w:val="-14"/>
                <w:lang w:val="en-US" w:eastAsia="zh-CN"/>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zh-CN"/>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MS Mincho"/>
              </w:rPr>
              <w:t>k = k + 1</w:t>
            </w:r>
          </w:p>
          <w:p w14:paraId="42570546" w14:textId="77777777" w:rsidR="00EB3FAC" w:rsidRPr="00514C71" w:rsidRDefault="00EB3FAC" w:rsidP="00665D0B">
            <w:pPr>
              <w:pStyle w:val="B4"/>
              <w:spacing w:after="0"/>
              <w:rPr>
                <w:rFonts w:eastAsia="MS Mincho"/>
              </w:rPr>
            </w:pPr>
            <w:r w:rsidRPr="00514C71">
              <w:rPr>
                <w:rFonts w:eastAsia="MS Mincho"/>
              </w:rPr>
              <w:t>end if</w:t>
            </w:r>
          </w:p>
          <w:p w14:paraId="1F721850" w14:textId="77777777" w:rsidR="00EB3FAC" w:rsidRPr="00514C71" w:rsidRDefault="00EB3FAC" w:rsidP="00665D0B">
            <w:pPr>
              <w:pStyle w:val="B4"/>
              <w:spacing w:after="0"/>
              <w:rPr>
                <w:rFonts w:eastAsia="SimSun"/>
              </w:rPr>
            </w:pPr>
            <w:proofErr w:type="spellStart"/>
            <w:r w:rsidRPr="00514C71">
              <w:t>i</w:t>
            </w:r>
            <w:proofErr w:type="spellEnd"/>
            <w:r w:rsidRPr="00514C71">
              <w:t xml:space="preserve">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Caption"/>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1A0EC5"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1A0EC5"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1A0EC5"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subframe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UCI is mapped from symbol #6 in the first slot of subframe</w:t>
      </w:r>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subframe instead</w:t>
      </w:r>
      <w:r w:rsidR="00610DD1">
        <w:rPr>
          <w:rFonts w:eastAsiaTheme="minorEastAsia"/>
          <w:lang w:val="en-US"/>
        </w:rPr>
        <w:t>.</w:t>
      </w:r>
    </w:p>
    <w:tbl>
      <w:tblPr>
        <w:tblStyle w:val="TableGrid"/>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subframe</w:t>
            </w:r>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Gulim" w:hAnsi="Arial" w:cs="Arial"/>
          <w:sz w:val="24"/>
        </w:rPr>
      </w:pPr>
      <w:proofErr w:type="gramStart"/>
      <w:r w:rsidRPr="00C87960">
        <w:rPr>
          <w:rFonts w:ascii="Arial" w:hAnsi="Arial" w:cs="Arial"/>
          <w:sz w:val="24"/>
        </w:rPr>
        <w:t>5.2.2.8  Channel</w:t>
      </w:r>
      <w:proofErr w:type="gramEnd"/>
      <w:r w:rsidRPr="00C87960">
        <w:rPr>
          <w:rFonts w:ascii="Arial" w:hAnsi="Arial" w:cs="Arial"/>
          <w:sz w:val="24"/>
        </w:rPr>
        <w:t xml:space="preserve"> </w:t>
      </w:r>
      <w:proofErr w:type="spellStart"/>
      <w:r w:rsidRPr="00C87960">
        <w:rPr>
          <w:rFonts w:ascii="Arial" w:hAnsi="Arial" w:cs="Arial"/>
          <w:sz w:val="24"/>
        </w:rPr>
        <w:t>interleaver</w:t>
      </w:r>
      <w:proofErr w:type="spellEnd"/>
    </w:p>
    <w:p w14:paraId="6958D706" w14:textId="77777777" w:rsidR="00B14FCF" w:rsidRPr="00C87960" w:rsidRDefault="00B14FCF" w:rsidP="00B14FCF">
      <w:pPr>
        <w:pStyle w:val="B1"/>
        <w:ind w:left="0" w:firstLine="0"/>
        <w:rPr>
          <w:rFonts w:eastAsiaTheme="minorEastAsia"/>
        </w:rPr>
      </w:pPr>
      <w:r>
        <w:rPr>
          <w:color w:val="FF0000"/>
        </w:rPr>
        <w:t xml:space="preserve">============================== </w:t>
      </w:r>
      <w:r w:rsidRPr="006D5098">
        <w:rPr>
          <w:color w:val="FF0000"/>
        </w:rPr>
        <w:t xml:space="preserve"> </w:t>
      </w:r>
      <w:r>
        <w:rPr>
          <w:color w:val="FF0000"/>
        </w:rPr>
        <w:t>Unchanged Text are omitted  ===========================</w:t>
      </w:r>
      <w:r w:rsidRPr="006D5098">
        <w:rPr>
          <w:color w:val="FF0000"/>
        </w:rPr>
        <w:t>====</w:t>
      </w:r>
    </w:p>
    <w:p w14:paraId="103DF34C" w14:textId="77777777" w:rsidR="00B14FCF" w:rsidRPr="000E1328" w:rsidRDefault="00B14FCF"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Pr>
          <w:rFonts w:eastAsia="MS PMincho"/>
        </w:rPr>
        <w:t xml:space="preserve"> from the co</w:t>
      </w:r>
      <w:r w:rsidRPr="000E1328">
        <w:rPr>
          <w:rFonts w:eastAsia="MS PMincho"/>
        </w:rPr>
        <w:t xml:space="preserve">lumn with </w:t>
      </w:r>
      <w:del w:id="11" w:author="Author">
        <w:r w:rsidRPr="000E1328" w:rsidDel="000E1328">
          <w:rPr>
            <w:noProof/>
            <w:position w:val="-20"/>
            <w:lang w:val="en-US" w:eastAsia="zh-CN"/>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MS PMincho"/>
          <w:lang w:val="en-US"/>
        </w:rPr>
        <w:t xml:space="preserve"> </w:t>
      </w:r>
      <m:oMath>
        <m:sSub>
          <m:sSubPr>
            <m:ctrlPr>
              <w:ins w:id="12" w:author="Author">
                <w:rPr>
                  <w:rFonts w:ascii="Cambria Math" w:hAnsi="Cambria Math"/>
                  <w:shd w:val="clear" w:color="auto" w:fill="FFFFFF" w:themeFill="background1"/>
                </w:rPr>
              </w:ins>
            </m:ctrlPr>
          </m:sSubPr>
          <m:e>
            <m:bar>
              <m:barPr>
                <m:ctrlPr>
                  <w:ins w:id="13" w:author="Author">
                    <w:rPr>
                      <w:rFonts w:ascii="Cambria Math" w:hAnsi="Cambria Math"/>
                      <w:shd w:val="clear" w:color="auto" w:fill="FFFFFF" w:themeFill="background1"/>
                    </w:rPr>
                  </w:ins>
                </m:ctrlPr>
              </m:barPr>
              <m:e>
                <m:r>
                  <w:ins w:id="14" w:author="Author">
                    <w:rPr>
                      <w:rFonts w:ascii="Cambria Math" w:hAnsi="Cambria Math"/>
                      <w:shd w:val="clear" w:color="auto" w:fill="FFFFFF" w:themeFill="background1"/>
                    </w:rPr>
                    <m:t>y</m:t>
                  </w:ins>
                </m:r>
              </m:e>
            </m:bar>
          </m:e>
          <m:sub>
            <m:r>
              <w:ins w:id="15" w:author="Author">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eastAsia="zh-CN"/>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eastAsia="zh-CN"/>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6" w:author="Author"/>
          <w:rFonts w:eastAsiaTheme="minorEastAsia"/>
          <w:lang w:eastAsia="ko-KR"/>
        </w:rPr>
      </w:pPr>
      <w:ins w:id="17" w:author="Author">
        <w:r w:rsidRPr="000E1328">
          <w:rPr>
            <w:rFonts w:eastAsiaTheme="minorEastAsia" w:hint="eastAsia"/>
            <w:lang w:eastAsia="ko-KR"/>
          </w:rPr>
          <w:t xml:space="preserve">where </w:t>
        </w:r>
      </w:ins>
      <m:oMath>
        <m:sSup>
          <m:sSupPr>
            <m:ctrlPr>
              <w:ins w:id="18" w:author="Author">
                <w:rPr>
                  <w:rFonts w:ascii="Cambria Math" w:hAnsi="Cambria Math"/>
                  <w:i/>
                  <w:shd w:val="clear" w:color="auto" w:fill="FFFFFF" w:themeFill="background1"/>
                </w:rPr>
              </w:ins>
            </m:ctrlPr>
          </m:sSupPr>
          <m:e>
            <m:r>
              <w:ins w:id="19" w:author="Author">
                <w:rPr>
                  <w:rFonts w:ascii="Cambria Math" w:hAnsi="Cambria Math"/>
                  <w:shd w:val="clear" w:color="auto" w:fill="FFFFFF" w:themeFill="background1"/>
                </w:rPr>
                <m:t>C</m:t>
              </w:ins>
            </m:r>
          </m:e>
          <m:sup>
            <m:r>
              <w:ins w:id="20" w:author="Author">
                <w:rPr>
                  <w:rFonts w:ascii="Cambria Math" w:hAnsi="Cambria Math"/>
                  <w:shd w:val="clear" w:color="auto" w:fill="FFFFFF" w:themeFill="background1"/>
                </w:rPr>
                <m:t>'</m:t>
              </w:ins>
            </m:r>
          </m:sup>
        </m:sSup>
      </m:oMath>
      <w:ins w:id="21" w:author="Author">
        <w:r w:rsidRPr="000E1328">
          <w:rPr>
            <w:rFonts w:eastAsiaTheme="minorEastAsia" w:hint="eastAsia"/>
            <w:shd w:val="clear" w:color="auto" w:fill="FFFFFF" w:themeFill="background1"/>
            <w:lang w:eastAsia="ko-KR"/>
          </w:rPr>
          <w:t>=</w:t>
        </w:r>
      </w:ins>
      <m:oMath>
        <m:r>
          <w:ins w:id="22" w:author="Author">
            <m:rPr>
              <m:sty m:val="p"/>
            </m:rPr>
            <w:rPr>
              <w:rFonts w:ascii="Cambria Math" w:eastAsiaTheme="minorEastAsia" w:hAnsi="Cambria Math"/>
              <w:shd w:val="clear" w:color="auto" w:fill="FFFFFF" w:themeFill="background1"/>
              <w:lang w:eastAsia="ko-KR"/>
            </w:rPr>
            <m:t xml:space="preserve"> </m:t>
          </w:ins>
        </m:r>
        <m:sSubSup>
          <m:sSubSupPr>
            <m:ctrlPr>
              <w:ins w:id="23" w:author="Author">
                <w:rPr>
                  <w:rFonts w:ascii="Cambria Math" w:eastAsia="Malgun Gothic" w:hAnsi="Cambria Math"/>
                  <w:i/>
                  <w:shd w:val="clear" w:color="auto" w:fill="FFFFFF" w:themeFill="background1"/>
                  <w:lang w:val="en-GB" w:eastAsia="ko-KR"/>
                </w:rPr>
              </w:ins>
            </m:ctrlPr>
          </m:sSubSupPr>
          <m:e>
            <m:acc>
              <m:accPr>
                <m:chr m:val="̃"/>
                <m:ctrlPr>
                  <w:ins w:id="24" w:author="Author">
                    <w:rPr>
                      <w:rFonts w:ascii="Cambria Math" w:eastAsia="Malgun Gothic" w:hAnsi="Cambria Math"/>
                      <w:i/>
                      <w:shd w:val="clear" w:color="auto" w:fill="FFFFFF" w:themeFill="background1"/>
                      <w:lang w:val="en-GB" w:eastAsia="ko-KR"/>
                    </w:rPr>
                  </w:ins>
                </m:ctrlPr>
              </m:accPr>
              <m:e>
                <m:r>
                  <w:ins w:id="25" w:author="Author">
                    <w:rPr>
                      <w:rFonts w:ascii="Cambria Math" w:eastAsia="Malgun Gothic" w:hAnsi="Cambria Math"/>
                      <w:shd w:val="clear" w:color="auto" w:fill="FFFFFF" w:themeFill="background1"/>
                      <w:lang w:val="en-GB" w:eastAsia="ko-KR"/>
                    </w:rPr>
                    <m:t>N</m:t>
                  </w:ins>
                </m:r>
              </m:e>
            </m:acc>
          </m:e>
          <m:sub>
            <m:r>
              <w:ins w:id="26" w:author="Author">
                <w:rPr>
                  <w:rFonts w:ascii="Cambria Math" w:eastAsia="Malgun Gothic" w:hAnsi="Cambria Math"/>
                  <w:shd w:val="clear" w:color="auto" w:fill="FFFFFF" w:themeFill="background1"/>
                  <w:lang w:val="en-GB" w:eastAsia="ko-KR"/>
                </w:rPr>
                <m:t>symb</m:t>
              </w:ins>
            </m:r>
          </m:sub>
          <m:sup>
            <m:r>
              <w:ins w:id="27" w:author="Author">
                <w:rPr>
                  <w:rFonts w:ascii="Cambria Math" w:eastAsia="Malgun Gothic" w:hAnsi="Cambria Math"/>
                  <w:shd w:val="clear" w:color="auto" w:fill="FFFFFF" w:themeFill="background1"/>
                  <w:lang w:val="en-GB" w:eastAsia="ko-KR"/>
                </w:rPr>
                <m:t>UL</m:t>
              </w:ins>
            </m:r>
          </m:sup>
        </m:sSubSup>
        <m:r>
          <w:ins w:id="28" w:author="Author">
            <w:rPr>
              <w:rFonts w:ascii="Cambria Math" w:eastAsia="Malgun Gothic" w:hAnsi="Cambria Math"/>
              <w:shd w:val="clear" w:color="auto" w:fill="FFFFFF" w:themeFill="background1"/>
              <w:lang w:val="en-GB" w:eastAsia="ko-KR"/>
            </w:rPr>
            <m:t>/2-</m:t>
          </w:ins>
        </m:r>
        <m:sSubSup>
          <m:sSubSupPr>
            <m:ctrlPr>
              <w:ins w:id="29" w:author="Author">
                <w:rPr>
                  <w:rFonts w:ascii="Cambria Math" w:eastAsia="Malgun Gothic" w:hAnsi="Cambria Math"/>
                  <w:i/>
                  <w:shd w:val="clear" w:color="auto" w:fill="FFFFFF" w:themeFill="background1"/>
                  <w:lang w:val="en-GB" w:eastAsia="ko-KR"/>
                </w:rPr>
              </w:ins>
            </m:ctrlPr>
          </m:sSubSupPr>
          <m:e>
            <m:r>
              <w:ins w:id="30" w:author="Author">
                <w:rPr>
                  <w:rFonts w:ascii="Cambria Math" w:eastAsia="Malgun Gothic" w:hAnsi="Cambria Math"/>
                  <w:shd w:val="clear" w:color="auto" w:fill="FFFFFF" w:themeFill="background1"/>
                  <w:lang w:val="en-GB" w:eastAsia="ko-KR"/>
                </w:rPr>
                <m:t>N</m:t>
              </w:ins>
            </m:r>
          </m:e>
          <m:sub>
            <m:r>
              <w:ins w:id="31" w:author="Author">
                <w:rPr>
                  <w:rFonts w:ascii="Cambria Math" w:eastAsia="Malgun Gothic" w:hAnsi="Cambria Math"/>
                  <w:shd w:val="clear" w:color="auto" w:fill="FFFFFF" w:themeFill="background1"/>
                  <w:lang w:val="en-GB" w:eastAsia="ko-KR"/>
                </w:rPr>
                <m:t>start</m:t>
              </w:ins>
            </m:r>
          </m:sub>
          <m:sup>
            <m:r>
              <w:ins w:id="32" w:author="Author">
                <w:rPr>
                  <w:rFonts w:ascii="Cambria Math" w:eastAsia="Malgun Gothic" w:hAnsi="Cambria Math"/>
                  <w:shd w:val="clear" w:color="auto" w:fill="FFFFFF" w:themeFill="background1"/>
                  <w:lang w:val="en-GB" w:eastAsia="ko-KR"/>
                </w:rPr>
                <m:t>PUSCH</m:t>
              </w:ins>
            </m:r>
          </m:sup>
        </m:sSubSup>
      </m:oMath>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 xml:space="preserve">Set </w:t>
      </w:r>
      <w:proofErr w:type="spellStart"/>
      <w:r w:rsidRPr="000E1328">
        <w:t>i</w:t>
      </w:r>
      <w:proofErr w:type="spellEnd"/>
      <w:r w:rsidRPr="000E1328">
        <w:t>, k to 0.</w:t>
      </w:r>
    </w:p>
    <w:p w14:paraId="174A1253" w14:textId="77777777" w:rsidR="00B14FCF" w:rsidRPr="000E1328" w:rsidRDefault="00B14FCF" w:rsidP="00665D0B">
      <w:pPr>
        <w:pStyle w:val="B3"/>
        <w:spacing w:after="0"/>
      </w:pPr>
      <w:r w:rsidRPr="000E1328">
        <w:t xml:space="preserve">while k &lt; </w:t>
      </w:r>
      <w:r w:rsidRPr="000E1328">
        <w:rPr>
          <w:noProof/>
          <w:position w:val="-14"/>
          <w:lang w:eastAsia="zh-CN"/>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r w:rsidRPr="000E1328">
        <w:t xml:space="preserve">if </w:t>
      </w:r>
      <w:r w:rsidRPr="000E1328">
        <w:rPr>
          <w:noProof/>
          <w:position w:val="-16"/>
          <w:lang w:val="en-US" w:eastAsia="zh-CN"/>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33" w:author="Author">
        <w:r w:rsidRPr="00514C71" w:rsidDel="00B14FCF">
          <w:rPr>
            <w:rFonts w:eastAsia="MS PMincho"/>
            <w:noProof/>
            <w:position w:val="-14"/>
            <w:lang w:val="en-US" w:eastAsia="zh-CN"/>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34" w:author="Author">
                <w:rPr>
                  <w:rFonts w:ascii="Cambria Math" w:hAnsi="Cambria Math"/>
                  <w:i/>
                  <w:shd w:val="clear" w:color="auto" w:fill="FFFFFF" w:themeFill="background1"/>
                </w:rPr>
              </w:ins>
            </m:ctrlPr>
          </m:sSupPr>
          <m:e>
            <m:r>
              <w:ins w:id="35" w:author="Author">
                <w:rPr>
                  <w:rFonts w:ascii="Cambria Math" w:hAnsi="Cambria Math"/>
                  <w:shd w:val="clear" w:color="auto" w:fill="FFFFFF" w:themeFill="background1"/>
                </w:rPr>
                <m:t xml:space="preserve">i mod </m:t>
              </w:ins>
            </m:r>
            <m:sSub>
              <m:sSubPr>
                <m:ctrlPr>
                  <w:ins w:id="36" w:author="Author">
                    <w:rPr>
                      <w:rFonts w:ascii="Cambria Math" w:hAnsi="Cambria Math"/>
                      <w:i/>
                      <w:shd w:val="clear" w:color="auto" w:fill="FFFFFF" w:themeFill="background1"/>
                    </w:rPr>
                  </w:ins>
                </m:ctrlPr>
              </m:sSubPr>
              <m:e>
                <m:r>
                  <w:ins w:id="37" w:author="Author">
                    <w:rPr>
                      <w:rFonts w:ascii="Cambria Math" w:hAnsi="Cambria Math"/>
                      <w:shd w:val="clear" w:color="auto" w:fill="FFFFFF" w:themeFill="background1"/>
                    </w:rPr>
                    <m:t>C</m:t>
                  </w:ins>
                </m:r>
              </m:e>
              <m:sub>
                <m:r>
                  <w:ins w:id="38" w:author="Author">
                    <w:rPr>
                      <w:rFonts w:ascii="Cambria Math" w:hAnsi="Cambria Math"/>
                      <w:shd w:val="clear" w:color="auto" w:fill="FFFFFF" w:themeFill="background1"/>
                    </w:rPr>
                    <m:t>mux</m:t>
                  </w:ins>
                </m:r>
              </m:sub>
            </m:sSub>
            <m:r>
              <w:ins w:id="39" w:author="Author">
                <w:rPr>
                  <w:rFonts w:ascii="Cambria Math" w:hAnsi="Cambria Math"/>
                  <w:shd w:val="clear" w:color="auto" w:fill="FFFFFF" w:themeFill="background1"/>
                </w:rPr>
                <m:t>≥C</m:t>
              </w:ins>
            </m:r>
          </m:e>
          <m:sup>
            <m:r>
              <w:ins w:id="40" w:author="Author">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zh-CN"/>
        </w:rPr>
        <w:lastRenderedPageBreak/>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MS Mincho"/>
        </w:rPr>
        <w:t>k = k + 1</w:t>
      </w:r>
    </w:p>
    <w:p w14:paraId="02830827" w14:textId="77777777" w:rsidR="00B14FCF" w:rsidRPr="00514C71" w:rsidRDefault="00B14FCF" w:rsidP="00665D0B">
      <w:pPr>
        <w:pStyle w:val="B4"/>
        <w:spacing w:after="0"/>
        <w:rPr>
          <w:rFonts w:eastAsia="MS Mincho"/>
        </w:rPr>
      </w:pPr>
      <w:r w:rsidRPr="00514C71">
        <w:rPr>
          <w:rFonts w:eastAsia="MS Mincho"/>
        </w:rPr>
        <w:t>end if</w:t>
      </w:r>
    </w:p>
    <w:p w14:paraId="77DC8506" w14:textId="77777777" w:rsidR="00B14FCF" w:rsidRPr="00514C71" w:rsidRDefault="00B14FCF" w:rsidP="00665D0B">
      <w:pPr>
        <w:pStyle w:val="B4"/>
        <w:spacing w:after="0"/>
        <w:rPr>
          <w:rFonts w:eastAsia="SimSun"/>
        </w:rPr>
      </w:pPr>
      <w:proofErr w:type="spellStart"/>
      <w:r w:rsidRPr="00514C71">
        <w:t>i</w:t>
      </w:r>
      <w:proofErr w:type="spellEnd"/>
      <w:r w:rsidRPr="00514C71">
        <w:t xml:space="preserve"> = i+1</w:t>
      </w:r>
    </w:p>
    <w:p w14:paraId="61E8349C" w14:textId="77777777" w:rsidR="00B14FCF" w:rsidRDefault="00B14FCF" w:rsidP="00665D0B">
      <w:pPr>
        <w:spacing w:after="0"/>
        <w:jc w:val="both"/>
        <w:rPr>
          <w:color w:val="FF0000"/>
        </w:rPr>
      </w:pPr>
      <w:r w:rsidRPr="00514C71">
        <w:t>end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TableGrid"/>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29DD2DC" w:rsidR="00EA490C" w:rsidRDefault="00FE4A6A" w:rsidP="008574B8">
            <w:pPr>
              <w:spacing w:after="60"/>
              <w:jc w:val="both"/>
            </w:pPr>
            <w:r>
              <w:t>Sharp</w:t>
            </w:r>
          </w:p>
        </w:tc>
        <w:tc>
          <w:tcPr>
            <w:tcW w:w="6952" w:type="dxa"/>
          </w:tcPr>
          <w:p w14:paraId="059EEEE9" w14:textId="5ABB9EAB" w:rsidR="00EA490C" w:rsidRPr="00FE4A6A" w:rsidRDefault="00FE4A6A" w:rsidP="00880397">
            <w:pPr>
              <w:spacing w:after="60"/>
              <w:jc w:val="both"/>
              <w:rPr>
                <w:rFonts w:eastAsia="MS Mincho"/>
                <w:lang w:eastAsia="ja-JP"/>
              </w:rPr>
            </w:pPr>
            <w:r>
              <w:rPr>
                <w:rFonts w:eastAsia="MS Mincho" w:hint="eastAsia"/>
                <w:lang w:eastAsia="ja-JP"/>
              </w:rPr>
              <w:t>S</w:t>
            </w:r>
            <w:r>
              <w:rPr>
                <w:rFonts w:eastAsia="MS Mincho"/>
                <w:lang w:eastAsia="ja-JP"/>
              </w:rPr>
              <w:t>upport the TP. The issue is valid, and the proposed change solves the issue.</w:t>
            </w:r>
          </w:p>
        </w:tc>
      </w:tr>
      <w:tr w:rsidR="00EA490C" w14:paraId="16623F1F" w14:textId="77777777" w:rsidTr="00A36522">
        <w:tc>
          <w:tcPr>
            <w:tcW w:w="2065" w:type="dxa"/>
          </w:tcPr>
          <w:p w14:paraId="5F958C51" w14:textId="491CE7A3" w:rsidR="00EA490C" w:rsidRDefault="00A931B8" w:rsidP="008574B8">
            <w:pPr>
              <w:spacing w:after="60"/>
              <w:jc w:val="both"/>
            </w:pPr>
            <w:r>
              <w:rPr>
                <w:rFonts w:hint="eastAsia"/>
              </w:rPr>
              <w:t>LG Electronics</w:t>
            </w:r>
          </w:p>
        </w:tc>
        <w:tc>
          <w:tcPr>
            <w:tcW w:w="6952" w:type="dxa"/>
          </w:tcPr>
          <w:p w14:paraId="0734F9DD" w14:textId="74EF308D" w:rsidR="00EA490C" w:rsidRDefault="00A931B8" w:rsidP="008574B8">
            <w:pPr>
              <w:spacing w:after="60"/>
              <w:jc w:val="both"/>
            </w:pPr>
            <w:r>
              <w:rPr>
                <w:rFonts w:hint="eastAsia"/>
              </w:rPr>
              <w:t>Support the TP.</w:t>
            </w:r>
          </w:p>
        </w:tc>
      </w:tr>
      <w:tr w:rsidR="00EA490C" w14:paraId="33B200BA" w14:textId="77777777" w:rsidTr="00A36522">
        <w:tc>
          <w:tcPr>
            <w:tcW w:w="2065" w:type="dxa"/>
          </w:tcPr>
          <w:p w14:paraId="521C45B4" w14:textId="7F559F18" w:rsidR="00EA490C" w:rsidRDefault="00BF7CD4" w:rsidP="008574B8">
            <w:pPr>
              <w:spacing w:after="60"/>
              <w:jc w:val="both"/>
            </w:pPr>
            <w:r>
              <w:rPr>
                <w:rFonts w:hint="eastAsia"/>
              </w:rPr>
              <w:t>H</w:t>
            </w:r>
            <w:r>
              <w:t xml:space="preserve">uawei, </w:t>
            </w:r>
            <w:proofErr w:type="spellStart"/>
            <w:r>
              <w:t>HiSilicon</w:t>
            </w:r>
            <w:proofErr w:type="spellEnd"/>
          </w:p>
        </w:tc>
        <w:tc>
          <w:tcPr>
            <w:tcW w:w="6952" w:type="dxa"/>
          </w:tcPr>
          <w:p w14:paraId="21AAE222" w14:textId="38923C6A" w:rsidR="00EA490C" w:rsidRDefault="00BF7CD4" w:rsidP="008574B8">
            <w:pPr>
              <w:spacing w:after="60"/>
              <w:jc w:val="both"/>
            </w:pPr>
            <w:r>
              <w:rPr>
                <w:rFonts w:hint="eastAsia"/>
              </w:rPr>
              <w:t>Support the TP.</w:t>
            </w:r>
          </w:p>
        </w:tc>
      </w:tr>
      <w:tr w:rsidR="00EA490C" w14:paraId="51F4D188" w14:textId="77777777" w:rsidTr="00A36522">
        <w:tc>
          <w:tcPr>
            <w:tcW w:w="2065" w:type="dxa"/>
          </w:tcPr>
          <w:p w14:paraId="4ED2B942" w14:textId="4758B8D2" w:rsidR="00EA490C" w:rsidRPr="00314283" w:rsidRDefault="00314283" w:rsidP="008574B8">
            <w:pPr>
              <w:spacing w:after="60"/>
              <w:jc w:val="both"/>
              <w:rPr>
                <w:rFonts w:eastAsia="SimSun"/>
                <w:lang w:eastAsia="zh-CN"/>
              </w:rPr>
            </w:pPr>
            <w:r>
              <w:rPr>
                <w:rFonts w:eastAsia="SimSun" w:hint="eastAsia"/>
                <w:lang w:eastAsia="zh-CN"/>
              </w:rPr>
              <w:t>N</w:t>
            </w:r>
            <w:r>
              <w:rPr>
                <w:rFonts w:eastAsia="SimSun"/>
                <w:lang w:eastAsia="zh-CN"/>
              </w:rPr>
              <w:t>TT DOCOMO</w:t>
            </w:r>
          </w:p>
        </w:tc>
        <w:tc>
          <w:tcPr>
            <w:tcW w:w="6952" w:type="dxa"/>
          </w:tcPr>
          <w:p w14:paraId="051A0314" w14:textId="0C95422E" w:rsidR="00EA490C" w:rsidRPr="00314283" w:rsidRDefault="00314283" w:rsidP="008574B8">
            <w:pPr>
              <w:spacing w:after="60"/>
              <w:jc w:val="both"/>
              <w:rPr>
                <w:rFonts w:eastAsia="SimSun"/>
                <w:lang w:eastAsia="zh-CN"/>
              </w:rPr>
            </w:pPr>
            <w:r>
              <w:rPr>
                <w:rFonts w:eastAsia="SimSun" w:hint="eastAsia"/>
                <w:lang w:eastAsia="zh-CN"/>
              </w:rPr>
              <w:t>Support</w:t>
            </w:r>
            <w:r>
              <w:rPr>
                <w:rFonts w:eastAsia="SimSun"/>
                <w:lang w:eastAsia="zh-CN"/>
              </w:rPr>
              <w:t xml:space="preserve"> the TP.</w:t>
            </w:r>
          </w:p>
        </w:tc>
      </w:tr>
      <w:tr w:rsidR="00EA490C" w14:paraId="342C3166" w14:textId="77777777" w:rsidTr="00A36522">
        <w:tc>
          <w:tcPr>
            <w:tcW w:w="2065" w:type="dxa"/>
          </w:tcPr>
          <w:p w14:paraId="3817423F" w14:textId="41FB0A2F" w:rsidR="00EA490C" w:rsidRDefault="00235988" w:rsidP="008574B8">
            <w:pPr>
              <w:spacing w:after="60"/>
              <w:jc w:val="both"/>
            </w:pPr>
            <w:r>
              <w:t>QC</w:t>
            </w:r>
          </w:p>
        </w:tc>
        <w:tc>
          <w:tcPr>
            <w:tcW w:w="6952" w:type="dxa"/>
          </w:tcPr>
          <w:p w14:paraId="6F553DAE" w14:textId="5EA4E2AD" w:rsidR="00EA490C" w:rsidRDefault="00235988" w:rsidP="008574B8">
            <w:pPr>
              <w:spacing w:after="60"/>
              <w:jc w:val="both"/>
            </w:pPr>
            <w:r>
              <w:t>We are OK with the TP</w:t>
            </w:r>
          </w:p>
        </w:tc>
      </w:tr>
      <w:tr w:rsidR="00EA490C" w14:paraId="48C92BDD" w14:textId="77777777" w:rsidTr="00A36522">
        <w:tc>
          <w:tcPr>
            <w:tcW w:w="2065" w:type="dxa"/>
          </w:tcPr>
          <w:p w14:paraId="1E6FF331" w14:textId="77777777" w:rsidR="00EA490C" w:rsidRDefault="00EA490C" w:rsidP="008574B8">
            <w:pPr>
              <w:spacing w:after="60"/>
              <w:jc w:val="both"/>
            </w:pPr>
          </w:p>
        </w:tc>
        <w:tc>
          <w:tcPr>
            <w:tcW w:w="6952" w:type="dxa"/>
          </w:tcPr>
          <w:p w14:paraId="47D1702C" w14:textId="77777777" w:rsidR="00EA490C" w:rsidRDefault="00EA490C" w:rsidP="008574B8">
            <w:pPr>
              <w:spacing w:after="60"/>
              <w:jc w:val="both"/>
            </w:pPr>
          </w:p>
        </w:tc>
      </w:tr>
      <w:tr w:rsidR="00EA490C" w14:paraId="6362B7E4" w14:textId="77777777" w:rsidTr="00A36522">
        <w:tc>
          <w:tcPr>
            <w:tcW w:w="2065" w:type="dxa"/>
          </w:tcPr>
          <w:p w14:paraId="68A49BFE" w14:textId="77777777" w:rsidR="00EA490C" w:rsidRDefault="00EA490C" w:rsidP="008574B8">
            <w:pPr>
              <w:spacing w:after="60"/>
              <w:jc w:val="both"/>
            </w:pPr>
          </w:p>
        </w:tc>
        <w:tc>
          <w:tcPr>
            <w:tcW w:w="6952" w:type="dxa"/>
          </w:tcPr>
          <w:p w14:paraId="0E014FE5" w14:textId="77777777" w:rsidR="00EA490C" w:rsidRDefault="00EA490C" w:rsidP="008574B8">
            <w:pPr>
              <w:spacing w:after="60"/>
              <w:jc w:val="both"/>
            </w:pP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Heading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 xml:space="preserve">Samsung, Huawei, </w:t>
      </w:r>
      <w:proofErr w:type="spellStart"/>
      <w:r w:rsidRPr="00EA490C">
        <w:rPr>
          <w:rFonts w:eastAsiaTheme="minorEastAsia"/>
          <w:lang w:val="en-US"/>
        </w:rPr>
        <w:t>HiSilicon</w:t>
      </w:r>
      <w:proofErr w:type="spellEnd"/>
    </w:p>
    <w:p w14:paraId="074EB63C" w14:textId="3704C28D" w:rsidR="00EA490C" w:rsidRPr="00EA490C" w:rsidRDefault="00EA490C" w:rsidP="00EA490C">
      <w:pPr>
        <w:spacing w:after="0" w:line="360" w:lineRule="auto"/>
        <w:jc w:val="both"/>
        <w:rPr>
          <w:rFonts w:eastAsia="MS Mincho"/>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 xml:space="preserve">Samsung, Huawei, </w:t>
      </w:r>
      <w:proofErr w:type="spellStart"/>
      <w:r w:rsidRPr="00EA490C">
        <w:rPr>
          <w:rFonts w:eastAsiaTheme="minorEastAsia"/>
          <w:lang w:val="en-US"/>
        </w:rPr>
        <w:t>HiSilicon</w:t>
      </w:r>
      <w:proofErr w:type="spellEnd"/>
    </w:p>
    <w:sectPr w:rsidR="00EA490C" w:rsidRPr="00EA490C" w:rsidSect="00BD4CF4">
      <w:head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38DAE" w14:textId="77777777" w:rsidR="001A0EC5" w:rsidRDefault="001A0EC5" w:rsidP="00083046">
      <w:r>
        <w:separator/>
      </w:r>
    </w:p>
  </w:endnote>
  <w:endnote w:type="continuationSeparator" w:id="0">
    <w:p w14:paraId="194682D2" w14:textId="77777777" w:rsidR="001A0EC5" w:rsidRDefault="001A0EC5"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¹?Å?"/>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¼²"/>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MS PMincho">
    <w:altName w:val="MS Gothic"/>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6D93D" w14:textId="77777777" w:rsidR="001A0EC5" w:rsidRDefault="001A0EC5" w:rsidP="00083046">
      <w:r>
        <w:separator/>
      </w:r>
    </w:p>
  </w:footnote>
  <w:footnote w:type="continuationSeparator" w:id="0">
    <w:p w14:paraId="5234C24C" w14:textId="77777777" w:rsidR="001A0EC5" w:rsidRDefault="001A0EC5"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1333" w14:textId="77777777" w:rsidR="00D62938" w:rsidRDefault="00D6293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0EC5"/>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5988"/>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283"/>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50"/>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089C"/>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1B8"/>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8C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BF7CD4"/>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4A6A"/>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uiPriority w:val="9"/>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 ??,?????,????,Lista1,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72162A"/>
    <w:pPr>
      <w:ind w:leftChars="400" w:left="800"/>
    </w:pPr>
  </w:style>
  <w:style w:type="character" w:customStyle="1" w:styleId="Heading3Char">
    <w:name w:val="Heading 3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uiPriority w:val="99"/>
    <w:qFormat/>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1 Char,—ño’i—Ž Char,¥¡¡¡¡ì¬º¥¹¥È¶ÎÂä Char,ÁÐ³ö¶ÎÂä Char,¥ê¥¹¥È¶ÎÂä Char,1st level - Bullet List Paragraph Char,Paragrafo elenco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18"/>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31"/>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List4"/>
    <w:rsid w:val="00EB3FAC"/>
    <w:pPr>
      <w:ind w:leftChars="0" w:left="1418" w:firstLineChars="0" w:hanging="284"/>
      <w:contextualSpacing w:val="0"/>
    </w:pPr>
    <w:rPr>
      <w:rFonts w:eastAsiaTheme="minorEastAsia"/>
      <w:lang w:eastAsia="en-US"/>
    </w:rPr>
  </w:style>
  <w:style w:type="paragraph" w:customStyle="1" w:styleId="B5">
    <w:name w:val="B5"/>
    <w:basedOn w:val="List5"/>
    <w:rsid w:val="00EB3FAC"/>
    <w:pPr>
      <w:ind w:leftChars="0" w:left="1702" w:firstLineChars="0" w:hanging="284"/>
      <w:contextualSpacing w:val="0"/>
    </w:pPr>
    <w:rPr>
      <w:rFonts w:eastAsiaTheme="minorEastAsia"/>
      <w:lang w:eastAsia="en-US"/>
    </w:rPr>
  </w:style>
  <w:style w:type="paragraph" w:styleId="List4">
    <w:name w:val="List 4"/>
    <w:basedOn w:val="Normal"/>
    <w:rsid w:val="00EB3FAC"/>
    <w:pPr>
      <w:ind w:leftChars="800" w:left="100" w:hangingChars="200" w:hanging="200"/>
      <w:contextualSpacing/>
    </w:pPr>
  </w:style>
  <w:style w:type="paragraph" w:styleId="List5">
    <w:name w:val="List 5"/>
    <w:basedOn w:val="Normal"/>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55E7-4E51-47C2-AE38-DC32D306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2021-01-25T14:00:00Z</dcterms:created>
  <dcterms:modified xsi:type="dcterms:W3CDTF">2021-01-25T14:00:00Z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1611546837</vt:lpwstr>
  </property>
</Properties>
</file>