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7CDC3E86" w:rsidR="00006AB8" w:rsidRDefault="006B0277" w:rsidP="00C6535A">
            <w:pPr>
              <w:rPr>
                <w:lang w:val="en-US" w:eastAsia="ko-KR"/>
              </w:rPr>
            </w:pPr>
            <w:r>
              <w:rPr>
                <w:lang w:val="en-US" w:eastAsia="ko-KR"/>
              </w:rPr>
              <w:t xml:space="preserve">We agree with Samsung. The FR1 TDD Switch should be quite cheap, at around 5%. </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lang w:val="en-US" w:eastAsia="zh-CN"/>
              </w:rPr>
            </w:pPr>
            <w:r>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 xml:space="preserve">a UE that supports multiple bands but operates in a single band at a time, it is </w:t>
            </w:r>
            <w:r w:rsidRPr="002E0033">
              <w:rPr>
                <w:rFonts w:eastAsia="Yu Mincho"/>
                <w:color w:val="C00000"/>
                <w:lang w:val="en-GB"/>
              </w:rPr>
              <w:lastRenderedPageBreak/>
              <w:t>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lang w:val="sv-SE" w:eastAsia="zh-CN"/>
              </w:rPr>
            </w:pP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 xml:space="preserve">2.6 </w:t>
            </w:r>
            <w:r w:rsidRPr="00BD3B04">
              <w:rPr>
                <w:sz w:val="18"/>
                <w:szCs w:val="18"/>
                <w:lang w:val="en-US"/>
              </w:rPr>
              <w:lastRenderedPageBreak/>
              <w:t>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2.3 </w:t>
            </w:r>
            <w:r w:rsidRPr="00BD3B04">
              <w:rPr>
                <w:sz w:val="18"/>
                <w:szCs w:val="18"/>
                <w:lang w:val="en-US"/>
              </w:rPr>
              <w:lastRenderedPageBreak/>
              <w:t>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5.6 </w:t>
            </w:r>
            <w:r w:rsidRPr="00BD3B04">
              <w:rPr>
                <w:sz w:val="18"/>
                <w:szCs w:val="18"/>
                <w:lang w:val="en-US"/>
              </w:rPr>
              <w:lastRenderedPageBreak/>
              <w:t>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lastRenderedPageBreak/>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6D42FBC6" w:rsidR="004C0B33" w:rsidRPr="0040200C" w:rsidRDefault="004C0B33" w:rsidP="004C0B33">
            <w:pPr>
              <w:rPr>
                <w:rFonts w:eastAsia="Yu Mincho"/>
                <w:lang w:eastAsia="ja-JP"/>
              </w:rPr>
            </w:pPr>
            <w:r>
              <w:rPr>
                <w:rStyle w:val="normaltextrun"/>
                <w:sz w:val="22"/>
                <w:szCs w:val="22"/>
              </w:rPr>
              <w:t>N</w:t>
            </w:r>
            <w:r>
              <w:rPr>
                <w:rStyle w:val="eop"/>
                <w:sz w:val="22"/>
                <w:szCs w:val="22"/>
              </w:rPr>
              <w:t> </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8C7" w14:textId="2F820FD3" w:rsidR="004C0B33" w:rsidRPr="007A630A" w:rsidRDefault="007A630A" w:rsidP="004C0B33">
            <w:pPr>
              <w:rPr>
                <w:sz w:val="22"/>
                <w:szCs w:val="22"/>
              </w:rPr>
            </w:pPr>
            <w:r>
              <w:rPr>
                <w:rStyle w:val="normaltextrun"/>
                <w:sz w:val="22"/>
                <w:szCs w:val="22"/>
              </w:rPr>
              <w:t>In terms of capturing the impact, w</w:t>
            </w:r>
            <w:r w:rsidR="004C0B33">
              <w:rPr>
                <w:rStyle w:val="normaltextrun"/>
                <w:sz w:val="22"/>
                <w:szCs w:val="22"/>
              </w:rPr>
              <w:t>e support P1</w:t>
            </w:r>
            <w:r w:rsidR="004C0B33" w:rsidRPr="003A3392">
              <w:rPr>
                <w:rStyle w:val="normaltextrun"/>
                <w:sz w:val="22"/>
                <w:szCs w:val="22"/>
              </w:rPr>
              <w:sym w:font="Wingdings" w:char="F0E0"/>
            </w:r>
            <w:r w:rsidR="004C0B33">
              <w:rPr>
                <w:rStyle w:val="normaltextrun"/>
                <w:sz w:val="22"/>
                <w:szCs w:val="22"/>
              </w:rPr>
              <w:t xml:space="preserve">P11. </w:t>
            </w:r>
            <w:r>
              <w:rPr>
                <w:rStyle w:val="normaltextrun"/>
                <w:sz w:val="22"/>
                <w:szCs w:val="22"/>
              </w:rPr>
              <w:t>We agree with the sentiment from Intel. The list covers the fundamental aspects. At a later time</w:t>
            </w:r>
            <w:r w:rsidR="009E222E">
              <w:rPr>
                <w:rStyle w:val="normaltextrun"/>
                <w:sz w:val="22"/>
                <w:szCs w:val="22"/>
              </w:rPr>
              <w:t>,</w:t>
            </w:r>
            <w:r>
              <w:rPr>
                <w:rStyle w:val="normaltextrun"/>
                <w:sz w:val="22"/>
                <w:szCs w:val="22"/>
              </w:rPr>
              <w:t xml:space="preserve"> we need to agree on some quantitative / qualitative text for the TR.</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lastRenderedPageBreak/>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w:t>
            </w:r>
            <w:r w:rsidR="00A438A0">
              <w:rPr>
                <w:rFonts w:eastAsia="DengXian"/>
                <w:lang w:eastAsia="zh-CN"/>
              </w:rPr>
              <w:lastRenderedPageBreak/>
              <w:t>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lastRenderedPageBreak/>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 xml:space="preserve">For the baseline complexity analysis of </w:t>
            </w:r>
            <w:proofErr w:type="spellStart"/>
            <w:r w:rsidRPr="00F32C3E">
              <w:rPr>
                <w:rFonts w:eastAsia="DengXian"/>
                <w:color w:val="00B050"/>
                <w:sz w:val="20"/>
                <w:szCs w:val="20"/>
                <w:lang w:val="en-GB" w:eastAsia="zh-CN"/>
              </w:rPr>
              <w:t>RedCap</w:t>
            </w:r>
            <w:proofErr w:type="spellEnd"/>
            <w:r w:rsidRPr="00F32C3E">
              <w:rPr>
                <w:rFonts w:eastAsia="DengXian"/>
                <w:color w:val="00B050"/>
                <w:sz w:val="20"/>
                <w:szCs w:val="20"/>
                <w:lang w:val="en-GB" w:eastAsia="zh-CN"/>
              </w:rPr>
              <w:t xml:space="preserve"> UEs, the same maximum </w:t>
            </w:r>
            <w:r w:rsidRPr="00F32C3E">
              <w:rPr>
                <w:rFonts w:eastAsia="DengXian"/>
                <w:color w:val="00B050"/>
                <w:sz w:val="20"/>
                <w:szCs w:val="20"/>
                <w:lang w:val="en-GB" w:eastAsia="zh-CN"/>
              </w:rPr>
              <w:lastRenderedPageBreak/>
              <w:t>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w:t>
            </w:r>
            <w:r>
              <w:rPr>
                <w:lang w:eastAsia="ko-KR"/>
              </w:rPr>
              <w:lastRenderedPageBreak/>
              <w:t xml:space="preserve">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780DAC">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4" o:title=""/>
                </v:shape>
                <o:OLEObject Type="Embed" ProgID="Visio.Drawing.15" ShapeID="_x0000_i1025" DrawAspect="Content" ObjectID="_1659513582"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lastRenderedPageBreak/>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lastRenderedPageBreak/>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5"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5"/>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bl>
    <w:p w14:paraId="5328C481" w14:textId="01C18699" w:rsidR="00ED1746" w:rsidRPr="0020509B"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lastRenderedPageBreak/>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lastRenderedPageBreak/>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lastRenderedPageBreak/>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7633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r w:rsidR="00476334" w:rsidRPr="00F40B2B" w14:paraId="73A1677B"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884B73" w14:textId="2AC8C18A" w:rsidR="00476334" w:rsidRDefault="00476334" w:rsidP="008B0B50">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C32CFA" w14:textId="72B5A651" w:rsidR="00476334" w:rsidRDefault="00476334" w:rsidP="008B0B50">
            <w:pPr>
              <w:rPr>
                <w:rFonts w:eastAsia="DengXian"/>
                <w:lang w:eastAsia="zh-CN"/>
              </w:rPr>
            </w:pPr>
            <w:r>
              <w:rPr>
                <w:rFonts w:eastAsia="Yu Mincho"/>
                <w:lang w:eastAsia="ja-JP"/>
              </w:rPr>
              <w:t>We are fine with this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lastRenderedPageBreak/>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7633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r w:rsidR="00476334" w:rsidRPr="00F40B2B" w14:paraId="4B19E906"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AB1AE4" w14:textId="3C6C2047" w:rsidR="00476334" w:rsidRDefault="00476334" w:rsidP="008B0B50">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093371F3" w14:textId="77777777" w:rsidR="00476334" w:rsidRPr="00007711" w:rsidRDefault="00476334"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5A737F2" w14:textId="1B1F20B5" w:rsidR="00476334" w:rsidRDefault="00476334" w:rsidP="008B0B50">
            <w:pPr>
              <w:rPr>
                <w:rFonts w:eastAsia="DengXian"/>
                <w:lang w:eastAsia="zh-CN"/>
              </w:rPr>
            </w:pPr>
            <w:r>
              <w:rPr>
                <w:rFonts w:eastAsia="DengXian"/>
                <w:lang w:eastAsia="zh-CN"/>
              </w:rPr>
              <w:t>Agree for further progress</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 xml:space="preserve">Receiver processing </w:t>
            </w:r>
            <w:r w:rsidRPr="00FF5862">
              <w:rPr>
                <w:rFonts w:asciiTheme="minorHAnsi" w:hAnsiTheme="minorHAnsi" w:cstheme="minorBidi"/>
                <w:b/>
                <w:sz w:val="18"/>
                <w:szCs w:val="18"/>
                <w:lang w:val="x-none" w:eastAsia="x-none"/>
              </w:rPr>
              <w:lastRenderedPageBreak/>
              <w:t>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LDPC </w:t>
            </w:r>
            <w:r w:rsidRPr="00FF5862">
              <w:rPr>
                <w:rFonts w:asciiTheme="minorHAnsi" w:hAnsiTheme="minorHAnsi" w:cstheme="minorBidi"/>
                <w:b/>
                <w:sz w:val="18"/>
                <w:szCs w:val="18"/>
                <w:lang w:val="x-none" w:eastAsia="x-none"/>
              </w:rPr>
              <w:lastRenderedPageBreak/>
              <w:t>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DL control processing </w:t>
            </w:r>
            <w:r w:rsidRPr="00FF5862">
              <w:rPr>
                <w:rFonts w:asciiTheme="minorHAnsi" w:hAnsiTheme="minorHAnsi" w:cstheme="minorBidi"/>
                <w:b/>
                <w:sz w:val="18"/>
                <w:szCs w:val="18"/>
                <w:lang w:val="x-none" w:eastAsia="x-none"/>
              </w:rPr>
              <w:lastRenderedPageBreak/>
              <w:t>&amp;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UL processing </w:t>
            </w:r>
            <w:r w:rsidRPr="00FF5862">
              <w:rPr>
                <w:rFonts w:asciiTheme="minorHAnsi" w:hAnsiTheme="minorHAnsi" w:cstheme="minorBidi"/>
                <w:b/>
                <w:sz w:val="18"/>
                <w:szCs w:val="18"/>
                <w:lang w:val="x-none" w:eastAsia="x-none"/>
              </w:rPr>
              <w:lastRenderedPageBreak/>
              <w:t>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r>
              <w:rPr>
                <w:rFonts w:eastAsia="DengXian"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w:t>
            </w:r>
            <w:r w:rsidR="00856166">
              <w:rPr>
                <w:rFonts w:eastAsia="DengXian"/>
                <w:lang w:eastAsia="zh-CN"/>
              </w:rPr>
              <w:lastRenderedPageBreak/>
              <w:t xml:space="preserve">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lastRenderedPageBreak/>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lastRenderedPageBreak/>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lastRenderedPageBreak/>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 xml:space="preserve">Should clarify that MIMO-layers may be more about a baseband capability that reflects chipset </w:t>
            </w:r>
            <w:r>
              <w:rPr>
                <w:rFonts w:eastAsia="DengXian"/>
                <w:lang w:eastAsia="zh-CN"/>
              </w:rPr>
              <w:lastRenderedPageBreak/>
              <w:t>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lastRenderedPageBreak/>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200547" w14:textId="49A34EA7" w:rsidR="00476334" w:rsidRDefault="00476334" w:rsidP="00DD4108">
            <w:pPr>
              <w:spacing w:after="120"/>
              <w:rPr>
                <w:rFonts w:eastAsia="DengXian"/>
                <w:lang w:eastAsia="zh-CN"/>
              </w:rPr>
            </w:pPr>
            <w:r>
              <w:rPr>
                <w:rFonts w:eastAsia="DengXian"/>
                <w:lang w:eastAsia="zh-CN"/>
              </w:rPr>
              <w:t>We are fine with this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lastRenderedPageBreak/>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lastRenderedPageBreak/>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lastRenderedPageBreak/>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 xml:space="preserve">Lenovo, Motorola </w:t>
            </w:r>
            <w:r w:rsidRPr="00ED7C37">
              <w:rPr>
                <w:rFonts w:eastAsia="DengXian"/>
                <w:lang w:eastAsia="zh-CN"/>
              </w:rPr>
              <w:lastRenderedPageBreak/>
              <w:t>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lastRenderedPageBreak/>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lastRenderedPageBreak/>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lastRenderedPageBreak/>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B0277">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B0277">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B0277">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6B0277">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B0277">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B0277">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B0277">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B0277">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B0277">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B0277">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B0277">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B0277">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lastRenderedPageBreak/>
              <w:t>[13]</w:t>
            </w:r>
          </w:p>
        </w:tc>
        <w:tc>
          <w:tcPr>
            <w:tcW w:w="1456" w:type="dxa"/>
            <w:tcMar>
              <w:top w:w="0" w:type="dxa"/>
              <w:left w:w="70" w:type="dxa"/>
              <w:bottom w:w="0" w:type="dxa"/>
              <w:right w:w="70" w:type="dxa"/>
            </w:tcMar>
            <w:hideMark/>
          </w:tcPr>
          <w:p w14:paraId="19148C44" w14:textId="77777777" w:rsidR="00F66882" w:rsidRPr="008415B9" w:rsidRDefault="006B0277">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B0277">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B0277">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B0277">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B0277">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B0277">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6B0277">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6B0277">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6B0277">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B0277">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B0277">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B0277">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B0277">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B0277">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B0277">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B0277">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B0277">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B0277">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B0277">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B0277">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6B0277">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B0277">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B0277">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3505" w14:textId="77777777" w:rsidR="005E0B68" w:rsidRDefault="005E0B68" w:rsidP="00581A60">
      <w:pPr>
        <w:spacing w:after="0"/>
      </w:pPr>
      <w:r>
        <w:separator/>
      </w:r>
    </w:p>
  </w:endnote>
  <w:endnote w:type="continuationSeparator" w:id="0">
    <w:p w14:paraId="09D85B2F" w14:textId="77777777" w:rsidR="005E0B68" w:rsidRDefault="005E0B68" w:rsidP="00581A60">
      <w:pPr>
        <w:spacing w:after="0"/>
      </w:pPr>
      <w:r>
        <w:continuationSeparator/>
      </w:r>
    </w:p>
  </w:endnote>
  <w:endnote w:type="continuationNotice" w:id="1">
    <w:p w14:paraId="38C76075" w14:textId="77777777" w:rsidR="005E0B68" w:rsidRDefault="005E0B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35278" w14:textId="77777777" w:rsidR="005E0B68" w:rsidRDefault="005E0B68" w:rsidP="00581A60">
      <w:pPr>
        <w:spacing w:after="0"/>
      </w:pPr>
      <w:r>
        <w:separator/>
      </w:r>
    </w:p>
  </w:footnote>
  <w:footnote w:type="continuationSeparator" w:id="0">
    <w:p w14:paraId="663D934D" w14:textId="77777777" w:rsidR="005E0B68" w:rsidRDefault="005E0B68" w:rsidP="00581A60">
      <w:pPr>
        <w:spacing w:after="0"/>
      </w:pPr>
      <w:r>
        <w:continuationSeparator/>
      </w:r>
    </w:p>
  </w:footnote>
  <w:footnote w:type="continuationNotice" w:id="1">
    <w:p w14:paraId="7C8D88BA" w14:textId="77777777" w:rsidR="005E0B68" w:rsidRDefault="005E0B68">
      <w:pPr>
        <w:spacing w:after="0"/>
      </w:pPr>
    </w:p>
  </w:footnote>
  <w:footnote w:id="2">
    <w:p w14:paraId="2798ED64"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76334"/>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0B68"/>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277"/>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E68D8"/>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E71F261-D89B-464E-B562-17D616A5EA8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26557</Words>
  <Characters>151375</Characters>
  <Application>Microsoft Office Word</Application>
  <DocSecurity>0</DocSecurity>
  <Lines>1261</Lines>
  <Paragraphs>355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2020-08-21T17:40:00Z</dcterms:created>
  <dcterms:modified xsi:type="dcterms:W3CDTF">2020-08-21T18:13:00Z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