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 xml:space="preserve">to either </w:t>
            </w:r>
            <w:r>
              <w:rPr>
                <w:lang w:val="en-US"/>
              </w:rPr>
              <w:lastRenderedPageBreak/>
              <w:t>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 xml:space="preserve">The evaluation results should account for multiple RF bands. The scaling needs to be applied to individual items in the complexity breakdown table (i.e. the table in “Q 6.1-3”). </w:t>
            </w:r>
            <w:r>
              <w:rPr>
                <w:lang w:eastAsia="sv-SE"/>
              </w:rPr>
              <w:lastRenderedPageBreak/>
              <w:t>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lastRenderedPageBreak/>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bl>
    <w:p w14:paraId="53FF3989" w14:textId="77777777" w:rsidR="008E0B98" w:rsidRPr="00B56433"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lastRenderedPageBreak/>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lastRenderedPageBreak/>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等线"/>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lastRenderedPageBreak/>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等线"/>
                <w:lang w:eastAsia="zh-CN"/>
              </w:rPr>
            </w:pP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lastRenderedPageBreak/>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a5"/>
              <w:numPr>
                <w:ilvl w:val="0"/>
                <w:numId w:val="52"/>
              </w:numPr>
              <w:rPr>
                <w:rFonts w:eastAsia="等线"/>
                <w:color w:val="C00000"/>
                <w:sz w:val="20"/>
                <w:szCs w:val="22"/>
                <w:lang w:eastAsia="zh-CN"/>
              </w:rPr>
            </w:pPr>
            <w:r w:rsidRPr="0023776C">
              <w:rPr>
                <w:rFonts w:eastAsia="等线"/>
                <w:color w:val="C00000"/>
                <w:sz w:val="20"/>
                <w:szCs w:val="22"/>
                <w:lang w:eastAsia="zh-CN"/>
              </w:rPr>
              <w:lastRenderedPageBreak/>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32D97" w:rsidRDefault="00B32D97" w:rsidP="00B32D97">
            <w:pPr>
              <w:rPr>
                <w:lang w:eastAsia="sv-SE"/>
              </w:rPr>
            </w:pP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5"/>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lastRenderedPageBreak/>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530872"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lastRenderedPageBreak/>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bl>
    <w:p w14:paraId="0AE4A588" w14:textId="77777777" w:rsidR="00F1496C" w:rsidRDefault="00F1496C" w:rsidP="00F1496C"/>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等线"/>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等线"/>
                <w:lang w:eastAsia="zh-CN"/>
              </w:rPr>
            </w:pP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等线"/>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等线"/>
                <w:lang w:eastAsia="zh-CN"/>
              </w:rPr>
            </w:pPr>
          </w:p>
        </w:tc>
      </w:tr>
    </w:tbl>
    <w:p w14:paraId="5328C481" w14:textId="01C18699" w:rsidR="00ED1746" w:rsidRPr="00B56433"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bl>
    <w:p w14:paraId="326213B9" w14:textId="77777777" w:rsidR="00DF7EB6" w:rsidRPr="00B56433" w:rsidRDefault="00DF7EB6" w:rsidP="00DF7EB6"/>
    <w:p w14:paraId="0FC983AD" w14:textId="0F7D279C" w:rsidR="0076672F" w:rsidRDefault="0076672F" w:rsidP="0076672F">
      <w:pPr>
        <w:pStyle w:val="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等线"/>
                <w:lang w:eastAsia="zh-CN"/>
              </w:rPr>
            </w:pP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a5"/>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bl>
    <w:p w14:paraId="63A43DC4" w14:textId="77777777" w:rsidR="000D7CD7" w:rsidRPr="00B56433"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bl>
    <w:p w14:paraId="7A981402" w14:textId="77777777" w:rsidR="00312B2F" w:rsidRDefault="00312B2F" w:rsidP="002369B7"/>
    <w:p w14:paraId="6047D18C" w14:textId="287458A4" w:rsidR="0076672F" w:rsidRDefault="0076672F" w:rsidP="0076672F">
      <w:pPr>
        <w:pStyle w:val="3"/>
      </w:pPr>
      <w:bookmarkStart w:id="35" w:name="_Toc42165619"/>
      <w:r>
        <w:lastRenderedPageBreak/>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等线"/>
                <w:lang w:eastAsia="zh-CN"/>
              </w:rPr>
            </w:pP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bookmarkStart w:id="38" w:name="_GoBack"/>
      <w:bookmarkEnd w:id="38"/>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lastRenderedPageBreak/>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a5"/>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lastRenderedPageBreak/>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a5"/>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a5"/>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a5"/>
              <w:numPr>
                <w:ilvl w:val="0"/>
                <w:numId w:val="56"/>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w:t>
            </w:r>
            <w:r>
              <w:rPr>
                <w:rFonts w:eastAsia="等线"/>
                <w:lang w:eastAsia="zh-CN"/>
              </w:rPr>
              <w:lastRenderedPageBreak/>
              <w:t xml:space="preserve">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9D5630">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9D5630">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9D5630">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9D5630">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9D5630">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9D5630">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9D5630">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9D5630">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9D5630">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9D5630">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9D5630">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9D5630">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9D5630">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9D5630">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9D5630">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9D5630">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9D5630">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9D5630">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9D5630">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9D5630">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9D5630">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9D5630">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9D5630">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9D5630">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9D5630">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9D5630">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9D5630">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9D5630">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9D5630">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9D5630">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9D5630">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9D5630">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9D5630">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9D5630">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9D5630">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95E7" w14:textId="77777777" w:rsidR="009D5630" w:rsidRDefault="009D5630" w:rsidP="00581A60">
      <w:pPr>
        <w:spacing w:after="0"/>
      </w:pPr>
      <w:r>
        <w:separator/>
      </w:r>
    </w:p>
  </w:endnote>
  <w:endnote w:type="continuationSeparator" w:id="0">
    <w:p w14:paraId="40CBED89" w14:textId="77777777" w:rsidR="009D5630" w:rsidRDefault="009D5630" w:rsidP="00581A60">
      <w:pPr>
        <w:spacing w:after="0"/>
      </w:pPr>
      <w:r>
        <w:continuationSeparator/>
      </w:r>
    </w:p>
  </w:endnote>
  <w:endnote w:type="continuationNotice" w:id="1">
    <w:p w14:paraId="2AE60E2D" w14:textId="77777777" w:rsidR="009D5630" w:rsidRDefault="009D5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B247" w14:textId="77777777" w:rsidR="009D5630" w:rsidRDefault="009D5630" w:rsidP="00581A60">
      <w:pPr>
        <w:spacing w:after="0"/>
      </w:pPr>
      <w:r>
        <w:separator/>
      </w:r>
    </w:p>
  </w:footnote>
  <w:footnote w:type="continuationSeparator" w:id="0">
    <w:p w14:paraId="148B0336" w14:textId="77777777" w:rsidR="009D5630" w:rsidRDefault="009D5630" w:rsidP="00581A60">
      <w:pPr>
        <w:spacing w:after="0"/>
      </w:pPr>
      <w:r>
        <w:continuationSeparator/>
      </w:r>
    </w:p>
  </w:footnote>
  <w:footnote w:type="continuationNotice" w:id="1">
    <w:p w14:paraId="08DFD017" w14:textId="77777777" w:rsidR="009D5630" w:rsidRDefault="009D5630">
      <w:pPr>
        <w:spacing w:after="0"/>
      </w:pPr>
    </w:p>
  </w:footnote>
  <w:footnote w:id="2">
    <w:p w14:paraId="2798ED64" w14:textId="77777777" w:rsidR="00AB425B" w:rsidRPr="00C50163" w:rsidRDefault="00AB425B"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5630"/>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UnresolvedMention">
    <w:name w:val="Unresolved Mention"/>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5D1A4-4CEE-42E9-9381-A35F8970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24386</Words>
  <Characters>139005</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2020-08-21T08:00:00Z</dcterms:created>
  <dcterms:modified xsi:type="dcterms:W3CDTF">2020-08-21T08:01:00Z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