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bookmarkStart w:id="6" w:name="_GoBack"/>
      <w:bookmarkEnd w:id="6"/>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market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r>
              <w:rPr>
                <w:lang w:val="en-US" w:eastAsia="ko-KR"/>
              </w:rPr>
              <w:t>ZTE,Sanechips</w:t>
            </w:r>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Usually in the TR there will be a note saying the cost reduction from the tdocs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 xml:space="preserve">his disclaimer and observation from [3][8]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e are fine with Futurewei’s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763FDF" w:rsidRPr="004B11E2" w14:paraId="11CEF4FD" w14:textId="77777777" w:rsidTr="00763FDF">
        <w:tc>
          <w:tcPr>
            <w:tcW w:w="1479" w:type="dxa"/>
          </w:tcPr>
          <w:p w14:paraId="07E37103" w14:textId="56DAFCE4" w:rsidR="00763FDF" w:rsidRDefault="00763FDF" w:rsidP="00DA44B4">
            <w:pPr>
              <w:rPr>
                <w:lang w:val="en-US" w:eastAsia="ko-KR"/>
              </w:rPr>
            </w:pPr>
          </w:p>
        </w:tc>
        <w:tc>
          <w:tcPr>
            <w:tcW w:w="1372" w:type="dxa"/>
          </w:tcPr>
          <w:p w14:paraId="3B7330A5" w14:textId="533FEFAF" w:rsidR="00763FDF" w:rsidRDefault="00763FDF" w:rsidP="00DA44B4">
            <w:pPr>
              <w:tabs>
                <w:tab w:val="left" w:pos="551"/>
              </w:tabs>
              <w:rPr>
                <w:lang w:val="en-US" w:eastAsia="ko-KR"/>
              </w:rPr>
            </w:pPr>
          </w:p>
        </w:tc>
        <w:tc>
          <w:tcPr>
            <w:tcW w:w="6780" w:type="dxa"/>
          </w:tcPr>
          <w:p w14:paraId="4D1DF864" w14:textId="4B994D86" w:rsidR="00763FDF" w:rsidRPr="004B11E2" w:rsidRDefault="00763FDF" w:rsidP="00DA44B4">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 xml:space="preserve">The following agreements were made in </w:t>
      </w:r>
      <w:r>
        <w:rPr>
          <w:szCs w:val="22"/>
          <w:lang w:val="en-US"/>
        </w:rPr>
        <w:t>a RAN1#102-e</w:t>
      </w:r>
      <w:r>
        <w:rPr>
          <w:szCs w:val="22"/>
          <w:lang w:val="en-US"/>
        </w:rPr>
        <w:t xml:space="preserve"> online (GTW) session:</w:t>
      </w:r>
    </w:p>
    <w:tbl>
      <w:tblPr>
        <w:tblStyle w:val="TableGrid"/>
        <w:tblW w:w="0" w:type="auto"/>
        <w:tblLook w:val="04A0" w:firstRow="1" w:lastRow="0" w:firstColumn="1" w:lastColumn="0" w:noHBand="0" w:noVBand="1"/>
      </w:tblPr>
      <w:tblGrid>
        <w:gridCol w:w="9630"/>
      </w:tblGrid>
      <w:tr w:rsidR="007F5170" w14:paraId="7E76563B" w14:textId="77777777" w:rsidTr="00DA44B4">
        <w:tc>
          <w:tcPr>
            <w:tcW w:w="9630" w:type="dxa"/>
          </w:tcPr>
          <w:p w14:paraId="2110E111" w14:textId="77777777" w:rsidR="007F5170" w:rsidRPr="00102268" w:rsidRDefault="007F5170" w:rsidP="00DA44B4">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DA44B4">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7"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7"/>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r>
              <w:rPr>
                <w:lang w:val="en-US" w:eastAsia="ko-KR"/>
              </w:rPr>
              <w:t>InterDigital</w:t>
            </w:r>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r>
              <w:rPr>
                <w:rFonts w:eastAsia="DengXian" w:hint="eastAsia"/>
                <w:lang w:val="en-US" w:eastAsia="zh-CN"/>
              </w:rPr>
              <w:t>Sp</w:t>
            </w:r>
            <w:r>
              <w:rPr>
                <w:rFonts w:eastAsia="DengXian"/>
                <w:lang w:val="en-US" w:eastAsia="zh-CN"/>
              </w:rPr>
              <w:t>readtrum</w:t>
            </w:r>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r>
              <w:rPr>
                <w:lang w:val="en-US" w:eastAsia="ko-KR"/>
              </w:rPr>
              <w:t>ZTE,Sanechips</w:t>
            </w:r>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anyway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w:t>
            </w:r>
            <w:r>
              <w:rPr>
                <w:lang w:val="en-US" w:eastAsia="ko-KR"/>
              </w:rPr>
              <w:lastRenderedPageBreak/>
              <w:t>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RF:BB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571650E" w:rsidR="00763FDF" w:rsidRDefault="00763FDF" w:rsidP="00DA44B4">
            <w:pPr>
              <w:rPr>
                <w:lang w:val="en-US" w:eastAsia="ko-KR"/>
              </w:rPr>
            </w:pPr>
          </w:p>
        </w:tc>
        <w:tc>
          <w:tcPr>
            <w:tcW w:w="8155" w:type="dxa"/>
          </w:tcPr>
          <w:p w14:paraId="6BCCD6EF" w14:textId="3DD66870" w:rsidR="00763FDF" w:rsidRDefault="00763FDF" w:rsidP="00DA44B4">
            <w:pPr>
              <w:rPr>
                <w:lang w:val="en-US"/>
              </w:rPr>
            </w:pP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lastRenderedPageBreak/>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has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has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has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has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has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[33] has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(e.g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r>
              <w:rPr>
                <w:lang w:eastAsia="zh-CN"/>
              </w:rPr>
              <w:lastRenderedPageBreak/>
              <w:t>InterDigital</w:t>
            </w:r>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We agree with Futurewei’s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420F648A" w:rsidR="002B4828" w:rsidRPr="002B4828" w:rsidRDefault="002B4828" w:rsidP="00DA44B4">
            <w:pPr>
              <w:rPr>
                <w:rFonts w:eastAsia="Yu Mincho"/>
                <w:lang w:val="en-US" w:eastAsia="ja-JP"/>
              </w:rPr>
            </w:pPr>
          </w:p>
        </w:tc>
        <w:tc>
          <w:tcPr>
            <w:tcW w:w="7445" w:type="dxa"/>
            <w:tcBorders>
              <w:top w:val="single" w:sz="4" w:space="0" w:color="auto"/>
              <w:left w:val="single" w:sz="4" w:space="0" w:color="auto"/>
              <w:bottom w:val="single" w:sz="4" w:space="0" w:color="auto"/>
              <w:right w:val="single" w:sz="4" w:space="0" w:color="auto"/>
            </w:tcBorders>
          </w:tcPr>
          <w:p w14:paraId="70A5ADA3" w14:textId="306CD465" w:rsidR="002B4828" w:rsidRPr="002B4828" w:rsidRDefault="002B4828" w:rsidP="00DA44B4">
            <w:pPr>
              <w:rPr>
                <w:rFonts w:eastAsia="Yu Mincho"/>
                <w:lang w:eastAsia="ja-JP"/>
              </w:rPr>
            </w:pPr>
          </w:p>
        </w:tc>
      </w:tr>
    </w:tbl>
    <w:p w14:paraId="53FF3989" w14:textId="77777777" w:rsidR="008E0B98" w:rsidRPr="00B56433" w:rsidRDefault="008E0B98" w:rsidP="00232CBE"/>
    <w:p w14:paraId="5E8C11F6" w14:textId="77777777" w:rsidR="007A2AA0" w:rsidRDefault="007A2AA0" w:rsidP="007A2AA0">
      <w:pPr>
        <w:pStyle w:val="Heading1"/>
      </w:pPr>
      <w:bookmarkStart w:id="8" w:name="_Toc42165594"/>
      <w:r>
        <w:lastRenderedPageBreak/>
        <w:t>7</w:t>
      </w:r>
      <w:r>
        <w:tab/>
        <w:t>UE complexity reduction features</w:t>
      </w:r>
      <w:bookmarkEnd w:id="8"/>
    </w:p>
    <w:p w14:paraId="29DACC74" w14:textId="77777777" w:rsidR="007A2AA0" w:rsidRDefault="007A2AA0" w:rsidP="007A2AA0">
      <w:pPr>
        <w:pStyle w:val="Heading2"/>
      </w:pPr>
      <w:bookmarkStart w:id="9" w:name="_Toc42165596"/>
      <w:r>
        <w:t>7.2</w:t>
      </w:r>
      <w:r>
        <w:tab/>
        <w:t>Reduced number of UE Rx/Tx antennas</w:t>
      </w:r>
      <w:bookmarkEnd w:id="9"/>
    </w:p>
    <w:p w14:paraId="31C2585A" w14:textId="77777777" w:rsidR="007A2AA0" w:rsidRDefault="007A2AA0" w:rsidP="007A2AA0">
      <w:pPr>
        <w:pStyle w:val="Heading3"/>
      </w:pPr>
      <w:bookmarkStart w:id="10" w:name="_Toc42165597"/>
      <w:r>
        <w:t>7.2.1</w:t>
      </w:r>
      <w:r>
        <w:tab/>
        <w:t>Description of feature</w:t>
      </w:r>
      <w:bookmarkEnd w:id="10"/>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DA44B4">
        <w:tc>
          <w:tcPr>
            <w:tcW w:w="9630" w:type="dxa"/>
          </w:tcPr>
          <w:p w14:paraId="4747C3B2" w14:textId="77777777" w:rsidR="00BF4DCA" w:rsidRPr="00102268" w:rsidRDefault="00BF4DCA" w:rsidP="00DA44B4">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DA44B4">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 xml:space="preserve">Complexity reduction for individual RF and baseband components has </w:t>
            </w:r>
            <w:r>
              <w:rPr>
                <w:sz w:val="18"/>
                <w:szCs w:val="18"/>
                <w:lang w:val="en-US"/>
              </w:rPr>
              <w:lastRenderedPageBreak/>
              <w:t>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lastRenderedPageBreak/>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r w:rsidRPr="00562090">
        <w:rPr>
          <w:rFonts w:ascii="Times New Roman" w:hAnsi="Times New Roman" w:cs="Times New Roman"/>
          <w:sz w:val="20"/>
          <w:szCs w:val="20"/>
          <w:lang w:val="en-US"/>
        </w:rPr>
        <w:t>has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has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has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25] have also highlighted that the reduction in number of UE Rx antennas is also beneficial in terms of reducing the size/form factor for devices, such as wearables in FR1. </w:t>
      </w:r>
    </w:p>
    <w:p w14:paraId="5B0A7AA6" w14:textId="77777777" w:rsidR="00923EE5" w:rsidRDefault="00923EE5" w:rsidP="00923EE5">
      <w:r>
        <w:lastRenderedPageBreak/>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r>
              <w:rPr>
                <w:lang w:eastAsia="zh-CN"/>
              </w:rPr>
              <w:t>ZTE,Sanechips</w:t>
            </w:r>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1" w:name="OLE_LINK1"/>
            <w:r>
              <w:rPr>
                <w:rFonts w:eastAsia="DengXian"/>
                <w:lang w:eastAsia="zh-CN"/>
              </w:rPr>
              <w:t>crucial</w:t>
            </w:r>
            <w:bookmarkEnd w:id="11"/>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6513"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2875CFDF" w:rsidR="00126513" w:rsidRPr="008F7F21" w:rsidRDefault="00126513" w:rsidP="00DA44B4">
            <w:pPr>
              <w:rPr>
                <w:rFonts w:eastAsia="DengXian"/>
                <w:lang w:eastAsia="zh-CN"/>
              </w:rPr>
            </w:pPr>
          </w:p>
        </w:tc>
        <w:tc>
          <w:tcPr>
            <w:tcW w:w="7445" w:type="dxa"/>
            <w:tcBorders>
              <w:top w:val="single" w:sz="4" w:space="0" w:color="auto"/>
              <w:left w:val="single" w:sz="4" w:space="0" w:color="auto"/>
              <w:bottom w:val="single" w:sz="4" w:space="0" w:color="auto"/>
              <w:right w:val="single" w:sz="4" w:space="0" w:color="auto"/>
            </w:tcBorders>
          </w:tcPr>
          <w:p w14:paraId="5429CA02" w14:textId="07C84117" w:rsidR="00126513" w:rsidRPr="008F7F21" w:rsidRDefault="00126513" w:rsidP="00DA44B4">
            <w:pPr>
              <w:rPr>
                <w:rFonts w:eastAsia="DengXian"/>
                <w:lang w:eastAsia="zh-CN"/>
              </w:rPr>
            </w:pPr>
          </w:p>
        </w:tc>
      </w:tr>
    </w:tbl>
    <w:p w14:paraId="3DCFBE7C" w14:textId="77777777" w:rsidR="00923EE5" w:rsidRPr="00B56433" w:rsidRDefault="00923EE5" w:rsidP="00923EE5">
      <w:pPr>
        <w:rPr>
          <w:b/>
          <w:bCs/>
        </w:rPr>
      </w:pPr>
    </w:p>
    <w:p w14:paraId="05C673FC" w14:textId="77777777" w:rsidR="00455D13" w:rsidRDefault="00455D13" w:rsidP="00455D13">
      <w:pPr>
        <w:pStyle w:val="Heading3"/>
      </w:pPr>
      <w:bookmarkStart w:id="12" w:name="_Toc42165599"/>
      <w:r>
        <w:t>7.2.3</w:t>
      </w:r>
      <w:r>
        <w:tab/>
        <w:t>Analysis of performance impacts</w:t>
      </w:r>
      <w:bookmarkEnd w:id="12"/>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The downlink coverage loss reported in the contributions are summarized in Table 2. Some contributions (e.g., [22, 23, 29])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3" w:name="_Ref46522844"/>
      <w:bookmarkStart w:id="14"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3"/>
      <w:r w:rsidRPr="00E52D76">
        <w:rPr>
          <w:b/>
          <w:bCs/>
        </w:rPr>
        <w:t xml:space="preserve">: Estimation of downlink coverage loss from reduced number of UE </w:t>
      </w:r>
      <w:bookmarkEnd w:id="14"/>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lastRenderedPageBreak/>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25],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lastRenderedPageBreak/>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r>
              <w:rPr>
                <w:lang w:eastAsia="zh-CN"/>
              </w:rPr>
              <w:t>ZTE,Sanechips</w:t>
            </w:r>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rPr>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lastRenderedPageBreak/>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lastRenderedPageBreak/>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etc)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5E5E73"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51E3BB1C" w:rsidR="005E5E73" w:rsidRPr="008F7F21" w:rsidRDefault="005E5E73" w:rsidP="00DA44B4">
            <w:pPr>
              <w:rPr>
                <w:rFonts w:eastAsia="DengXian"/>
                <w:lang w:eastAsia="zh-CN"/>
              </w:rPr>
            </w:pPr>
          </w:p>
        </w:tc>
        <w:tc>
          <w:tcPr>
            <w:tcW w:w="688" w:type="dxa"/>
            <w:tcBorders>
              <w:top w:val="single" w:sz="4" w:space="0" w:color="auto"/>
              <w:left w:val="single" w:sz="4" w:space="0" w:color="auto"/>
              <w:bottom w:val="single" w:sz="4" w:space="0" w:color="auto"/>
              <w:right w:val="single" w:sz="4" w:space="0" w:color="auto"/>
            </w:tcBorders>
          </w:tcPr>
          <w:p w14:paraId="2F8BAC84" w14:textId="2A63CE07" w:rsidR="005E5E73" w:rsidRPr="008F7F21" w:rsidRDefault="005E5E73" w:rsidP="00DA44B4">
            <w:pPr>
              <w:rPr>
                <w:rFonts w:eastAsia="DengXian"/>
                <w:lang w:eastAsia="zh-CN"/>
              </w:rPr>
            </w:pP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5E5E73" w:rsidRPr="008F7F21" w:rsidRDefault="005E5E73" w:rsidP="00DA44B4">
            <w:pPr>
              <w:rPr>
                <w:rFonts w:eastAsia="DengXian"/>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t>Q 7.2.3-2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lastRenderedPageBreak/>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lastRenderedPageBreak/>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lastRenderedPageBreak/>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0F568D"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317D7E89" w:rsidR="000F568D" w:rsidRPr="008F7F21" w:rsidRDefault="000F568D" w:rsidP="00DA44B4">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5D12B383" w:rsidR="000F568D" w:rsidRDefault="000F568D" w:rsidP="00DA44B4">
            <w:pPr>
              <w:rPr>
                <w:lang w:eastAsia="zh-CN"/>
              </w:rPr>
            </w:pP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5" w:name="_Toc42165600"/>
      <w:r>
        <w:t>7.2.4</w:t>
      </w:r>
      <w:r>
        <w:tab/>
        <w:t>Analysis of coexistence with legacy UEs</w:t>
      </w:r>
      <w:bookmarkEnd w:id="15"/>
    </w:p>
    <w:p w14:paraId="70BA90A5" w14:textId="77777777" w:rsidR="00923EE5" w:rsidRPr="00095DF9" w:rsidRDefault="00923EE5" w:rsidP="00923EE5">
      <w:pPr>
        <w:jc w:val="both"/>
        <w:rPr>
          <w:lang w:val="en-US"/>
        </w:rPr>
      </w:pPr>
      <w:r w:rsidRPr="00095DF9">
        <w:rPr>
          <w:lang w:val="en-US"/>
        </w:rPr>
        <w:t>Several contributions [1, 3, 5, 7, 17]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C1, C2, C3, C4</w:t>
      </w:r>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one, that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‘no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r>
              <w:rPr>
                <w:rFonts w:eastAsia="DengXian" w:hint="eastAsia"/>
                <w:lang w:eastAsia="zh-CN"/>
              </w:rPr>
              <w:t>Spreadtrum</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r>
              <w:rPr>
                <w:lang w:eastAsia="zh-CN"/>
              </w:rPr>
              <w:t>ZTE,Sanechips</w:t>
            </w:r>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lastRenderedPageBreak/>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wrt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with reduction of UE antenna, the system spetrum efficienct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 xml:space="preserve">Certainly, as in discussed in previous questions related to (P1, …P11),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5A157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77777777" w:rsidR="005A1577" w:rsidRDefault="005A1577">
            <w:pPr>
              <w:rPr>
                <w:rFonts w:eastAsia="DengXian" w:hint="eastAsia"/>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77777777" w:rsidR="005A1577" w:rsidRDefault="005A1577">
            <w:pPr>
              <w:rPr>
                <w:rFonts w:eastAsia="DengXian" w:hint="eastAsia"/>
                <w:lang w:eastAsia="zh-CN"/>
              </w:rPr>
            </w:pP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C1, C2, C3, C4</w:t>
      </w:r>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r>
              <w:rPr>
                <w:lang w:eastAsia="sv-SE"/>
              </w:rPr>
              <w:lastRenderedPageBreak/>
              <w:t>Spreadtrum</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r w:rsidR="0042790F">
              <w:t xml:space="preserve">,C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5A157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77777777" w:rsidR="005A1577" w:rsidRDefault="005A1577">
            <w:pPr>
              <w:rPr>
                <w:rFonts w:eastAsia="DengXian" w:hint="eastAsia"/>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77777777" w:rsidR="005A1577" w:rsidRDefault="005A1577">
            <w:pPr>
              <w:rPr>
                <w:rFonts w:eastAsia="DengXian" w:hint="eastAsia"/>
                <w:lang w:eastAsia="zh-CN"/>
              </w:rPr>
            </w:pP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6" w:name="_Toc42165601"/>
      <w:r>
        <w:t>7.2.5</w:t>
      </w:r>
      <w:r>
        <w:tab/>
        <w:t>Analysis of specification impacts</w:t>
      </w:r>
      <w:bookmarkEnd w:id="16"/>
    </w:p>
    <w:p w14:paraId="235120DD" w14:textId="77777777" w:rsidR="00923EE5" w:rsidRDefault="00923EE5" w:rsidP="00923EE5">
      <w:pPr>
        <w:rPr>
          <w:lang w:val="en-US" w:eastAsia="zh-CN"/>
        </w:rPr>
      </w:pPr>
      <w:r>
        <w:t xml:space="preserve">Several contributions </w:t>
      </w:r>
      <w:r>
        <w:rPr>
          <w:lang w:val="en-US"/>
        </w:rPr>
        <w:t>[1</w:t>
      </w:r>
      <w:r>
        <w:t xml:space="preserve">, 3, 5, 7, 17, 18, 20, 27]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lastRenderedPageBreak/>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 …,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Not sure the list is complete, the most important specification impact is coverage recovery , which may include other channel/signals beside those listed here, for example, Msg2/3/4 etc</w:t>
            </w:r>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5A1577"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77777777" w:rsidR="005A1577" w:rsidRDefault="005A1577">
            <w:pPr>
              <w:rPr>
                <w:rFonts w:eastAsia="DengXian" w:hint="eastAsia"/>
                <w:lang w:eastAsia="zh-CN"/>
              </w:rPr>
            </w:pPr>
          </w:p>
        </w:tc>
        <w:tc>
          <w:tcPr>
            <w:tcW w:w="1107" w:type="dxa"/>
            <w:tcBorders>
              <w:top w:val="single" w:sz="4" w:space="0" w:color="auto"/>
              <w:left w:val="single" w:sz="4" w:space="0" w:color="auto"/>
              <w:bottom w:val="single" w:sz="4" w:space="0" w:color="auto"/>
              <w:right w:val="single" w:sz="4" w:space="0" w:color="auto"/>
            </w:tcBorders>
          </w:tcPr>
          <w:p w14:paraId="267E5DBC" w14:textId="77777777" w:rsidR="005A1577" w:rsidRDefault="005A1577">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77777777" w:rsidR="005A1577" w:rsidRDefault="005A1577">
            <w:pPr>
              <w:rPr>
                <w:rFonts w:eastAsia="DengXian" w:hint="eastAsia"/>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 …,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S1, S3, S4, S5, S6, S7(L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000159"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77777777" w:rsidR="00000159" w:rsidRDefault="00000159">
            <w:pPr>
              <w:rPr>
                <w:rFonts w:eastAsia="DengXian"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77777777" w:rsidR="00000159" w:rsidRDefault="00000159">
            <w:pPr>
              <w:rPr>
                <w:rFonts w:eastAsia="DengXian" w:hint="eastAsia"/>
                <w:lang w:eastAsia="zh-CN"/>
              </w:rPr>
            </w:pP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7" w:name="_Toc42165602"/>
      <w:r>
        <w:lastRenderedPageBreak/>
        <w:t>7.3</w:t>
      </w:r>
      <w:r>
        <w:tab/>
        <w:t>UE bandwidth reduction</w:t>
      </w:r>
      <w:bookmarkEnd w:id="17"/>
    </w:p>
    <w:p w14:paraId="479B83AF" w14:textId="35456663" w:rsidR="0076672F" w:rsidRDefault="0076672F" w:rsidP="0076672F">
      <w:pPr>
        <w:pStyle w:val="Heading3"/>
      </w:pPr>
      <w:bookmarkStart w:id="18" w:name="_Toc42165603"/>
      <w:r>
        <w:t>7.3.1</w:t>
      </w:r>
      <w:r>
        <w:tab/>
        <w:t>Description of feature</w:t>
      </w:r>
      <w:bookmarkEnd w:id="18"/>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31] consider 20 MHz maximum UE bandwidth in FR1. Contributions [</w:t>
      </w:r>
      <w:r w:rsidRPr="009E6E5B">
        <w:t>5, 15, 16, 28</w:t>
      </w:r>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31, 35] discuss 50 MHz and/or 100 MHz maximum UE bandwidth options in FR2. Contributions [</w:t>
      </w:r>
      <w:r w:rsidRPr="009E6E5B">
        <w:t>4, 5, 8, 12, 16, 29</w:t>
      </w:r>
      <w:r>
        <w:t>] prefer maximum RedCap UE bandwidth 100 MHz, whereas contributions [1, 6, 11] prefer 50 MHz. Contribution [3] points out it might be desirable to preserve the economy of scale for the “normal” 200 MHz NR UE.”</w:t>
      </w:r>
    </w:p>
    <w:p w14:paraId="0886C5FC" w14:textId="77777777" w:rsidR="00A60F02" w:rsidRDefault="00A60F02" w:rsidP="00A60F02">
      <w:r w:rsidRPr="000903F9">
        <w:t>Contribution [</w:t>
      </w:r>
      <w:r w:rsidRPr="003E50A5">
        <w:t>1, 3, 15, 22, 30</w:t>
      </w:r>
      <w:r w:rsidRPr="000903F9">
        <w:t>] explicitly states that same bandwidth</w:t>
      </w:r>
      <w:r>
        <w:t xml:space="preserve"> is considered</w:t>
      </w:r>
      <w:r w:rsidRPr="000903F9">
        <w:t xml:space="preserve"> for DL and UL</w:t>
      </w:r>
      <w:r>
        <w:t xml:space="preserve">. </w:t>
      </w:r>
      <w:r w:rsidRPr="000903F9">
        <w:t>Contribution [</w:t>
      </w:r>
      <w:r>
        <w:t xml:space="preserve">1, 5, 20, 22, 30]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r>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r>
              <w:rPr>
                <w:lang w:eastAsia="sv-SE"/>
              </w:rPr>
              <w:t>ZTE,Sanechips</w:t>
            </w:r>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0DAF679E" w:rsidR="005A767D" w:rsidRPr="005A767D" w:rsidRDefault="005A767D" w:rsidP="00DA44B4">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DA44B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77777777" w:rsidR="005A767D" w:rsidRPr="005A767D" w:rsidRDefault="005A767D" w:rsidP="00DA44B4">
            <w:pPr>
              <w:rPr>
                <w:rFonts w:eastAsia="DengXian"/>
                <w:lang w:eastAsia="zh-CN"/>
              </w:rPr>
            </w:pPr>
          </w:p>
        </w:tc>
      </w:tr>
    </w:tbl>
    <w:p w14:paraId="09C3357A" w14:textId="55C615E0" w:rsidR="00A60F02" w:rsidRDefault="00A60F02" w:rsidP="00A60F02"/>
    <w:p w14:paraId="2087FAE6" w14:textId="06EF64E9" w:rsidR="001101B3" w:rsidRDefault="001101B3" w:rsidP="001101B3">
      <w:pPr>
        <w:rPr>
          <w:lang w:val="en-US"/>
        </w:rPr>
      </w:pPr>
      <w:r>
        <w:rPr>
          <w:szCs w:val="22"/>
          <w:lang w:val="en-US"/>
        </w:rPr>
        <w:t xml:space="preserve">The following </w:t>
      </w:r>
      <w:r>
        <w:rPr>
          <w:szCs w:val="22"/>
          <w:lang w:val="en-US"/>
        </w:rPr>
        <w:t>agreements</w:t>
      </w:r>
      <w:r>
        <w:rPr>
          <w:szCs w:val="22"/>
          <w:lang w:val="en-US"/>
        </w:rPr>
        <w:t xml:space="preserve"> w</w:t>
      </w:r>
      <w:r>
        <w:rPr>
          <w:szCs w:val="22"/>
          <w:lang w:val="en-US"/>
        </w:rPr>
        <w:t>ere</w:t>
      </w:r>
      <w:r>
        <w:rPr>
          <w:szCs w:val="22"/>
          <w:lang w:val="en-US"/>
        </w:rPr>
        <w:t xml:space="preserv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DA44B4">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lastRenderedPageBreak/>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64C80B03" w:rsidR="00A60F02" w:rsidRDefault="00A60F02" w:rsidP="00141D38">
            <w:pPr>
              <w:rPr>
                <w:lang w:eastAsia="sv-SE"/>
              </w:rPr>
            </w:pPr>
          </w:p>
        </w:tc>
        <w:tc>
          <w:tcPr>
            <w:tcW w:w="1107" w:type="dxa"/>
          </w:tcPr>
          <w:p w14:paraId="0613B822" w14:textId="4DF25587" w:rsidR="00A60F02" w:rsidRDefault="00A60F02" w:rsidP="00141D38">
            <w:pPr>
              <w:rPr>
                <w:lang w:eastAsia="sv-SE"/>
              </w:rPr>
            </w:pPr>
          </w:p>
        </w:tc>
        <w:tc>
          <w:tcPr>
            <w:tcW w:w="7034" w:type="dxa"/>
            <w:tcMar>
              <w:top w:w="0" w:type="dxa"/>
              <w:left w:w="108" w:type="dxa"/>
              <w:bottom w:w="0" w:type="dxa"/>
              <w:right w:w="108" w:type="dxa"/>
            </w:tcMar>
          </w:tcPr>
          <w:p w14:paraId="3D8BB06A" w14:textId="77777777" w:rsidR="00A60F02" w:rsidRDefault="00A60F02" w:rsidP="00141D38">
            <w:pPr>
              <w:rPr>
                <w:lang w:eastAsia="sv-SE"/>
              </w:rPr>
            </w:pPr>
          </w:p>
        </w:tc>
      </w:tr>
      <w:tr w:rsidR="00B1543B" w14:paraId="1526388E" w14:textId="77777777" w:rsidTr="00C9063A">
        <w:tc>
          <w:tcPr>
            <w:tcW w:w="1493" w:type="dxa"/>
            <w:tcMar>
              <w:top w:w="0" w:type="dxa"/>
              <w:left w:w="108" w:type="dxa"/>
              <w:bottom w:w="0" w:type="dxa"/>
              <w:right w:w="108" w:type="dxa"/>
            </w:tcMar>
          </w:tcPr>
          <w:p w14:paraId="7DCD2FF4" w14:textId="6983F231" w:rsidR="00B1543B" w:rsidRDefault="00B1543B" w:rsidP="00B1543B">
            <w:pPr>
              <w:rPr>
                <w:lang w:eastAsia="zh-CN"/>
              </w:rPr>
            </w:pPr>
          </w:p>
        </w:tc>
        <w:tc>
          <w:tcPr>
            <w:tcW w:w="1107" w:type="dxa"/>
          </w:tcPr>
          <w:p w14:paraId="43B5B0CE" w14:textId="6E8B1A7C" w:rsidR="00B1543B" w:rsidRDefault="00B1543B" w:rsidP="00B1543B">
            <w:pPr>
              <w:rPr>
                <w:lang w:eastAsia="zh-CN"/>
              </w:rPr>
            </w:pPr>
          </w:p>
        </w:tc>
        <w:tc>
          <w:tcPr>
            <w:tcW w:w="7034" w:type="dxa"/>
            <w:tcMar>
              <w:top w:w="0" w:type="dxa"/>
              <w:left w:w="108" w:type="dxa"/>
              <w:bottom w:w="0" w:type="dxa"/>
              <w:right w:w="108" w:type="dxa"/>
            </w:tcMar>
          </w:tcPr>
          <w:p w14:paraId="2C4CB0C5" w14:textId="695B4C4D" w:rsidR="00B1543B" w:rsidRDefault="00B1543B" w:rsidP="00B1543B">
            <w:pPr>
              <w:rPr>
                <w:lang w:eastAsia="zh-CN"/>
              </w:rPr>
            </w:pPr>
          </w:p>
        </w:tc>
      </w:tr>
      <w:tr w:rsidR="00B52403"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45540297" w:rsidR="00B52403" w:rsidRDefault="00B52403" w:rsidP="00B52403">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5FE85D38" w14:textId="05EF386B" w:rsidR="00B52403" w:rsidRDefault="00B52403" w:rsidP="00B52403">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52403" w:rsidRDefault="00B52403" w:rsidP="00B52403">
            <w:pPr>
              <w:rPr>
                <w:lang w:eastAsia="sv-SE"/>
              </w:rPr>
            </w:pPr>
          </w:p>
        </w:tc>
      </w:tr>
      <w:tr w:rsidR="00925A82"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2C1533AB" w:rsidR="00925A82" w:rsidRDefault="00925A82" w:rsidP="00925A82">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64CC1C69" w14:textId="42F42AA7" w:rsidR="00925A82" w:rsidRDefault="00925A82" w:rsidP="00925A82">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925A82" w:rsidRDefault="00925A82" w:rsidP="00925A82">
            <w:pPr>
              <w:rPr>
                <w:lang w:eastAsia="sv-SE"/>
              </w:rPr>
            </w:pP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r>
              <w:rPr>
                <w:lang w:eastAsia="zh-CN"/>
              </w:rPr>
              <w:t>InterDigital</w:t>
            </w:r>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r w:rsidRPr="007D3000">
              <w:rPr>
                <w:rFonts w:eastAsia="Yu Mincho"/>
                <w:lang w:eastAsia="ja-JP"/>
              </w:rPr>
              <w:t>Spreadtrum</w:t>
            </w:r>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r>
              <w:rPr>
                <w:rFonts w:eastAsia="Yu Mincho"/>
                <w:lang w:eastAsia="ja-JP"/>
              </w:rPr>
              <w:t>ZTE,Sanechips</w:t>
            </w:r>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 xml:space="preserve">supported channel bandwidths in FR2, the next bandwidth to consider will be 200MHz.  Supporting larger than 100MHz will only bring a minor </w:t>
            </w:r>
            <w:r w:rsidRPr="000F7A78">
              <w:rPr>
                <w:lang w:eastAsia="sv-SE"/>
              </w:rPr>
              <w:lastRenderedPageBreak/>
              <w:t>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In fact, we suggest to focus on 100 MHz case (similar views as Futurewei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ListParagraph"/>
              <w:numPr>
                <w:ilvl w:val="1"/>
                <w:numId w:val="53"/>
              </w:numPr>
              <w:rPr>
                <w:rFonts w:eastAsia="DengXian"/>
                <w:color w:val="C00000"/>
                <w:lang w:eastAsia="zh-CN"/>
              </w:rPr>
            </w:pPr>
            <w:r>
              <w:rPr>
                <w:rFonts w:eastAsia="DengXian"/>
                <w:color w:val="C00000"/>
                <w:sz w:val="20"/>
                <w:szCs w:val="20"/>
                <w:lang w:eastAsia="zh-CN"/>
              </w:rPr>
              <w:lastRenderedPageBreak/>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1906E86D" w:rsidR="00D41CC8" w:rsidRPr="00D41CC8" w:rsidRDefault="00D41CC8" w:rsidP="00DA44B4">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DA44B4">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77777777" w:rsidR="00D41CC8" w:rsidRPr="00D41CC8" w:rsidRDefault="00D41CC8" w:rsidP="00DA44B4">
            <w:pPr>
              <w:rPr>
                <w:rFonts w:eastAsia="DengXian"/>
                <w:lang w:eastAsia="zh-CN"/>
              </w:rPr>
            </w:pPr>
          </w:p>
        </w:tc>
      </w:tr>
    </w:tbl>
    <w:p w14:paraId="5A9FAEE9" w14:textId="77777777" w:rsidR="00A60F02" w:rsidRPr="00B56433" w:rsidRDefault="00A60F02" w:rsidP="00A60F02"/>
    <w:p w14:paraId="3417BA00" w14:textId="0BF6B2C0" w:rsidR="0076672F" w:rsidRDefault="0076672F" w:rsidP="0076672F">
      <w:pPr>
        <w:pStyle w:val="Heading3"/>
      </w:pPr>
      <w:bookmarkStart w:id="19" w:name="_Toc42165604"/>
      <w:r>
        <w:t>7.3.2</w:t>
      </w:r>
      <w:r>
        <w:tab/>
        <w:t>Analysis of UE complexity reduction</w:t>
      </w:r>
      <w:bookmarkEnd w:id="19"/>
    </w:p>
    <w:p w14:paraId="2E2573A4" w14:textId="77777777" w:rsidR="00A60F02" w:rsidRPr="00A60F02" w:rsidRDefault="00A60F02" w:rsidP="00A60F02">
      <w:r w:rsidRPr="00A60F02">
        <w:t>Contributions [1, 4, 7, 8, 16, 17, 18, 22, 23, 30]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r w:rsidR="004279CB" w:rsidRPr="00BE311C">
        <w:rPr>
          <w:rFonts w:ascii="Times New Roman" w:hAnsi="Times New Roman" w:cs="Times New Roman"/>
          <w:sz w:val="20"/>
          <w:szCs w:val="20"/>
          <w:lang w:val="en-US"/>
        </w:rPr>
        <w:t>RF:baseband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Based on these estimates, the cost saving from reducing the UE bandwidth from 100 MHz to 20 MHz is in the range of 15%-51.4% The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lastRenderedPageBreak/>
        <w:t>Contribution [12]: Complexity reduction benefits from 50 MHz compared to 100 MHz in FR2 may be rather limited</w:t>
      </w:r>
    </w:p>
    <w:p w14:paraId="35481AB6" w14:textId="77777777" w:rsidR="00A60F02" w:rsidRPr="00A60F02" w:rsidRDefault="00A60F02" w:rsidP="00A60F02">
      <w:r w:rsidRPr="00A60F02">
        <w:t>Based on these estimates, the cost saving from reducing the UE bandwidth from 200 MHz to 50 MHz is in the range of 15%-32% The middle of this range is 23.5%</w:t>
      </w:r>
    </w:p>
    <w:p w14:paraId="0D475B49" w14:textId="02AB6BEE" w:rsidR="0076672F" w:rsidRDefault="0076672F" w:rsidP="0076672F">
      <w:pPr>
        <w:pStyle w:val="Heading3"/>
      </w:pPr>
      <w:bookmarkStart w:id="20" w:name="_Toc42165605"/>
      <w:r>
        <w:t>7.3.3</w:t>
      </w:r>
      <w:r>
        <w:tab/>
        <w:t>Analysis of performance impacts</w:t>
      </w:r>
      <w:bookmarkEnd w:id="20"/>
    </w:p>
    <w:p w14:paraId="29178023" w14:textId="77777777" w:rsidR="003244EE" w:rsidRPr="005D6A20" w:rsidRDefault="003244EE" w:rsidP="003244EE">
      <w:pPr>
        <w:rPr>
          <w:lang w:val="en-US"/>
        </w:rPr>
      </w:pPr>
      <w:r w:rsidRPr="005D6A20">
        <w:rPr>
          <w:lang w:val="en-US"/>
        </w:rPr>
        <w:t>Contributions [1, 2, 3, 4, 5, 6, 7, 8, 9, 12, 13, 15, 16, 17, 18, 20, 21, 27, 28, 29] analyze the performance impact in FR1 due to bandwidth reduction from 100 MHz to 20 MHz.</w:t>
      </w:r>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Contributions [1, 4, 5, 6, 9, 12, 16, 18, 19, 23, 26, 27, 28, 29]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lastRenderedPageBreak/>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 …,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0D566D"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7777777" w:rsidR="000D566D" w:rsidRDefault="000D566D">
            <w:pPr>
              <w:rPr>
                <w:rFonts w:eastAsia="DengXian" w:hint="eastAsia"/>
                <w:lang w:eastAsia="zh-CN"/>
              </w:rPr>
            </w:pPr>
          </w:p>
        </w:tc>
        <w:tc>
          <w:tcPr>
            <w:tcW w:w="1107" w:type="dxa"/>
            <w:tcBorders>
              <w:top w:val="single" w:sz="4" w:space="0" w:color="auto"/>
              <w:left w:val="single" w:sz="4" w:space="0" w:color="auto"/>
              <w:bottom w:val="single" w:sz="4" w:space="0" w:color="auto"/>
              <w:right w:val="single" w:sz="4" w:space="0" w:color="auto"/>
            </w:tcBorders>
          </w:tcPr>
          <w:p w14:paraId="05BD1B09" w14:textId="77777777" w:rsidR="000D566D" w:rsidRPr="008F7F21" w:rsidRDefault="000D566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0D566D" w:rsidRDefault="000D566D" w:rsidP="008F7F21">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 …,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P6,7: The requirements are “up to”, saying “cannot achieve” or “is not possible” may give the impression that it is a hard requirement. CA and BW larger than 20MHz should not be mentioned. p7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r>
              <w:rPr>
                <w:lang w:eastAsia="zh-CN"/>
              </w:rPr>
              <w:lastRenderedPageBreak/>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0D566D"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77777777" w:rsidR="000D566D" w:rsidRDefault="000D566D">
            <w:pPr>
              <w:rPr>
                <w:rFonts w:eastAsia="Yu Mincho"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7777777" w:rsidR="000D566D" w:rsidRDefault="000D566D">
            <w:pPr>
              <w:rPr>
                <w:rFonts w:eastAsia="Yu Mincho" w:hint="eastAsia"/>
                <w:lang w:eastAsia="zh-CN"/>
              </w:rPr>
            </w:pP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 …,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lastRenderedPageBreak/>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0D566D"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7777777" w:rsidR="000D566D" w:rsidRDefault="000D566D">
            <w:pPr>
              <w:rPr>
                <w:rFonts w:eastAsia="DengXian" w:hint="eastAsia"/>
                <w:lang w:eastAsia="zh-CN"/>
              </w:rPr>
            </w:pPr>
          </w:p>
        </w:tc>
        <w:tc>
          <w:tcPr>
            <w:tcW w:w="1107" w:type="dxa"/>
            <w:tcBorders>
              <w:top w:val="single" w:sz="4" w:space="0" w:color="auto"/>
              <w:left w:val="single" w:sz="4" w:space="0" w:color="auto"/>
              <w:bottom w:val="single" w:sz="4" w:space="0" w:color="auto"/>
              <w:right w:val="single" w:sz="4" w:space="0" w:color="auto"/>
            </w:tcBorders>
          </w:tcPr>
          <w:p w14:paraId="1BB1EC9A" w14:textId="77777777" w:rsidR="000D566D" w:rsidRDefault="000D566D">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0D566D" w:rsidRDefault="000D566D" w:rsidP="008F7F21">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 …,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r w:rsidR="00F25CCF">
              <w:rPr>
                <w:lang w:eastAsia="zh-CN"/>
              </w:rPr>
              <w:t>,</w:t>
            </w:r>
            <w:r w:rsidR="003325CB">
              <w:rPr>
                <w:lang w:eastAsia="zh-CN"/>
              </w:rPr>
              <w:t>P17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as shown in 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149.25pt" o:ole="">
                  <v:imagedata r:id="rId14" o:title=""/>
                </v:shape>
                <o:OLEObject Type="Embed" ProgID="Visio.Drawing.15" ShapeID="_x0000_i1025" DrawAspect="Content" ObjectID="_1659464140"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lastRenderedPageBreak/>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0D566D"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77777777" w:rsidR="000D566D" w:rsidRDefault="000D566D">
            <w:pPr>
              <w:rPr>
                <w:rFonts w:eastAsia="Yu Mincho"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77777777" w:rsidR="000D566D" w:rsidRDefault="000D566D">
            <w:pPr>
              <w:rPr>
                <w:rFonts w:eastAsia="Yu Mincho" w:hint="eastAsia"/>
                <w:lang w:eastAsia="zh-CN"/>
              </w:rPr>
            </w:pPr>
          </w:p>
        </w:tc>
      </w:tr>
    </w:tbl>
    <w:p w14:paraId="2D36E207" w14:textId="77777777" w:rsidR="003244EE" w:rsidRPr="00B56433" w:rsidRDefault="003244EE" w:rsidP="003244EE"/>
    <w:p w14:paraId="0585A55D" w14:textId="0A2F5F70" w:rsidR="0076672F" w:rsidRDefault="0076672F" w:rsidP="0076672F">
      <w:pPr>
        <w:pStyle w:val="Heading3"/>
      </w:pPr>
      <w:bookmarkStart w:id="21" w:name="_Toc42165606"/>
      <w:r>
        <w:t>7.3.4</w:t>
      </w:r>
      <w:r>
        <w:tab/>
        <w:t>Analysis of coexistence with legacy UEs</w:t>
      </w:r>
      <w:bookmarkEnd w:id="21"/>
    </w:p>
    <w:p w14:paraId="7BC6302E" w14:textId="77777777" w:rsidR="00F1496C" w:rsidRPr="001877F7" w:rsidRDefault="00F1496C" w:rsidP="00F1496C">
      <w:r w:rsidRPr="001877F7">
        <w:t>Contributions [1, 3, 4, 5, 7, 11, 20] analyze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 …,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e.g,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lastRenderedPageBreak/>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0D566D"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77777777" w:rsidR="000D566D" w:rsidRDefault="000D566D">
            <w:pPr>
              <w:rPr>
                <w:rFonts w:eastAsia="DengXian" w:hint="eastAsia"/>
                <w:lang w:eastAsia="zh-CN"/>
              </w:rPr>
            </w:pPr>
          </w:p>
        </w:tc>
        <w:tc>
          <w:tcPr>
            <w:tcW w:w="1107" w:type="dxa"/>
            <w:tcBorders>
              <w:top w:val="single" w:sz="4" w:space="0" w:color="auto"/>
              <w:left w:val="single" w:sz="4" w:space="0" w:color="auto"/>
              <w:bottom w:val="single" w:sz="4" w:space="0" w:color="auto"/>
              <w:right w:val="single" w:sz="4" w:space="0" w:color="auto"/>
            </w:tcBorders>
          </w:tcPr>
          <w:p w14:paraId="25201B23" w14:textId="77777777" w:rsidR="000D566D" w:rsidRDefault="000D566D">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0D566D" w:rsidRPr="00BA3A04" w:rsidRDefault="000D566D">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 …,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r>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lastRenderedPageBreak/>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0D566D"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77777777" w:rsidR="000D566D" w:rsidRDefault="000D566D">
            <w:pPr>
              <w:rPr>
                <w:rFonts w:eastAsia="DengXian"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77777777" w:rsidR="000D566D" w:rsidRDefault="000D566D">
            <w:pPr>
              <w:rPr>
                <w:rFonts w:eastAsia="DengXian" w:hint="eastAsia"/>
                <w:lang w:eastAsia="zh-CN"/>
              </w:rPr>
            </w:pP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Concerning 50 MHz UE bandwidth in FR2, contributions [3, 5, 17, 29]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 …,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Seems not  a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0D566D"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77777777" w:rsidR="000D566D" w:rsidRDefault="000D566D">
            <w:pPr>
              <w:rPr>
                <w:rFonts w:eastAsia="DengXian" w:hint="eastAsia"/>
                <w:lang w:eastAsia="zh-CN"/>
              </w:rPr>
            </w:pPr>
          </w:p>
        </w:tc>
        <w:tc>
          <w:tcPr>
            <w:tcW w:w="1107" w:type="dxa"/>
            <w:tcBorders>
              <w:top w:val="single" w:sz="4" w:space="0" w:color="auto"/>
              <w:left w:val="single" w:sz="4" w:space="0" w:color="auto"/>
              <w:bottom w:val="single" w:sz="4" w:space="0" w:color="auto"/>
              <w:right w:val="single" w:sz="4" w:space="0" w:color="auto"/>
            </w:tcBorders>
          </w:tcPr>
          <w:p w14:paraId="38C9AB77" w14:textId="77777777" w:rsidR="000D566D" w:rsidRDefault="000D566D">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0D566D" w:rsidRDefault="000D566D">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 …,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SSB/CORESET#0 configurations can be reused. One restriction we 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0D566D"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77777777" w:rsidR="000D566D" w:rsidRDefault="000D566D">
            <w:pPr>
              <w:rPr>
                <w:rFonts w:eastAsia="DengXian"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7777777" w:rsidR="000D566D" w:rsidRDefault="000D566D">
            <w:pPr>
              <w:rPr>
                <w:rFonts w:eastAsia="DengXian" w:hint="eastAsia"/>
                <w:lang w:eastAsia="zh-CN"/>
              </w:rPr>
            </w:pPr>
          </w:p>
        </w:tc>
      </w:tr>
    </w:tbl>
    <w:p w14:paraId="0AE4A588" w14:textId="77777777" w:rsidR="00F1496C" w:rsidRDefault="00F1496C" w:rsidP="00F1496C"/>
    <w:p w14:paraId="732589D8" w14:textId="40AEF474" w:rsidR="0076672F" w:rsidRDefault="0076672F" w:rsidP="0076672F">
      <w:pPr>
        <w:pStyle w:val="Heading3"/>
      </w:pPr>
      <w:bookmarkStart w:id="22" w:name="_Toc42165607"/>
      <w:r>
        <w:lastRenderedPageBreak/>
        <w:t>7.3.5</w:t>
      </w:r>
      <w:r>
        <w:tab/>
        <w:t>Analysis of specification impacts</w:t>
      </w:r>
      <w:bookmarkEnd w:id="22"/>
    </w:p>
    <w:p w14:paraId="72E7210A" w14:textId="6A150576" w:rsidR="001D3221" w:rsidRPr="005174ED" w:rsidRDefault="001D3221" w:rsidP="001D3221">
      <w:r w:rsidRPr="005174ED">
        <w:t xml:space="preserve">Contributions [1, 3, 5, 6, 7, 15, 16, 17, </w:t>
      </w:r>
      <w:r w:rsidR="003B0D0A">
        <w:t xml:space="preserve">19, </w:t>
      </w:r>
      <w:r w:rsidRPr="005174ED">
        <w:t>21, 24, 25, 28]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Contributions [1, 6, 25] conclude that overall specification impact is minimal.</w:t>
      </w:r>
    </w:p>
    <w:p w14:paraId="25085BB1" w14:textId="61DDB0E0" w:rsidR="001D3221" w:rsidRPr="005174ED" w:rsidRDefault="001D3221" w:rsidP="001D3221">
      <w:pPr>
        <w:rPr>
          <w:b/>
          <w:bCs/>
        </w:rPr>
      </w:pPr>
      <w:r w:rsidRPr="009048B1">
        <w:rPr>
          <w:b/>
          <w:bCs/>
        </w:rPr>
        <w:t>Q 7.3.5-1</w:t>
      </w:r>
      <w:r w:rsidR="005174ED" w:rsidRPr="009048B1">
        <w:rPr>
          <w:b/>
          <w:bCs/>
        </w:rPr>
        <w:t>:</w:t>
      </w:r>
      <w:r w:rsidRPr="009048B1">
        <w:rPr>
          <w:b/>
          <w:bCs/>
        </w:rPr>
        <w:t xml:space="preserve"> Does the list above (S1, S2, …,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0D566D"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7777777" w:rsidR="000D566D" w:rsidRDefault="000D566D">
            <w:pPr>
              <w:rPr>
                <w:rFonts w:eastAsia="DengXian" w:hint="eastAsia"/>
                <w:lang w:eastAsia="zh-CN"/>
              </w:rPr>
            </w:pPr>
          </w:p>
        </w:tc>
        <w:tc>
          <w:tcPr>
            <w:tcW w:w="1107" w:type="dxa"/>
            <w:tcBorders>
              <w:top w:val="single" w:sz="4" w:space="0" w:color="auto"/>
              <w:left w:val="single" w:sz="4" w:space="0" w:color="auto"/>
              <w:bottom w:val="single" w:sz="4" w:space="0" w:color="auto"/>
              <w:right w:val="single" w:sz="4" w:space="0" w:color="auto"/>
            </w:tcBorders>
          </w:tcPr>
          <w:p w14:paraId="0F9193B7" w14:textId="77777777" w:rsidR="000D566D" w:rsidRDefault="000D566D">
            <w:pPr>
              <w:rPr>
                <w:rFonts w:eastAsia="Yu Mincho"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0D566D" w:rsidRPr="009C159D" w:rsidRDefault="000D566D">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 …,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lastRenderedPageBreak/>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lastRenderedPageBreak/>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r>
              <w:rPr>
                <w:rFonts w:eastAsia="DengXian"/>
                <w:lang w:eastAsia="zh-CN"/>
              </w:rPr>
              <w:t>the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0D566D"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7777777" w:rsidR="000D566D" w:rsidRDefault="000D566D">
            <w:pPr>
              <w:rPr>
                <w:rFonts w:eastAsia="DengXian"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777777" w:rsidR="000D566D" w:rsidRDefault="000D566D">
            <w:pPr>
              <w:rPr>
                <w:rFonts w:eastAsia="DengXian" w:hint="eastAsia"/>
                <w:lang w:eastAsia="zh-CN"/>
              </w:rPr>
            </w:pP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t>Specification impacts required for supporting 50 MHz maximum UE bandwidth in FR2 are identified in contributions [3, 4, 5, 11, 12, 16, 17, 19, 24, 25, 26, 28, 29, 31, 35].</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 …,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3" w:name="OLE_LINK2"/>
            <w:r w:rsidRPr="007B0446">
              <w:rPr>
                <w:rFonts w:eastAsia="DengXian"/>
                <w:lang w:eastAsia="zh-CN"/>
              </w:rPr>
              <w:t>Lenovo, Motorola Mobility</w:t>
            </w:r>
            <w:bookmarkEnd w:id="23"/>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On the other hand, if the intention is to consider this as a “down-selected list”, then we think such an attempt is too pre-mature at this stage given lack of proper analyses of exactly what would need to be done, and which schemes would actually have a 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0D566D"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77777777" w:rsidR="000D566D" w:rsidRDefault="000D566D">
            <w:pPr>
              <w:rPr>
                <w:rFonts w:eastAsia="DengXian" w:hint="eastAsia"/>
                <w:lang w:eastAsia="zh-CN"/>
              </w:rPr>
            </w:pPr>
          </w:p>
        </w:tc>
        <w:tc>
          <w:tcPr>
            <w:tcW w:w="1107" w:type="dxa"/>
            <w:tcBorders>
              <w:top w:val="single" w:sz="4" w:space="0" w:color="auto"/>
              <w:left w:val="single" w:sz="4" w:space="0" w:color="auto"/>
              <w:bottom w:val="single" w:sz="4" w:space="0" w:color="auto"/>
              <w:right w:val="single" w:sz="4" w:space="0" w:color="auto"/>
            </w:tcBorders>
          </w:tcPr>
          <w:p w14:paraId="3CE26C68" w14:textId="77777777" w:rsidR="000D566D" w:rsidRDefault="000D566D">
            <w:pPr>
              <w:rPr>
                <w:rFonts w:eastAsia="Yu Mincho"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0D566D" w:rsidRDefault="000D566D">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 …,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lastRenderedPageBreak/>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0D566D"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77777777" w:rsidR="000D566D" w:rsidRDefault="000D566D">
            <w:pPr>
              <w:rPr>
                <w:rFonts w:eastAsia="DengXian"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77777777" w:rsidR="000D566D" w:rsidRDefault="000D566D" w:rsidP="005C4C40">
            <w:pPr>
              <w:rPr>
                <w:rFonts w:eastAsia="DengXian" w:hint="eastAsia"/>
                <w:lang w:eastAsia="zh-CN"/>
              </w:rPr>
            </w:pPr>
          </w:p>
        </w:tc>
      </w:tr>
    </w:tbl>
    <w:p w14:paraId="742627CC" w14:textId="32B4C03A" w:rsidR="001D3221" w:rsidRPr="00591F2B" w:rsidRDefault="001D3221" w:rsidP="001D3221"/>
    <w:p w14:paraId="022611FE" w14:textId="77777777" w:rsidR="0076672F" w:rsidRDefault="0076672F" w:rsidP="0076672F">
      <w:pPr>
        <w:pStyle w:val="Heading2"/>
      </w:pPr>
      <w:bookmarkStart w:id="24" w:name="_Toc42165608"/>
      <w:r>
        <w:t>7.4</w:t>
      </w:r>
      <w:r>
        <w:tab/>
        <w:t>Half-duplex FDD operation</w:t>
      </w:r>
      <w:bookmarkEnd w:id="24"/>
    </w:p>
    <w:p w14:paraId="098CEDC1" w14:textId="6605B9A6" w:rsidR="0076672F" w:rsidRDefault="0076672F" w:rsidP="0076672F">
      <w:pPr>
        <w:pStyle w:val="Heading3"/>
      </w:pPr>
      <w:bookmarkStart w:id="25" w:name="_Toc42165609"/>
      <w:r>
        <w:t>7.4.1</w:t>
      </w:r>
      <w:r>
        <w:tab/>
        <w:t>Description of feature</w:t>
      </w:r>
      <w:bookmarkEnd w:id="25"/>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subframe immediately preceding an UL subframe from the same UE, and no UL-to-DL guard period is defined (but can potentially be created by the eNB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subframe immediately preceding an UL subframe from the same UE, and an UL-to-DL guard period is created by not requiring the UE to receive a DL subframe immediately following an UL subframe from the same UE.</w:t>
      </w:r>
    </w:p>
    <w:p w14:paraId="6F58EDEB" w14:textId="77777777" w:rsidR="00ED1746" w:rsidRPr="00511D8A" w:rsidRDefault="00ED1746" w:rsidP="00ED1746">
      <w:r w:rsidRPr="00511D8A">
        <w:t>HD-FDD operation type A is defined for normal LTE, whereas type B is defined for LTE-MTC and NB-IoT. The intention of type B is to facilitate UE implementations with a single oscillator for Tx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31] discuss HD-FDD for UE complexity reduction. Contributions [5, 8, 13, 17, 21, 26, 29] explicitly indicate supportive of introducing or </w:t>
      </w:r>
      <w:r w:rsidRPr="00511D8A">
        <w:lastRenderedPageBreak/>
        <w:t>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r>
              <w:rPr>
                <w:lang w:eastAsia="zh-CN"/>
              </w:rPr>
              <w:t>InterDigital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r w:rsidR="007D3000">
              <w:rPr>
                <w:rFonts w:eastAsia="DengXian" w:hint="eastAsia"/>
                <w:lang w:eastAsia="zh-CN"/>
              </w:rPr>
              <w:t>Spreadtrum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r>
              <w:rPr>
                <w:lang w:eastAsia="zh-CN"/>
              </w:rPr>
              <w:t>ZTE,Sanechips</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lastRenderedPageBreak/>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Futurewei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A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B (because Type A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0D566D" w:rsidRPr="00AB5F6A" w14:paraId="4CA27274"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14182" w14:textId="77777777" w:rsidR="000D566D" w:rsidRPr="000D566D" w:rsidRDefault="000D566D" w:rsidP="00AD759E">
            <w:pPr>
              <w:rPr>
                <w:rFonts w:eastAsia="DengXian"/>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1AFE81" w14:textId="77777777" w:rsidR="000D566D" w:rsidRPr="000D566D" w:rsidRDefault="000D566D" w:rsidP="00AD759E">
            <w:pPr>
              <w:rPr>
                <w:rFonts w:eastAsia="DengXian"/>
                <w:lang w:eastAsia="zh-CN"/>
              </w:rPr>
            </w:pPr>
          </w:p>
        </w:tc>
      </w:tr>
    </w:tbl>
    <w:p w14:paraId="5328C481" w14:textId="01C18699" w:rsidR="00ED1746" w:rsidRPr="00B56433" w:rsidRDefault="00ED1746" w:rsidP="00ED1746"/>
    <w:p w14:paraId="7E89CC98" w14:textId="546DBDFE" w:rsidR="0076672F" w:rsidRDefault="0076672F" w:rsidP="0076672F">
      <w:pPr>
        <w:pStyle w:val="Heading3"/>
      </w:pPr>
      <w:bookmarkStart w:id="26" w:name="_Toc42165610"/>
      <w:r>
        <w:t>7.4.2</w:t>
      </w:r>
      <w:r>
        <w:tab/>
        <w:t>Analysis of UE complexity reduction</w:t>
      </w:r>
      <w:bookmarkEnd w:id="26"/>
    </w:p>
    <w:p w14:paraId="5C777749" w14:textId="77777777" w:rsidR="00612FAC" w:rsidRPr="00A77492" w:rsidRDefault="00612FAC" w:rsidP="00612FAC">
      <w:pPr>
        <w:rPr>
          <w:lang w:val="en-US"/>
        </w:rPr>
      </w:pPr>
      <w:r w:rsidRPr="00A77492">
        <w:rPr>
          <w:lang w:val="en-US"/>
        </w:rPr>
        <w:t>Contributions [1, 2, 3, 4, 5, 6, 8, 10, 13, 15, 17, 20, 21, 22, 25, 26, 30]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7" w:name="_Toc42165611"/>
      <w:r>
        <w:t>7.4.3</w:t>
      </w:r>
      <w:r>
        <w:tab/>
        <w:t>Analysis of performance impacts</w:t>
      </w:r>
      <w:bookmarkEnd w:id="27"/>
    </w:p>
    <w:p w14:paraId="10599C6A" w14:textId="77777777" w:rsidR="00DF7EB6" w:rsidRPr="00DC72F8" w:rsidRDefault="00DF7EB6" w:rsidP="00DF7EB6">
      <w:pPr>
        <w:rPr>
          <w:lang w:val="en-US"/>
        </w:rPr>
      </w:pPr>
      <w:r w:rsidRPr="00DC72F8">
        <w:rPr>
          <w:lang w:val="en-US"/>
        </w:rPr>
        <w:t>Contributions [1, 2, 3, 5, 6, 7, 8, 13, 15, 17, 20, 21, 22, 25, 27, 29, 30]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 …,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r>
              <w:rPr>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lastRenderedPageBreak/>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F40B2B"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77777777" w:rsidR="00F40B2B" w:rsidRDefault="00F40B2B">
            <w:pPr>
              <w:rPr>
                <w:rFonts w:eastAsia="DengXian" w:hint="eastAsia"/>
                <w:lang w:eastAsia="zh-CN"/>
              </w:rPr>
            </w:pPr>
          </w:p>
        </w:tc>
        <w:tc>
          <w:tcPr>
            <w:tcW w:w="1107" w:type="dxa"/>
            <w:tcBorders>
              <w:top w:val="single" w:sz="4" w:space="0" w:color="auto"/>
              <w:left w:val="single" w:sz="4" w:space="0" w:color="auto"/>
              <w:bottom w:val="single" w:sz="4" w:space="0" w:color="auto"/>
              <w:right w:val="single" w:sz="4" w:space="0" w:color="auto"/>
            </w:tcBorders>
          </w:tcPr>
          <w:p w14:paraId="6F4150BE" w14:textId="77777777" w:rsidR="00F40B2B" w:rsidRDefault="00F40B2B">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F40B2B" w:rsidRPr="005C4C40" w:rsidRDefault="00F40B2B">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 …,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F40B2B"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77777777" w:rsidR="00F40B2B" w:rsidRDefault="00F40B2B">
            <w:pPr>
              <w:rPr>
                <w:rFonts w:eastAsia="DengXian"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7777777" w:rsidR="00F40B2B" w:rsidRDefault="00F40B2B">
            <w:pPr>
              <w:rPr>
                <w:rFonts w:hint="eastAsia"/>
                <w:lang w:eastAsia="zh-CN"/>
              </w:rPr>
            </w:pPr>
          </w:p>
        </w:tc>
      </w:tr>
    </w:tbl>
    <w:p w14:paraId="326213B9" w14:textId="77777777" w:rsidR="00DF7EB6" w:rsidRPr="00B56433" w:rsidRDefault="00DF7EB6" w:rsidP="00DF7EB6"/>
    <w:p w14:paraId="0FC983AD" w14:textId="0F7D279C" w:rsidR="0076672F" w:rsidRDefault="0076672F" w:rsidP="0076672F">
      <w:pPr>
        <w:pStyle w:val="Heading3"/>
      </w:pPr>
      <w:bookmarkStart w:id="28" w:name="_Toc42165612"/>
      <w:r>
        <w:t>7.4.4</w:t>
      </w:r>
      <w:r>
        <w:tab/>
        <w:t>Analysis of coexistence with legacy UEs</w:t>
      </w:r>
      <w:bookmarkEnd w:id="28"/>
    </w:p>
    <w:p w14:paraId="7B7C17BB" w14:textId="77777777" w:rsidR="00BB4856" w:rsidRPr="002E7E7D" w:rsidRDefault="00BB4856" w:rsidP="00BB4856">
      <w:pPr>
        <w:rPr>
          <w:lang w:val="en-US"/>
        </w:rPr>
      </w:pPr>
      <w:r w:rsidRPr="002E7E7D">
        <w:rPr>
          <w:lang w:val="en-US"/>
        </w:rPr>
        <w:t>Contributions [1, 2, 3, 5, 7, 17, 25]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Contributions [1, 5, 17, 25]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C3)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r w:rsidRPr="007D3000">
              <w:rPr>
                <w:lang w:eastAsia="sv-SE"/>
              </w:rPr>
              <w:t>Spreadtrum</w:t>
            </w:r>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F40B2B"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77777777" w:rsidR="00F40B2B" w:rsidRDefault="00F40B2B">
            <w:pPr>
              <w:rPr>
                <w:rFonts w:hint="eastAsia"/>
                <w:lang w:eastAsia="zh-CN"/>
              </w:rPr>
            </w:pPr>
          </w:p>
        </w:tc>
        <w:tc>
          <w:tcPr>
            <w:tcW w:w="1107" w:type="dxa"/>
            <w:tcBorders>
              <w:top w:val="single" w:sz="4" w:space="0" w:color="auto"/>
              <w:left w:val="single" w:sz="4" w:space="0" w:color="auto"/>
              <w:bottom w:val="single" w:sz="4" w:space="0" w:color="auto"/>
              <w:right w:val="single" w:sz="4" w:space="0" w:color="auto"/>
            </w:tcBorders>
          </w:tcPr>
          <w:p w14:paraId="21613CFB" w14:textId="77777777" w:rsidR="00F40B2B" w:rsidRDefault="00F40B2B">
            <w:pPr>
              <w:rPr>
                <w:rFonts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F40B2B" w:rsidRDefault="00F40B2B">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C3)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lastRenderedPageBreak/>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F40B2B"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77777777" w:rsidR="00F40B2B" w:rsidRDefault="00F40B2B">
            <w:pPr>
              <w:rPr>
                <w:rFonts w:eastAsia="DengXian"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77777777" w:rsidR="00F40B2B" w:rsidRDefault="00F40B2B">
            <w:pPr>
              <w:rPr>
                <w:rFonts w:eastAsia="DengXian" w:hint="eastAsia"/>
                <w:lang w:eastAsia="zh-CN"/>
              </w:rPr>
            </w:pPr>
          </w:p>
        </w:tc>
      </w:tr>
    </w:tbl>
    <w:p w14:paraId="0AAC6682" w14:textId="77777777" w:rsidR="00BB4856" w:rsidRDefault="00BB4856" w:rsidP="00BB4856"/>
    <w:p w14:paraId="40CD4FAD" w14:textId="2867202E" w:rsidR="0076672F" w:rsidRDefault="0076672F" w:rsidP="0076672F">
      <w:pPr>
        <w:pStyle w:val="Heading3"/>
      </w:pPr>
      <w:bookmarkStart w:id="29" w:name="_Toc42165613"/>
      <w:r>
        <w:t>7.4.5</w:t>
      </w:r>
      <w:r>
        <w:tab/>
        <w:t>Analysis of specification impacts</w:t>
      </w:r>
      <w:bookmarkEnd w:id="29"/>
    </w:p>
    <w:p w14:paraId="15EFD463" w14:textId="77777777" w:rsidR="00DF4951" w:rsidRPr="00DF4951" w:rsidRDefault="00DF4951" w:rsidP="00DF4951">
      <w:r w:rsidRPr="00DF4951">
        <w:t>Contributions [1, 3, 4, 5, 6, 7, 9, 10, 12, 15, 17, 20, 22, 23, 25, 26, 29, 30]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Contributions [9, 22, 30] suggest a DL-to-UL switching time may be created by not receiving symbols at the end of the DL slot immediately preceding the uplink transmission slot. Contributions [9, 20, 22, 30]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Contributions [6, 7, 25]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 …,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r w:rsidRPr="007D3000">
              <w:rPr>
                <w:rFonts w:hint="eastAsia"/>
                <w:lang w:eastAsia="zh-CN"/>
              </w:rPr>
              <w:t>Sp</w:t>
            </w:r>
            <w:r w:rsidRPr="007D3000">
              <w:rPr>
                <w:lang w:eastAsia="zh-CN"/>
              </w:rPr>
              <w:t>readtrum</w:t>
            </w:r>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r>
              <w:rPr>
                <w:lang w:eastAsia="zh-CN"/>
              </w:rPr>
              <w:lastRenderedPageBreak/>
              <w:t>ZTE,Sanechips</w:t>
            </w:r>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F40B2B"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7777777" w:rsidR="00F40B2B" w:rsidRDefault="00F40B2B">
            <w:pPr>
              <w:rPr>
                <w:rFonts w:eastAsia="DengXian" w:hint="eastAsia"/>
                <w:lang w:eastAsia="zh-CN"/>
              </w:rPr>
            </w:pPr>
          </w:p>
        </w:tc>
        <w:tc>
          <w:tcPr>
            <w:tcW w:w="1107" w:type="dxa"/>
            <w:tcBorders>
              <w:top w:val="single" w:sz="4" w:space="0" w:color="auto"/>
              <w:left w:val="single" w:sz="4" w:space="0" w:color="auto"/>
              <w:bottom w:val="single" w:sz="4" w:space="0" w:color="auto"/>
              <w:right w:val="single" w:sz="4" w:space="0" w:color="auto"/>
            </w:tcBorders>
          </w:tcPr>
          <w:p w14:paraId="1D8CDE15" w14:textId="77777777" w:rsidR="00F40B2B" w:rsidRDefault="00F40B2B">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F40B2B" w:rsidRPr="00D27FF2" w:rsidRDefault="00F40B2B">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30" w:name="_Hlk48567685"/>
      <w:r w:rsidRPr="00E302F8">
        <w:rPr>
          <w:b/>
          <w:bCs/>
        </w:rPr>
        <w:t>Q 7.4.5-2</w:t>
      </w:r>
      <w:r w:rsidR="00E302F8" w:rsidRPr="00E302F8">
        <w:rPr>
          <w:b/>
          <w:bCs/>
        </w:rPr>
        <w:t>:</w:t>
      </w:r>
      <w:r w:rsidRPr="00E302F8">
        <w:rPr>
          <w:b/>
          <w:bCs/>
        </w:rPr>
        <w:t xml:space="preserve"> Which of the identified specification impacts in the list above (S1, S2, …,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30"/>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lastRenderedPageBreak/>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F40B2B"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77777777" w:rsidR="00F40B2B" w:rsidRDefault="00F40B2B">
            <w:pPr>
              <w:rPr>
                <w:rFonts w:eastAsia="DengXian"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7777777" w:rsidR="00F40B2B" w:rsidRDefault="00F40B2B">
            <w:pPr>
              <w:rPr>
                <w:rFonts w:eastAsia="DengXian" w:hint="eastAsia"/>
                <w:lang w:eastAsia="zh-CN"/>
              </w:rPr>
            </w:pPr>
          </w:p>
        </w:tc>
      </w:tr>
    </w:tbl>
    <w:p w14:paraId="7035191D" w14:textId="77777777" w:rsidR="00DF4951" w:rsidRPr="00591F2B" w:rsidRDefault="00DF4951" w:rsidP="00DF4951"/>
    <w:p w14:paraId="1F7672CC" w14:textId="77777777" w:rsidR="0076672F" w:rsidRDefault="0076672F" w:rsidP="0076672F">
      <w:pPr>
        <w:pStyle w:val="Heading2"/>
      </w:pPr>
      <w:bookmarkStart w:id="31" w:name="_Toc42165614"/>
      <w:r>
        <w:t>7.5</w:t>
      </w:r>
      <w:r>
        <w:tab/>
        <w:t>Relaxed UE processing time</w:t>
      </w:r>
      <w:bookmarkEnd w:id="31"/>
    </w:p>
    <w:p w14:paraId="1E1EB282" w14:textId="1E1C347E" w:rsidR="0076672F" w:rsidRDefault="0076672F" w:rsidP="0076672F">
      <w:pPr>
        <w:pStyle w:val="Heading3"/>
      </w:pPr>
      <w:bookmarkStart w:id="32" w:name="_Toc42165615"/>
      <w:r>
        <w:t>7.5.1</w:t>
      </w:r>
      <w:r>
        <w:tab/>
        <w:t>Description of feature</w:t>
      </w:r>
      <w:bookmarkEnd w:id="32"/>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t xml:space="preserve">Many </w:t>
      </w:r>
      <w:r>
        <w:t xml:space="preserve">contributions </w:t>
      </w:r>
      <w:r w:rsidRPr="00823691">
        <w:t>[</w:t>
      </w:r>
      <w:r>
        <w:t>1, 2, 3, 4, 5, 6, 8, 11, 12, 13, 16, 17, 19, 20, 21, 27, 29, 31]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r>
              <w:rPr>
                <w:lang w:eastAsia="sv-SE"/>
              </w:rPr>
              <w:t>InterDigital</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r w:rsidRPr="007D3000">
              <w:rPr>
                <w:rFonts w:eastAsia="Yu Mincho" w:hint="eastAsia"/>
                <w:lang w:eastAsia="ja-JP"/>
              </w:rPr>
              <w:t>Sp</w:t>
            </w:r>
            <w:r w:rsidRPr="007D3000">
              <w:rPr>
                <w:rFonts w:eastAsia="Yu Mincho"/>
                <w:lang w:eastAsia="ja-JP"/>
              </w:rPr>
              <w:t>readtrum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r>
              <w:rPr>
                <w:lang w:eastAsia="zh-CN"/>
              </w:rPr>
              <w:t>ZTE,Sanechips</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lastRenderedPageBreak/>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8045393" w14:textId="77777777" w:rsidR="00F40B2B" w:rsidRPr="00F40B2B" w:rsidRDefault="00F40B2B" w:rsidP="00AD759E">
            <w:pPr>
              <w:rPr>
                <w:rFonts w:eastAsia="DengXian"/>
                <w:lang w:eastAsia="zh-CN"/>
              </w:rPr>
            </w:pP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906E447" w14:textId="77777777" w:rsidR="00F40B2B" w:rsidRPr="00F40B2B" w:rsidRDefault="00F40B2B" w:rsidP="00AD759E">
            <w:pPr>
              <w:rPr>
                <w:rFonts w:eastAsia="Yu Mincho"/>
                <w:lang w:eastAsia="ja-JP"/>
              </w:rPr>
            </w:pPr>
          </w:p>
        </w:tc>
      </w:tr>
    </w:tbl>
    <w:p w14:paraId="4ACF9628" w14:textId="77777777" w:rsidR="000D7CD7" w:rsidRPr="00B56433" w:rsidRDefault="000D7CD7" w:rsidP="000D7CD7"/>
    <w:p w14:paraId="18C05EB1" w14:textId="77777777" w:rsidR="000D7CD7" w:rsidRDefault="000D7CD7" w:rsidP="000D7CD7">
      <w:r>
        <w:t>Some contributions [2, 12, 17, 27, 29]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r>
              <w:rPr>
                <w:lang w:eastAsia="sv-SE"/>
              </w:rPr>
              <w:t>InterDigital</w:t>
            </w:r>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r>
              <w:rPr>
                <w:lang w:eastAsia="zh-CN"/>
              </w:rPr>
              <w:t>ZTE,Sanechips</w:t>
            </w:r>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lastRenderedPageBreak/>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Docomo’s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B52AB50" w14:textId="77777777" w:rsidR="00F40B2B" w:rsidRPr="00F40B2B" w:rsidRDefault="00F40B2B" w:rsidP="00AD759E">
            <w:pPr>
              <w:rPr>
                <w:rFonts w:eastAsia="DengXian"/>
                <w:lang w:eastAsia="zh-CN"/>
              </w:rPr>
            </w:pP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77777777" w:rsidR="00F40B2B" w:rsidRPr="00F40B2B" w:rsidRDefault="00F40B2B" w:rsidP="00AD759E">
            <w:pPr>
              <w:rPr>
                <w:rFonts w:eastAsia="DengXian"/>
                <w:lang w:eastAsia="zh-CN"/>
              </w:rPr>
            </w:pPr>
          </w:p>
        </w:tc>
      </w:tr>
    </w:tbl>
    <w:p w14:paraId="63A43DC4" w14:textId="77777777" w:rsidR="000D7CD7" w:rsidRPr="00B56433" w:rsidRDefault="000D7CD7" w:rsidP="000D7CD7"/>
    <w:p w14:paraId="1AB2FA1F" w14:textId="1C2562D1" w:rsidR="0076672F" w:rsidRDefault="0076672F" w:rsidP="0076672F">
      <w:pPr>
        <w:pStyle w:val="Heading3"/>
      </w:pPr>
      <w:bookmarkStart w:id="33" w:name="_Toc42165616"/>
      <w:r>
        <w:t>7.5.2</w:t>
      </w:r>
      <w:r>
        <w:tab/>
        <w:t>Analysis of UE complexity reduction</w:t>
      </w:r>
      <w:bookmarkEnd w:id="33"/>
    </w:p>
    <w:p w14:paraId="028FD297" w14:textId="77777777" w:rsidR="00D6067C" w:rsidRDefault="00D6067C" w:rsidP="00D6067C">
      <w:pPr>
        <w:rPr>
          <w:lang w:eastAsia="ja-JP"/>
        </w:rPr>
      </w:pPr>
      <w:r>
        <w:rPr>
          <w:lang w:eastAsia="ja-JP"/>
        </w:rPr>
        <w:t xml:space="preserve">Many contributions </w:t>
      </w:r>
      <w:r>
        <w:t xml:space="preserve">[1, 2, 3, 4, 5, 6, 8, 11, 12, 13, 16, 17, 19, 20, 21, 27, 29, 31]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20]. Contributions [1, 6, 17, 20, 27]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lastRenderedPageBreak/>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27]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Contributions [1, 8, 17, 27]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4" w:name="_Toc42165617"/>
      <w:r>
        <w:t>7.5.3</w:t>
      </w:r>
      <w:r>
        <w:tab/>
        <w:t>Analysis of performance impacts</w:t>
      </w:r>
      <w:bookmarkEnd w:id="34"/>
    </w:p>
    <w:p w14:paraId="02513E07" w14:textId="1EDC8115" w:rsidR="0097722A" w:rsidRPr="0097722A" w:rsidRDefault="0097722A" w:rsidP="0097722A">
      <w:pPr>
        <w:rPr>
          <w:lang w:val="en-US"/>
        </w:rPr>
      </w:pPr>
      <w:r w:rsidRPr="0097722A">
        <w:rPr>
          <w:lang w:val="en-US"/>
        </w:rPr>
        <w:t>Contributions [</w:t>
      </w:r>
      <w:r w:rsidRPr="0097722A">
        <w:rPr>
          <w:lang w:val="en-US" w:eastAsia="ja-JP"/>
        </w:rPr>
        <w:t>1, 2, 3, 4, 5, 6, 8, 11, 13, 16, 17, 20, 27, 29, 31]</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Contributions [1, 2, 4, 16, 20, 27, 29, 31]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t is mentioned in several contributions [1, 2, 3, 8, 20, 27]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Contributions [1, 2, 8, 17]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lastRenderedPageBreak/>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31]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ontributions [1, 5, 6, 20, 27]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 …,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lastRenderedPageBreak/>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F40B2B"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77777777" w:rsidR="00F40B2B" w:rsidRDefault="00F40B2B">
            <w:pPr>
              <w:rPr>
                <w:rFonts w:eastAsia="DengXian" w:hint="eastAsia"/>
                <w:lang w:eastAsia="zh-CN"/>
              </w:rPr>
            </w:pPr>
          </w:p>
        </w:tc>
        <w:tc>
          <w:tcPr>
            <w:tcW w:w="1107" w:type="dxa"/>
            <w:tcBorders>
              <w:top w:val="single" w:sz="4" w:space="0" w:color="auto"/>
              <w:left w:val="single" w:sz="4" w:space="0" w:color="auto"/>
              <w:bottom w:val="single" w:sz="4" w:space="0" w:color="auto"/>
              <w:right w:val="single" w:sz="4" w:space="0" w:color="auto"/>
            </w:tcBorders>
          </w:tcPr>
          <w:p w14:paraId="1AB372D6" w14:textId="77777777" w:rsidR="00F40B2B" w:rsidRDefault="00F40B2B">
            <w:pPr>
              <w:rPr>
                <w:rFonts w:eastAsia="DengXian"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F40B2B" w:rsidRPr="006222E7" w:rsidRDefault="00F40B2B">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 …,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F40B2B"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77777777" w:rsidR="00F40B2B" w:rsidRDefault="00F40B2B">
            <w:pPr>
              <w:rPr>
                <w:rFonts w:eastAsia="DengXian"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77777777" w:rsidR="00F40B2B" w:rsidRDefault="00F40B2B">
            <w:pPr>
              <w:rPr>
                <w:rFonts w:eastAsia="DengXian" w:hint="eastAsia"/>
                <w:lang w:eastAsia="zh-CN"/>
              </w:rPr>
            </w:pP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5" w:name="_Toc42165618"/>
      <w:r>
        <w:t>7.5.4</w:t>
      </w:r>
      <w:r>
        <w:tab/>
        <w:t>Analysis of coexistence with legacy UEs</w:t>
      </w:r>
      <w:bookmarkEnd w:id="35"/>
    </w:p>
    <w:p w14:paraId="18A6ECA9" w14:textId="77777777" w:rsidR="002369B7" w:rsidRDefault="002369B7" w:rsidP="002369B7">
      <w:pPr>
        <w:rPr>
          <w:lang w:eastAsia="ja-JP"/>
        </w:rPr>
      </w:pPr>
      <w:r>
        <w:rPr>
          <w:lang w:eastAsia="ja-JP"/>
        </w:rPr>
        <w:t>Some contributions [1, 5, 17, 21]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r>
              <w:rPr>
                <w:lang w:eastAsia="zh-CN"/>
              </w:rPr>
              <w:t>ZTE,Sanechips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F40B2B"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77777777" w:rsidR="00F40B2B" w:rsidRDefault="00F40B2B">
            <w:pPr>
              <w:rPr>
                <w:rFonts w:eastAsia="DengXian" w:hint="eastAsia"/>
                <w:lang w:eastAsia="zh-CN"/>
              </w:rPr>
            </w:pP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77777777" w:rsidR="00F40B2B" w:rsidRDefault="00F40B2B">
            <w:pPr>
              <w:rPr>
                <w:rFonts w:eastAsia="DengXian" w:hint="eastAsia"/>
                <w:lang w:eastAsia="zh-CN"/>
              </w:rPr>
            </w:pP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r>
        <w:rPr>
          <w:b/>
          <w:bCs/>
        </w:rPr>
        <w:t>C3</w:t>
      </w:r>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F40B2B"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77777777" w:rsidR="00F40B2B" w:rsidRDefault="00F40B2B">
            <w:pPr>
              <w:rPr>
                <w:rFonts w:eastAsia="DengXian"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77777777" w:rsidR="00F40B2B" w:rsidRDefault="00F40B2B">
            <w:pPr>
              <w:rPr>
                <w:rFonts w:eastAsia="DengXian" w:hint="eastAsia"/>
                <w:lang w:eastAsia="zh-CN"/>
              </w:rPr>
            </w:pPr>
          </w:p>
        </w:tc>
      </w:tr>
    </w:tbl>
    <w:p w14:paraId="7A981402" w14:textId="77777777" w:rsidR="00312B2F" w:rsidRDefault="00312B2F" w:rsidP="002369B7"/>
    <w:p w14:paraId="6047D18C" w14:textId="287458A4" w:rsidR="0076672F" w:rsidRDefault="0076672F" w:rsidP="0076672F">
      <w:pPr>
        <w:pStyle w:val="Heading3"/>
      </w:pPr>
      <w:bookmarkStart w:id="36" w:name="_Toc42165619"/>
      <w:r>
        <w:lastRenderedPageBreak/>
        <w:t>7.5.5</w:t>
      </w:r>
      <w:r>
        <w:tab/>
        <w:t>Analysis of specification impacts</w:t>
      </w:r>
      <w:bookmarkEnd w:id="36"/>
    </w:p>
    <w:p w14:paraId="05948DCF" w14:textId="77777777" w:rsidR="002369B7" w:rsidRDefault="002369B7" w:rsidP="002369B7">
      <w:pPr>
        <w:rPr>
          <w:lang w:eastAsia="ja-JP"/>
        </w:rPr>
      </w:pPr>
      <w:r>
        <w:rPr>
          <w:lang w:eastAsia="ja-JP"/>
        </w:rPr>
        <w:t>Contributions [1, 2, 3, 6, 17, 20]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Other potential impacts on scheduling timing related to the existing default TDRA tables and HARQ-ACK timing range are mentioned by contributions [5, 17, 19].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r>
              <w:rPr>
                <w:lang w:eastAsia="zh-CN"/>
              </w:rPr>
              <w:t>ZTE,Sanechips</w:t>
            </w:r>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7"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F40B2B" w14:paraId="7C986C4E" w14:textId="77777777" w:rsidTr="00BC1656">
        <w:tc>
          <w:tcPr>
            <w:tcW w:w="1860" w:type="dxa"/>
          </w:tcPr>
          <w:p w14:paraId="6DF2CA10" w14:textId="77777777" w:rsidR="00F40B2B" w:rsidRDefault="00F40B2B">
            <w:pPr>
              <w:rPr>
                <w:rFonts w:hint="eastAsia"/>
                <w:lang w:eastAsia="zh-CN"/>
              </w:rPr>
            </w:pPr>
          </w:p>
        </w:tc>
        <w:tc>
          <w:tcPr>
            <w:tcW w:w="7769" w:type="dxa"/>
          </w:tcPr>
          <w:p w14:paraId="163EA6F9" w14:textId="77777777" w:rsidR="00F40B2B" w:rsidRDefault="00F40B2B">
            <w:pPr>
              <w:rPr>
                <w:rFonts w:hint="eastAsia"/>
                <w:lang w:eastAsia="zh-CN"/>
              </w:rPr>
            </w:pP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lastRenderedPageBreak/>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r w:rsidRPr="007D3000">
              <w:rPr>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F40B2B"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777777" w:rsidR="00F40B2B" w:rsidRDefault="00F40B2B">
            <w:pPr>
              <w:rPr>
                <w:rFonts w:eastAsia="DengXian"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77777777" w:rsidR="00F40B2B" w:rsidRDefault="00F40B2B">
            <w:pPr>
              <w:rPr>
                <w:rFonts w:eastAsia="DengXian" w:hint="eastAsia"/>
                <w:lang w:eastAsia="zh-CN"/>
              </w:rPr>
            </w:pP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7"/>
    </w:p>
    <w:p w14:paraId="0C9353EC" w14:textId="4E19A41E" w:rsidR="0076672F" w:rsidRDefault="0076672F" w:rsidP="0076672F">
      <w:pPr>
        <w:pStyle w:val="Heading3"/>
      </w:pPr>
      <w:bookmarkStart w:id="38" w:name="_Toc42165621"/>
      <w:r>
        <w:t>7.6.1</w:t>
      </w:r>
      <w:r>
        <w:tab/>
        <w:t>Description of feature</w:t>
      </w:r>
      <w:bookmarkEnd w:id="38"/>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Contributions [1, 8, 17]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A few contributions [13, 19, 27]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lastRenderedPageBreak/>
        <w:t>Maximum modulation order and maximum number of MIMO layers</w:t>
      </w:r>
    </w:p>
    <w:p w14:paraId="5B9F0F44" w14:textId="77777777" w:rsidR="004E7775" w:rsidRDefault="004E7775" w:rsidP="004E7775">
      <w:pPr>
        <w:rPr>
          <w:lang w:eastAsia="ja-JP"/>
        </w:rPr>
      </w:pPr>
      <w:r>
        <w:rPr>
          <w:lang w:eastAsia="ja-JP"/>
        </w:rPr>
        <w:t>Many contributions [1, 2, 3, 4, 5, 6, 11, 12, 13, 16, 18, 20, 23, 27, 29, 30]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Several contributions [1, 3, 5, 11, 12, 16, 20, 23, 27, 30]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A few contributions [1, 3, 17, 18]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Some contributions [2, 12, 16, 23, 29, 30]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t>Reducing the maximum number of HARQ processes</w:t>
      </w:r>
    </w:p>
    <w:p w14:paraId="6514A6C9" w14:textId="77777777" w:rsidR="004E7775" w:rsidRDefault="004E7775" w:rsidP="004E7775">
      <w:pPr>
        <w:rPr>
          <w:lang w:eastAsia="ja-JP"/>
        </w:rPr>
      </w:pPr>
      <w:r>
        <w:rPr>
          <w:lang w:eastAsia="ja-JP"/>
        </w:rPr>
        <w:t>A few contributions [1, 2, 3, 17] indicate soft buffer size saving via reducing the number of HARQ processes are insignificant or the gain is unclear as the HARQ process partition is up to UE implementation in NR. Furthermore, a few contributions [1, 2, 8]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Some contributions [4, 11, 16, 20, 29, 30]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Some other contributions [4, 23, 29]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A few contributions [5, 12, 16, 27, 29, 30]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lastRenderedPageBreak/>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64 QAM can be considered as max. modulation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lastRenderedPageBreak/>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77777777" w:rsidR="00F40B2B" w:rsidRPr="00F40B2B" w:rsidRDefault="00F40B2B" w:rsidP="00AD759E">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195F98" w14:textId="77777777" w:rsidR="00F40B2B" w:rsidRPr="00F40B2B" w:rsidRDefault="00F40B2B" w:rsidP="00AD759E">
            <w:pPr>
              <w:rPr>
                <w:rFonts w:eastAsia="DengXian"/>
                <w:lang w:eastAsia="zh-CN"/>
              </w:rPr>
            </w:pP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r>
              <w:rPr>
                <w:lang w:eastAsia="zh-CN"/>
              </w:rPr>
              <w:t>InterDigital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r w:rsidRPr="007D3000">
              <w:rPr>
                <w:rFonts w:eastAsia="Yu Mincho"/>
                <w:lang w:eastAsia="ja-JP"/>
              </w:rPr>
              <w:t>Spreadtrum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r>
              <w:rPr>
                <w:lang w:eastAsia="zh-CN"/>
              </w:rPr>
              <w:t>ZTE,Sanechips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lastRenderedPageBreak/>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77777777" w:rsidR="00F40B2B" w:rsidRPr="00F40B2B" w:rsidRDefault="00F40B2B" w:rsidP="00AD759E">
            <w:pPr>
              <w:rPr>
                <w:rFonts w:eastAsia="DengXian"/>
                <w:lang w:eastAsia="zh-CN"/>
              </w:rPr>
            </w:pP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81917B9" w14:textId="77777777" w:rsidR="00F40B2B" w:rsidRPr="00F40B2B" w:rsidRDefault="00F40B2B" w:rsidP="00AD759E">
            <w:pPr>
              <w:rPr>
                <w:rFonts w:eastAsia="DengXian"/>
                <w:lang w:eastAsia="zh-CN"/>
              </w:rPr>
            </w:pP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r>
              <w:rPr>
                <w:lang w:eastAsia="zh-CN"/>
              </w:rPr>
              <w:t>InterDigital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77777777" w:rsidR="00F40B2B" w:rsidRPr="00F40B2B" w:rsidRDefault="00F40B2B" w:rsidP="00AD759E">
            <w:pPr>
              <w:rPr>
                <w:rFonts w:eastAsia="DengXian"/>
                <w:lang w:eastAsia="zh-CN"/>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77777777" w:rsidR="00F40B2B" w:rsidRPr="00F40B2B" w:rsidRDefault="00F40B2B" w:rsidP="00AD759E">
            <w:pPr>
              <w:rPr>
                <w:rFonts w:eastAsia="DengXian"/>
                <w:lang w:eastAsia="zh-CN"/>
              </w:rPr>
            </w:pP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r>
              <w:rPr>
                <w:lang w:eastAsia="sv-SE"/>
              </w:rPr>
              <w:t>InterDigital</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r>
              <w:rPr>
                <w:lang w:eastAsia="zh-CN"/>
              </w:rPr>
              <w:t>ZTE,Sanechips</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lastRenderedPageBreak/>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A3DCF6D" w14:textId="77777777" w:rsidR="00F40B2B" w:rsidRPr="00F40B2B" w:rsidRDefault="00F40B2B" w:rsidP="00AD759E">
            <w:pPr>
              <w:rPr>
                <w:rFonts w:eastAsia="DengXian"/>
                <w:lang w:eastAsia="zh-CN"/>
              </w:rPr>
            </w:pP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04B4897" w14:textId="77777777" w:rsidR="00F40B2B" w:rsidRPr="00F40B2B" w:rsidRDefault="00F40B2B" w:rsidP="00AD759E">
            <w:pPr>
              <w:rPr>
                <w:rFonts w:eastAsia="DengXian"/>
                <w:lang w:eastAsia="zh-CN"/>
              </w:rPr>
            </w:pPr>
          </w:p>
        </w:tc>
      </w:tr>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r>
              <w:rPr>
                <w:lang w:eastAsia="zh-CN"/>
              </w:rPr>
              <w:t>Spreadtrum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r>
              <w:rPr>
                <w:lang w:eastAsia="zh-CN"/>
              </w:rPr>
              <w:t>ZTE,Sanechips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lastRenderedPageBreak/>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F40B2B"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77777777" w:rsidR="00F40B2B" w:rsidRPr="00F40B2B" w:rsidRDefault="00F40B2B">
            <w:pPr>
              <w:rPr>
                <w:rFonts w:eastAsia="DengXian" w:hint="eastAsia"/>
                <w:lang w:eastAsia="zh-CN"/>
              </w:rPr>
            </w:pP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7777777" w:rsidR="00F40B2B" w:rsidRPr="00F40B2B" w:rsidRDefault="00F40B2B">
            <w:pPr>
              <w:rPr>
                <w:rFonts w:eastAsia="DengXian" w:hint="eastAsia"/>
                <w:lang w:eastAsia="zh-CN"/>
              </w:rPr>
            </w:pPr>
          </w:p>
        </w:tc>
      </w:tr>
    </w:tbl>
    <w:p w14:paraId="3D7F9E76" w14:textId="77777777" w:rsidR="004E7775" w:rsidRPr="009F63A6" w:rsidRDefault="004E7775" w:rsidP="004E7775"/>
    <w:p w14:paraId="0B0736B7" w14:textId="5C253CC9" w:rsidR="0076672F" w:rsidRDefault="0076672F" w:rsidP="0076672F">
      <w:pPr>
        <w:pStyle w:val="Heading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r w:rsidRPr="00EF43F6">
              <w:rPr>
                <w:sz w:val="18"/>
                <w:szCs w:val="18"/>
                <w:u w:val="single"/>
                <w:lang w:eastAsia="zh-CN"/>
              </w:rPr>
              <w:t>xQAM -&gt; yQAM:</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lastRenderedPageBreak/>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lastRenderedPageBreak/>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lastRenderedPageBreak/>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Contributions [1, 5, 6, 17, 30]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lastRenderedPageBreak/>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 …,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hint="eastAsia"/>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rFonts w:hint="eastAsia"/>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 …,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r>
              <w:rPr>
                <w:lang w:eastAsia="zh-CN"/>
              </w:rPr>
              <w:t>Spreadtrum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hint="eastAsia"/>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hint="eastAsia"/>
                <w:lang w:eastAsia="ja-JP"/>
              </w:rPr>
            </w:pPr>
          </w:p>
        </w:tc>
      </w:tr>
    </w:tbl>
    <w:p w14:paraId="2F9B27C7" w14:textId="49AC74D6" w:rsidR="0012772A" w:rsidRDefault="0012772A" w:rsidP="00264A4E"/>
    <w:p w14:paraId="33C94776" w14:textId="77777777" w:rsidR="0076672F" w:rsidRDefault="0076672F" w:rsidP="0076672F">
      <w:pPr>
        <w:pStyle w:val="Heading3"/>
      </w:pPr>
      <w:bookmarkStart w:id="41" w:name="_Toc42165624"/>
      <w:r>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30]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r>
              <w:rPr>
                <w:lang w:eastAsia="zh-CN"/>
              </w:rPr>
              <w:lastRenderedPageBreak/>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Msg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hint="eastAsia"/>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hint="eastAsia"/>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r>
              <w:rPr>
                <w:lang w:eastAsia="zh-CN"/>
              </w:rPr>
              <w:t>ZTE,Sanechips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lastRenderedPageBreak/>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hint="eastAsia"/>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hint="eastAsia"/>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2"/>
    </w:p>
    <w:p w14:paraId="4E119783" w14:textId="77777777" w:rsidR="0090084C" w:rsidRPr="005501BD" w:rsidRDefault="0090084C" w:rsidP="0090084C">
      <w:r>
        <w:t xml:space="preserve">Contributions [1, 6, 17, 20, 30]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TBD after agree what to study. Likely none of these included, as L1 changes should be minimized, and reuse of existing DCI/CQI/MCS etc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r w:rsidRPr="007D3000">
              <w:rPr>
                <w:rFonts w:hint="eastAsia"/>
                <w:lang w:eastAsia="zh-CN"/>
              </w:rPr>
              <w:t>Spreadtrum</w:t>
            </w:r>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r>
              <w:rPr>
                <w:lang w:eastAsia="zh-CN"/>
              </w:rPr>
              <w:t>ZTE,Sanechips</w:t>
            </w:r>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w:t>
            </w:r>
            <w:r w:rsidRPr="0033779B">
              <w:lastRenderedPageBreak/>
              <w:t xml:space="preserve">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rFonts w:hint="eastAsia"/>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rFonts w:hint="eastAsia"/>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 …,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r w:rsidRPr="007D3000">
              <w:rPr>
                <w:rFonts w:hint="eastAsia"/>
                <w:lang w:eastAsia="zh-CN"/>
              </w:rPr>
              <w:t>Spreadtrum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r>
              <w:rPr>
                <w:lang w:eastAsia="zh-CN"/>
              </w:rPr>
              <w:t>ZTE,Sanechips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rFonts w:hint="eastAsia"/>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rFonts w:hint="eastAsia"/>
                <w:lang w:eastAsia="zh-CN"/>
              </w:rPr>
            </w:pPr>
          </w:p>
        </w:tc>
      </w:tr>
    </w:tbl>
    <w:p w14:paraId="20E11560" w14:textId="77777777" w:rsidR="0090084C" w:rsidRDefault="0090084C" w:rsidP="00264A4E"/>
    <w:p w14:paraId="61E8A30F" w14:textId="77777777" w:rsidR="00010432" w:rsidRDefault="002703F5">
      <w:pPr>
        <w:pStyle w:val="Heading1"/>
      </w:pPr>
      <w:bookmarkStart w:id="43" w:name="_Toc42034927"/>
      <w:bookmarkStart w:id="44" w:name="_Toc42211937"/>
      <w:bookmarkStart w:id="45" w:name="_Hlk41391803"/>
      <w:r>
        <w:lastRenderedPageBreak/>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2521E3">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2521E3">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2521E3">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2521E3">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2521E3">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2521E3">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2521E3">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2521E3">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2521E3">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2521E3">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2521E3">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2521E3">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2521E3">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2521E3">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2521E3">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2521E3">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2521E3">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2521E3">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t>[19]</w:t>
            </w:r>
          </w:p>
        </w:tc>
        <w:tc>
          <w:tcPr>
            <w:tcW w:w="1456" w:type="dxa"/>
            <w:tcMar>
              <w:top w:w="0" w:type="dxa"/>
              <w:left w:w="70" w:type="dxa"/>
              <w:bottom w:w="0" w:type="dxa"/>
              <w:right w:w="70" w:type="dxa"/>
            </w:tcMar>
            <w:hideMark/>
          </w:tcPr>
          <w:p w14:paraId="3D113756" w14:textId="77777777" w:rsidR="00F66882" w:rsidRPr="008415B9" w:rsidRDefault="002521E3">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2521E3">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r w:rsidRPr="008415B9">
              <w:t>Spreadtrum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2521E3">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2521E3">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2521E3">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r w:rsidRPr="008415B9">
              <w:t>InterDigital,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2521E3">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r w:rsidRPr="008415B9">
              <w:t>Quectel</w:t>
            </w:r>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2521E3">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2521E3">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2521E3">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lastRenderedPageBreak/>
              <w:t>[28]</w:t>
            </w:r>
          </w:p>
        </w:tc>
        <w:tc>
          <w:tcPr>
            <w:tcW w:w="1456" w:type="dxa"/>
            <w:tcMar>
              <w:top w:w="0" w:type="dxa"/>
              <w:left w:w="70" w:type="dxa"/>
              <w:bottom w:w="0" w:type="dxa"/>
              <w:right w:w="70" w:type="dxa"/>
            </w:tcMar>
            <w:hideMark/>
          </w:tcPr>
          <w:p w14:paraId="274FB9C3" w14:textId="77777777" w:rsidR="00F66882" w:rsidRPr="008415B9" w:rsidRDefault="002521E3">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2521E3">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2521E3">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2521E3">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2521E3">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2521E3">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2521E3">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2521E3">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EA47DB" w14:textId="77777777" w:rsidR="002521E3" w:rsidRDefault="002521E3" w:rsidP="00581A60">
      <w:pPr>
        <w:spacing w:after="0"/>
      </w:pPr>
      <w:r>
        <w:separator/>
      </w:r>
    </w:p>
  </w:endnote>
  <w:endnote w:type="continuationSeparator" w:id="0">
    <w:p w14:paraId="2537A1C4" w14:textId="77777777" w:rsidR="002521E3" w:rsidRDefault="002521E3" w:rsidP="00581A60">
      <w:pPr>
        <w:spacing w:after="0"/>
      </w:pPr>
      <w:r>
        <w:continuationSeparator/>
      </w:r>
    </w:p>
  </w:endnote>
  <w:endnote w:type="continuationNotice" w:id="1">
    <w:p w14:paraId="239161C5" w14:textId="77777777" w:rsidR="002521E3" w:rsidRDefault="002521E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DBE7C4" w14:textId="77777777" w:rsidR="002521E3" w:rsidRDefault="002521E3" w:rsidP="00581A60">
      <w:pPr>
        <w:spacing w:after="0"/>
      </w:pPr>
      <w:r>
        <w:separator/>
      </w:r>
    </w:p>
  </w:footnote>
  <w:footnote w:type="continuationSeparator" w:id="0">
    <w:p w14:paraId="5D374C63" w14:textId="77777777" w:rsidR="002521E3" w:rsidRDefault="002521E3" w:rsidP="00581A60">
      <w:pPr>
        <w:spacing w:after="0"/>
      </w:pPr>
      <w:r>
        <w:continuationSeparator/>
      </w:r>
    </w:p>
  </w:footnote>
  <w:footnote w:type="continuationNotice" w:id="1">
    <w:p w14:paraId="48AF4484" w14:textId="77777777" w:rsidR="002521E3" w:rsidRDefault="002521E3">
      <w:pPr>
        <w:spacing w:after="0"/>
      </w:pPr>
    </w:p>
  </w:footnote>
  <w:footnote w:id="2">
    <w:p w14:paraId="2798ED64" w14:textId="77777777" w:rsidR="00A4643D" w:rsidRPr="00C50163" w:rsidRDefault="00A4643D"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A4643D" w:rsidRPr="00C50163" w:rsidRDefault="00A4643D"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lvlOverride w:ilvl="0"/>
    <w:lvlOverride w:ilvl="1"/>
    <w:lvlOverride w:ilvl="2"/>
    <w:lvlOverride w:ilvl="3"/>
    <w:lvlOverride w:ilvl="4"/>
    <w:lvlOverride w:ilvl="5"/>
    <w:lvlOverride w:ilvl="6"/>
    <w:lvlOverride w:ilvl="7"/>
    <w:lvlOverride w:ilvl="8"/>
  </w:num>
  <w:num w:numId="71">
    <w:abstractNumId w:val="8"/>
    <w:lvlOverride w:ilvl="0"/>
    <w:lvlOverride w:ilvl="1"/>
    <w:lvlOverride w:ilvl="2"/>
    <w:lvlOverride w:ilvl="3"/>
    <w:lvlOverride w:ilvl="4"/>
    <w:lvlOverride w:ilvl="5"/>
    <w:lvlOverride w:ilvl="6"/>
    <w:lvlOverride w:ilvl="7"/>
    <w:lvlOverride w:ilvl="8"/>
  </w:num>
  <w:num w:numId="72">
    <w:abstractNumId w:val="30"/>
    <w:lvlOverride w:ilvl="0"/>
    <w:lvlOverride w:ilvl="1"/>
    <w:lvlOverride w:ilvl="2"/>
    <w:lvlOverride w:ilvl="3"/>
    <w:lvlOverride w:ilvl="4"/>
    <w:lvlOverride w:ilvl="5"/>
    <w:lvlOverride w:ilvl="6"/>
    <w:lvlOverride w:ilvl="7"/>
    <w:lvlOverride w:ilvl="8"/>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60C3"/>
    <w:rsid w:val="00042D81"/>
    <w:rsid w:val="000437F2"/>
    <w:rsid w:val="00045AC9"/>
    <w:rsid w:val="00050693"/>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171D"/>
    <w:rsid w:val="001F172B"/>
    <w:rsid w:val="001F1E9D"/>
    <w:rsid w:val="001F1FCA"/>
    <w:rsid w:val="001F22F7"/>
    <w:rsid w:val="001F6CF1"/>
    <w:rsid w:val="001F7637"/>
    <w:rsid w:val="001F77DA"/>
    <w:rsid w:val="002000FE"/>
    <w:rsid w:val="002029A8"/>
    <w:rsid w:val="00204CB2"/>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CFC"/>
    <w:rsid w:val="002246C5"/>
    <w:rsid w:val="00225C61"/>
    <w:rsid w:val="00226F13"/>
    <w:rsid w:val="00227875"/>
    <w:rsid w:val="002322FD"/>
    <w:rsid w:val="00232B66"/>
    <w:rsid w:val="00232CBE"/>
    <w:rsid w:val="0023340A"/>
    <w:rsid w:val="00234561"/>
    <w:rsid w:val="00234F65"/>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EC"/>
    <w:rsid w:val="002521E3"/>
    <w:rsid w:val="00252F59"/>
    <w:rsid w:val="00252F71"/>
    <w:rsid w:val="00252FE4"/>
    <w:rsid w:val="00254118"/>
    <w:rsid w:val="0025568E"/>
    <w:rsid w:val="00256953"/>
    <w:rsid w:val="00261B56"/>
    <w:rsid w:val="002638C2"/>
    <w:rsid w:val="00264A4E"/>
    <w:rsid w:val="002656C6"/>
    <w:rsid w:val="0026629C"/>
    <w:rsid w:val="002669DA"/>
    <w:rsid w:val="002669E4"/>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828"/>
    <w:rsid w:val="002B75BC"/>
    <w:rsid w:val="002C071D"/>
    <w:rsid w:val="002C0916"/>
    <w:rsid w:val="002C2FC2"/>
    <w:rsid w:val="002C30D2"/>
    <w:rsid w:val="002C71D3"/>
    <w:rsid w:val="002D7402"/>
    <w:rsid w:val="002E03F3"/>
    <w:rsid w:val="002E0615"/>
    <w:rsid w:val="002E13F9"/>
    <w:rsid w:val="002E3322"/>
    <w:rsid w:val="002E40D6"/>
    <w:rsid w:val="002E557D"/>
    <w:rsid w:val="002E5F9D"/>
    <w:rsid w:val="002E6880"/>
    <w:rsid w:val="002E774E"/>
    <w:rsid w:val="002E7E7D"/>
    <w:rsid w:val="002F09E2"/>
    <w:rsid w:val="002F1E12"/>
    <w:rsid w:val="002F33D3"/>
    <w:rsid w:val="002F4FBD"/>
    <w:rsid w:val="002F5333"/>
    <w:rsid w:val="002F562A"/>
    <w:rsid w:val="002F5A59"/>
    <w:rsid w:val="00300421"/>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52B5"/>
    <w:rsid w:val="00515787"/>
    <w:rsid w:val="005174ED"/>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29C4"/>
    <w:rsid w:val="00603C3A"/>
    <w:rsid w:val="006061D1"/>
    <w:rsid w:val="006125E5"/>
    <w:rsid w:val="00612FAC"/>
    <w:rsid w:val="00614252"/>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45B0"/>
    <w:rsid w:val="00654971"/>
    <w:rsid w:val="00656B7A"/>
    <w:rsid w:val="00665673"/>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9EC"/>
    <w:rsid w:val="009D7589"/>
    <w:rsid w:val="009E0341"/>
    <w:rsid w:val="009E065A"/>
    <w:rsid w:val="009E191C"/>
    <w:rsid w:val="009E24ED"/>
    <w:rsid w:val="009E27F6"/>
    <w:rsid w:val="009E3018"/>
    <w:rsid w:val="009E3EDD"/>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C06"/>
    <w:rsid w:val="00A160DF"/>
    <w:rsid w:val="00A17380"/>
    <w:rsid w:val="00A17F0E"/>
    <w:rsid w:val="00A20184"/>
    <w:rsid w:val="00A207AE"/>
    <w:rsid w:val="00A222A6"/>
    <w:rsid w:val="00A2330C"/>
    <w:rsid w:val="00A24742"/>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761"/>
    <w:rsid w:val="00A86DEF"/>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E2C"/>
    <w:rsid w:val="00B24070"/>
    <w:rsid w:val="00B24126"/>
    <w:rsid w:val="00B24CA9"/>
    <w:rsid w:val="00B2564C"/>
    <w:rsid w:val="00B26410"/>
    <w:rsid w:val="00B360C3"/>
    <w:rsid w:val="00B377C1"/>
    <w:rsid w:val="00B378B8"/>
    <w:rsid w:val="00B37A47"/>
    <w:rsid w:val="00B40205"/>
    <w:rsid w:val="00B42E72"/>
    <w:rsid w:val="00B44CC8"/>
    <w:rsid w:val="00B46405"/>
    <w:rsid w:val="00B50A44"/>
    <w:rsid w:val="00B50FAB"/>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C6E"/>
    <w:rsid w:val="00C956A1"/>
    <w:rsid w:val="00C96C3C"/>
    <w:rsid w:val="00CA0563"/>
    <w:rsid w:val="00CA221D"/>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F84"/>
    <w:rsid w:val="00CE3E07"/>
    <w:rsid w:val="00CE5BED"/>
    <w:rsid w:val="00CE6DCD"/>
    <w:rsid w:val="00CE7275"/>
    <w:rsid w:val="00CE763A"/>
    <w:rsid w:val="00CF0CD3"/>
    <w:rsid w:val="00CF18B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C21"/>
    <w:rsid w:val="00D25113"/>
    <w:rsid w:val="00D25C6A"/>
    <w:rsid w:val="00D27F77"/>
    <w:rsid w:val="00D27FF2"/>
    <w:rsid w:val="00D30B21"/>
    <w:rsid w:val="00D32191"/>
    <w:rsid w:val="00D334D8"/>
    <w:rsid w:val="00D334E0"/>
    <w:rsid w:val="00D33D49"/>
    <w:rsid w:val="00D35140"/>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3073"/>
    <w:rsid w:val="00E0504D"/>
    <w:rsid w:val="00E069EA"/>
    <w:rsid w:val="00E07E96"/>
    <w:rsid w:val="00E11924"/>
    <w:rsid w:val="00E12D94"/>
    <w:rsid w:val="00E13B31"/>
    <w:rsid w:val="00E22105"/>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2272"/>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목록 단락,列表段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styleId="UnresolvedMention">
    <w:name w:val="Unresolved Mention"/>
    <w:basedOn w:val="DefaultParagraphFont"/>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9" Type="http://schemas.openxmlformats.org/officeDocument/2006/relationships/hyperlink" Target="http://www.3gpp.org/ftp/TSG_RAN/WG1_RL1/TSGR1_102-e/Docs/R1-2005959.zip" TargetMode="Externa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 Id="rId3" Type="http://schemas.openxmlformats.org/officeDocument/2006/relationships/customXml" Target="../customXml/item3.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0" Type="http://schemas.openxmlformats.org/officeDocument/2006/relationships/hyperlink" Target="http://www.3gpp.org/ftp/TSG_RAN/WG1_RL1/TSGR1_102-e/Docs/R1-2005474.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A32003-4CE1-418A-82C7-83800CF1D8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75</Pages>
  <Words>24822</Words>
  <Characters>131558</Characters>
  <Application>Microsoft Office Word</Application>
  <DocSecurity>0</DocSecurity>
  <Lines>1096</Lines>
  <Paragraphs>312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156068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2020-08-20T14:57:00Z</dcterms:created>
  <dcterms:modified xsi:type="dcterms:W3CDTF">2020-08-20T19:27:00Z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