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77777777" w:rsidR="00E75C6C" w:rsidRDefault="0005226B">
      <w:pPr>
        <w:pStyle w:val="Header"/>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0xxxx</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Header"/>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to focus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FeMIMO,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bl>
    <w:p w14:paraId="3FA3A126" w14:textId="77777777" w:rsidR="00E75C6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375AE3">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375AE3">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0" w:type="auto"/>
          </w:tcPr>
          <w:p w14:paraId="33370FF5"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375AE3">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lastRenderedPageBreak/>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bullet. The reported value may depend on gNB/UE Tx power, noise figure, number of antennas, </w:t>
            </w:r>
            <w:r>
              <w:rPr>
                <w:rFonts w:eastAsia="Microsoft YaHei"/>
                <w:sz w:val="20"/>
                <w:szCs w:val="20"/>
              </w:rPr>
              <w:lastRenderedPageBreak/>
              <w:t>bandwidth, etc..</w:t>
            </w:r>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Hisilicon</w:t>
            </w:r>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So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150C99E7" w14:textId="77777777" w:rsidR="00E75C6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4" w:type="dxa"/>
          </w:tcPr>
          <w:p w14:paraId="0FDF6081" w14:textId="77777777" w:rsidR="00B83FDF" w:rsidRPr="006B2FEF" w:rsidRDefault="00B83FDF" w:rsidP="00375AE3">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654" w:type="dxa"/>
          </w:tcPr>
          <w:p w14:paraId="205730AC" w14:textId="77777777" w:rsidR="00B83FDF" w:rsidRPr="00E4040C" w:rsidRDefault="00B83FDF" w:rsidP="00375AE3">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(dH,dV)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375AE3">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bl>
    <w:p w14:paraId="70F64DD6" w14:textId="77777777" w:rsidR="00E75C6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upported by 12 companies (Ericsson, ZTE, Nokia, NSB, Huawei, HiSilicon, vivo, CATT, Intel, OPPO, Samsung, InterDigital)</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10 companies (LG, Ericsson, Qualcomm, Futurewei, InterDigital, MediaTek, CATT, OPPO, Samsung, Spreadtrum)</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3BE03996" w14:textId="77777777" w:rsidR="00E75C6C" w:rsidRDefault="00E75C6C">
            <w:pPr>
              <w:widowControl w:val="0"/>
              <w:snapToGrid w:val="0"/>
              <w:spacing w:before="120" w:afterLines="50" w:after="120" w:line="240" w:lineRule="auto"/>
              <w:jc w:val="both"/>
              <w:rPr>
                <w:rFonts w:eastAsia="Microsoft YaHei"/>
                <w:sz w:val="20"/>
                <w:szCs w:val="20"/>
              </w:rPr>
            </w:pPr>
          </w:p>
        </w:tc>
      </w:tr>
    </w:tbl>
    <w:p w14:paraId="46DCB255" w14:textId="77777777" w:rsidR="00E75C6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CF88730"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9 companies (Qualcomm, Ericsson, Nokia, NSB, </w:t>
      </w:r>
      <w:r>
        <w:rPr>
          <w:rFonts w:eastAsia="Microsoft YaHei" w:hint="eastAsia"/>
          <w:sz w:val="20"/>
          <w:szCs w:val="20"/>
          <w:u w:val="single"/>
        </w:rPr>
        <w:t>ZTE</w:t>
      </w:r>
      <w:r>
        <w:rPr>
          <w:rFonts w:eastAsia="Microsoft YaHei"/>
          <w:sz w:val="20"/>
          <w:szCs w:val="20"/>
          <w:u w:val="single"/>
        </w:rPr>
        <w:t>, Huawei, HiSilicon, Samsung, vivo)</w:t>
      </w:r>
      <w:r>
        <w:rPr>
          <w:rFonts w:eastAsia="Microsoft YaHei"/>
          <w:sz w:val="20"/>
          <w:szCs w:val="20"/>
        </w:rPr>
        <w:t xml:space="preserve"> see the need to have a DCI to trigger SRS without data and without CSI, which is not supported in the 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use cases for gNB to acquire DL or UL CSI through SRS before scheduling data.</w:t>
      </w:r>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5 companies (ZTE, Qualcomm, Huawei, HiSilicon, vivo)</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3 companies (Ericsson, Qualcomm, Samsung)</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is able to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00CF5AAF" w14:textId="77777777" w:rsidR="00E75C6C" w:rsidRDefault="00E75C6C">
            <w:pPr>
              <w:widowControl w:val="0"/>
              <w:snapToGrid w:val="0"/>
              <w:spacing w:before="120" w:afterLines="50" w:after="120" w:line="240" w:lineRule="auto"/>
              <w:jc w:val="both"/>
              <w:rPr>
                <w:rFonts w:eastAsia="Microsoft YaHei"/>
                <w:sz w:val="20"/>
                <w:szCs w:val="20"/>
              </w:rPr>
            </w:pPr>
          </w:p>
        </w:tc>
      </w:tr>
    </w:tbl>
    <w:p w14:paraId="1E559F40" w14:textId="77777777" w:rsidR="00E75C6C"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4318E43C" w14:textId="77777777" w:rsidR="00E75C6C" w:rsidRDefault="00E75C6C">
            <w:pPr>
              <w:widowControl w:val="0"/>
              <w:snapToGrid w:val="0"/>
              <w:spacing w:before="120" w:afterLines="50" w:after="120" w:line="240" w:lineRule="auto"/>
              <w:jc w:val="both"/>
              <w:rPr>
                <w:rFonts w:eastAsia="Microsoft YaHei"/>
                <w:sz w:val="20"/>
                <w:szCs w:val="20"/>
              </w:rPr>
            </w:pPr>
          </w:p>
        </w:tc>
      </w:tr>
    </w:tbl>
    <w:p w14:paraId="58B576B7" w14:textId="77777777" w:rsidR="00E75C6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diaTek, CATT, CMCC, Spreadtrum)</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34A895EA" w14:textId="77777777" w:rsidR="00E75C6C" w:rsidRDefault="00E75C6C">
            <w:pPr>
              <w:widowControl w:val="0"/>
              <w:snapToGrid w:val="0"/>
              <w:spacing w:before="120" w:afterLines="50" w:after="120" w:line="240" w:lineRule="auto"/>
              <w:jc w:val="both"/>
              <w:rPr>
                <w:rFonts w:eastAsia="Microsoft YaHei"/>
                <w:sz w:val="20"/>
                <w:szCs w:val="20"/>
              </w:rPr>
            </w:pP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w:t>
            </w:r>
          </w:p>
        </w:tc>
      </w:tr>
      <w:tr w:rsidR="00E75C6C" w14:paraId="07216995" w14:textId="77777777">
        <w:tc>
          <w:tcPr>
            <w:tcW w:w="4675" w:type="dxa"/>
          </w:tcPr>
          <w:p w14:paraId="639F578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flexible A-SRS triggering for interference probing</w:t>
            </w:r>
          </w:p>
        </w:tc>
        <w:tc>
          <w:tcPr>
            <w:tcW w:w="4675" w:type="dxa"/>
          </w:tcPr>
          <w:p w14:paraId="72ECF28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bl>
    <w:p w14:paraId="16F8C550" w14:textId="77777777" w:rsidR="00E75C6C"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7668AE"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T6R and 2T8R are supported by most companies, where each of them are supported by 10 companies.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T6R is supported by 4 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1ECB735F" w14:textId="77777777" w:rsidR="00E75C6C" w:rsidRDefault="00E75C6C">
            <w:pPr>
              <w:widowControl w:val="0"/>
              <w:snapToGrid w:val="0"/>
              <w:spacing w:before="120" w:afterLines="50" w:after="120" w:line="240" w:lineRule="auto"/>
              <w:jc w:val="both"/>
              <w:rPr>
                <w:rFonts w:eastAsia="Microsoft YaHei"/>
                <w:sz w:val="20"/>
                <w:szCs w:val="20"/>
              </w:rPr>
            </w:pPr>
          </w:p>
        </w:tc>
      </w:tr>
    </w:tbl>
    <w:p w14:paraId="22397829" w14:textId="77777777" w:rsidR="00E75C6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433C9A84" w14:textId="77777777" w:rsidR="00E75C6C" w:rsidRDefault="00E75C6C">
            <w:pPr>
              <w:widowControl w:val="0"/>
              <w:snapToGrid w:val="0"/>
              <w:spacing w:before="120" w:afterLines="50" w:after="120" w:line="240" w:lineRule="auto"/>
              <w:jc w:val="both"/>
              <w:rPr>
                <w:rFonts w:eastAsia="Microsoft YaHei"/>
                <w:sz w:val="20"/>
                <w:szCs w:val="20"/>
              </w:rPr>
            </w:pPr>
          </w:p>
        </w:tc>
      </w:tr>
    </w:tbl>
    <w:p w14:paraId="3DAB337A" w14:textId="77777777" w:rsidR="00E75C6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lastRenderedPageBreak/>
        <w:t>8 companies (Qualcomm, Huawei, HiSilicon, ZTE, MediaTek, Samsung, CMCC, Spreadtrum)</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1F06AEAA" w14:textId="77777777" w:rsidR="00E75C6C" w:rsidRDefault="00E75C6C">
            <w:pPr>
              <w:widowControl w:val="0"/>
              <w:snapToGrid w:val="0"/>
              <w:spacing w:before="120" w:afterLines="50" w:after="120" w:line="240" w:lineRule="auto"/>
              <w:jc w:val="both"/>
              <w:rPr>
                <w:rFonts w:eastAsia="Microsoft YaHei"/>
                <w:sz w:val="20"/>
                <w:szCs w:val="20"/>
              </w:rPr>
            </w:pPr>
          </w:p>
        </w:tc>
      </w:tr>
    </w:tbl>
    <w:p w14:paraId="4247E496" w14:textId="77777777" w:rsidR="00E75C6C"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20 companies (Apple, Sharp, Nokia, NSB, Huawei, HiSilicon, Futurewei, ZTE, vivo, InterDigital, Sony, CATT</w:t>
      </w:r>
      <w:r>
        <w:rPr>
          <w:rFonts w:eastAsia="Microsoft YaHei" w:hint="eastAsia"/>
          <w:sz w:val="20"/>
          <w:szCs w:val="20"/>
          <w:u w:val="single"/>
        </w:rPr>
        <w:t>,</w:t>
      </w:r>
      <w:r>
        <w:rPr>
          <w:rFonts w:eastAsia="Microsoft YaHei"/>
          <w:sz w:val="20"/>
          <w:szCs w:val="20"/>
          <w:u w:val="single"/>
        </w:rPr>
        <w:t xml:space="preserve"> NEC, MotM, Lenovo, Intel, Samsung, CMCC, Spreadtrum, CEWiT)</w:t>
      </w:r>
      <w:r>
        <w:rPr>
          <w:rFonts w:eastAsia="Microsoft YaHei"/>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4DD8444F" w14:textId="77777777" w:rsidR="00E75C6C" w:rsidRDefault="00E75C6C">
            <w:pPr>
              <w:widowControl w:val="0"/>
              <w:snapToGrid w:val="0"/>
              <w:spacing w:before="120" w:afterLines="50" w:after="120" w:line="240" w:lineRule="auto"/>
              <w:jc w:val="both"/>
              <w:rPr>
                <w:rFonts w:eastAsia="Microsoft YaHei"/>
                <w:sz w:val="20"/>
                <w:szCs w:val="20"/>
              </w:rPr>
            </w:pPr>
          </w:p>
        </w:tc>
      </w:tr>
    </w:tbl>
    <w:p w14:paraId="2268D1BD" w14:textId="77777777" w:rsidR="00E75C6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supports more flexible configuration on SRS frequency resources to allow SRS transmission on partial frequency resources within the legacy SRS band</w:t>
      </w:r>
      <w:r>
        <w:rPr>
          <w:rFonts w:eastAsia="Microsoft YaHei" w:hint="eastAsia"/>
          <w:sz w:val="20"/>
          <w:szCs w:val="20"/>
        </w:rPr>
        <w:t>width</w:t>
      </w:r>
      <w:r>
        <w:rPr>
          <w:rFonts w:eastAsia="Microsoft YaHei"/>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bookmarkStart w:id="2" w:name="_GoBack"/>
            <w:bookmarkEnd w:id="2"/>
          </w:p>
        </w:tc>
      </w:tr>
      <w:tr w:rsidR="00E75C6C" w14:paraId="2B4710CE" w14:textId="77777777">
        <w:tc>
          <w:tcPr>
            <w:tcW w:w="2830" w:type="dxa"/>
          </w:tcPr>
          <w:p w14:paraId="3E4F5EA4" w14:textId="77777777" w:rsidR="00E75C6C" w:rsidRDefault="00E75C6C">
            <w:pPr>
              <w:widowControl w:val="0"/>
              <w:snapToGrid w:val="0"/>
              <w:spacing w:before="120" w:afterLines="50" w:after="120" w:line="240" w:lineRule="auto"/>
              <w:jc w:val="both"/>
              <w:rPr>
                <w:rFonts w:eastAsia="Microsoft YaHei"/>
                <w:sz w:val="20"/>
                <w:szCs w:val="20"/>
              </w:rPr>
            </w:pPr>
          </w:p>
        </w:tc>
        <w:tc>
          <w:tcPr>
            <w:tcW w:w="6520" w:type="dxa"/>
          </w:tcPr>
          <w:p w14:paraId="05EE8A94" w14:textId="77777777" w:rsidR="00E75C6C" w:rsidRDefault="00E75C6C">
            <w:pPr>
              <w:widowControl w:val="0"/>
              <w:snapToGrid w:val="0"/>
              <w:spacing w:before="120" w:afterLines="50" w:after="120" w:line="240" w:lineRule="auto"/>
              <w:jc w:val="both"/>
              <w:rPr>
                <w:rFonts w:eastAsia="Microsoft YaHei"/>
                <w:sz w:val="20"/>
                <w:szCs w:val="20"/>
              </w:rPr>
            </w:pPr>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lastRenderedPageBreak/>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3 (Partial frequency sounding): Supports more flexible configuration on SRS frequency resources to allow SRS transmission on partial frequency resources within the legacy SRS band</w:t>
      </w:r>
      <w:r>
        <w:rPr>
          <w:rFonts w:eastAsia="Microsoft YaHei" w:hint="eastAsia"/>
          <w:i/>
          <w:sz w:val="20"/>
          <w:szCs w:val="20"/>
        </w:rPr>
        <w:t>width</w:t>
      </w:r>
      <w:r>
        <w:rPr>
          <w:rFonts w:eastAsia="Microsoft YaHei"/>
          <w:i/>
          <w:sz w:val="20"/>
          <w:szCs w:val="20"/>
        </w:rPr>
        <w:t>.</w:t>
      </w:r>
    </w:p>
    <w:p w14:paraId="6CAC97D2" w14:textId="77777777" w:rsidR="00E75C6C"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FeMIMO,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6472" w:type="dxa"/>
                </w:tcPr>
                <w:p w14:paraId="382CA00C"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lastRenderedPageBreak/>
                    <w:t>U</w:t>
                  </w:r>
                  <w:r>
                    <w:rPr>
                      <w:rFonts w:eastAsia="Microsoft YaHei"/>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382FB8">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50" w:type="dxa"/>
                </w:tcPr>
                <w:p w14:paraId="1CECEB9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450" w:type="dxa"/>
                </w:tcPr>
                <w:p w14:paraId="1FCFF1E1" w14:textId="77777777" w:rsidR="00A96F3B" w:rsidRDefault="00A96F3B" w:rsidP="00382FB8">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382FB8">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lastRenderedPageBreak/>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8"/>
  </w:num>
  <w:num w:numId="4">
    <w:abstractNumId w:val="3"/>
  </w:num>
  <w:num w:numId="5">
    <w:abstractNumId w:val="7"/>
  </w:num>
  <w:num w:numId="6">
    <w:abstractNumId w:val="6"/>
  </w:num>
  <w:num w:numId="7">
    <w:abstractNumId w:val="5"/>
  </w:num>
  <w:num w:numId="8">
    <w:abstractNumId w:val="9"/>
  </w:num>
  <w:num w:numId="9">
    <w:abstractNumId w:val="1"/>
  </w:num>
  <w:num w:numId="10">
    <w:abstractNumId w:val="0"/>
  </w:num>
  <w:num w:numId="11">
    <w:abstractNumId w:val="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352A"/>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10B7"/>
    <w:rsid w:val="006B1490"/>
    <w:rsid w:val="006B1ADB"/>
    <w:rsid w:val="006B1D65"/>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53F"/>
    <w:rsid w:val="008E2980"/>
    <w:rsid w:val="008E2A77"/>
    <w:rsid w:val="008E2E7F"/>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359"/>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3ED"/>
    <w:rsid w:val="00B67428"/>
    <w:rsid w:val="00B67832"/>
    <w:rsid w:val="00B678F3"/>
    <w:rsid w:val="00B706F3"/>
    <w:rsid w:val="00B7072C"/>
    <w:rsid w:val="00B7085F"/>
    <w:rsid w:val="00B70A7D"/>
    <w:rsid w:val="00B70CB8"/>
    <w:rsid w:val="00B71689"/>
    <w:rsid w:val="00B71CEF"/>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AE4"/>
    <w:rsid w:val="00E92BFE"/>
    <w:rsid w:val="00E932AF"/>
    <w:rsid w:val="00E936B1"/>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SimHei"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SimSun"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Microsoft YaHei"/>
      <w:b/>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SimSun" w:hAnsi="Times New Roman" w:cs="Times New Roman"/>
      <w:sz w:val="24"/>
      <w:szCs w:val="24"/>
    </w:rPr>
  </w:style>
  <w:style w:type="character" w:customStyle="1" w:styleId="ListParagraphChar">
    <w:name w:val="List Paragraph Char"/>
    <w:link w:val="ListParagraph"/>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101F8-63DC-A749-9A54-DF1A0B92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15</Pages>
  <Words>4207</Words>
  <Characters>23980</Characters>
  <Application>Microsoft Office Word</Application>
  <DocSecurity>0</DocSecurity>
  <Lines>199</Lines>
  <Paragraphs>56</Paragraphs>
  <ScaleCrop>false</ScaleCrop>
  <Company>www.zte.com.cn</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Haitong Sun</cp:lastModifiedBy>
  <cp:revision>3178</cp:revision>
  <dcterms:created xsi:type="dcterms:W3CDTF">2019-04-26T09:18:00Z</dcterms:created>
  <dcterms:modified xsi:type="dcterms:W3CDTF">2020-08-19T16:51:00Z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