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526A" w14:textId="77777777" w:rsidR="00E75C6C" w:rsidRDefault="0005226B">
      <w:pPr>
        <w:pStyle w:val="Header"/>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0xxxx</w:t>
      </w:r>
    </w:p>
    <w:p w14:paraId="63D7A477" w14:textId="77777777" w:rsidR="00E75C6C" w:rsidRDefault="0005226B">
      <w:pPr>
        <w:snapToGrid w:val="0"/>
        <w:spacing w:line="240" w:lineRule="auto"/>
        <w:rPr>
          <w:rFonts w:ascii="Arial" w:eastAsia="MS Mincho" w:hAnsi="Arial"/>
          <w:b/>
          <w:lang w:eastAsia="en-US"/>
        </w:rPr>
      </w:pPr>
      <w:proofErr w:type="spellStart"/>
      <w:proofErr w:type="gramStart"/>
      <w:r>
        <w:rPr>
          <w:rFonts w:ascii="Arial" w:hAnsi="Arial" w:hint="eastAsia"/>
          <w:b/>
        </w:rPr>
        <w:t>e</w:t>
      </w:r>
      <w:r>
        <w:rPr>
          <w:rFonts w:ascii="Arial" w:hAnsi="Arial"/>
          <w:b/>
        </w:rPr>
        <w:t>Meeting</w:t>
      </w:r>
      <w:proofErr w:type="spellEnd"/>
      <w:proofErr w:type="gram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Header"/>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bookmarkStart w:id="2" w:name="_GoBack"/>
      <w:bookmarkEnd w:id="2"/>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w:t>
      </w:r>
      <w:proofErr w:type="spellStart"/>
      <w:r w:rsidRPr="007538A7">
        <w:rPr>
          <w:rFonts w:eastAsia="微软雅黑"/>
          <w:i/>
          <w:sz w:val="20"/>
          <w:szCs w:val="20"/>
          <w:lang w:val="en-GB"/>
        </w:rPr>
        <w:t>FeMIMO</w:t>
      </w:r>
      <w:proofErr w:type="spellEnd"/>
      <w:r w:rsidRPr="007538A7">
        <w:rPr>
          <w:rFonts w:eastAsia="微软雅黑"/>
          <w:i/>
          <w:sz w:val="20"/>
          <w:szCs w:val="20"/>
          <w:lang w:val="en-GB"/>
        </w:rPr>
        <w:t xml:space="preserve">,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bl>
    <w:p w14:paraId="3FA3A126" w14:textId="77777777" w:rsidR="00E75C6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375AE3">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375AE3">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0" w:type="auto"/>
          </w:tcPr>
          <w:p w14:paraId="33370FF5"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 xml:space="preserve">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0" w:type="auto"/>
          </w:tcPr>
          <w:p w14:paraId="2D8907F8" w14:textId="77777777" w:rsidR="008D3B04" w:rsidRDefault="008D3B04" w:rsidP="00375AE3">
            <w:pPr>
              <w:snapToGrid w:val="0"/>
              <w:spacing w:after="0" w:line="240" w:lineRule="auto"/>
              <w:jc w:val="both"/>
              <w:rPr>
                <w:rFonts w:eastAsia="微软雅黑"/>
                <w:sz w:val="20"/>
                <w:szCs w:val="20"/>
                <w:lang w:val="en-GB"/>
              </w:rPr>
            </w:pPr>
            <w:proofErr w:type="spellStart"/>
            <w:r w:rsidRPr="00542F6E">
              <w:rPr>
                <w:rFonts w:eastAsia="微软雅黑"/>
                <w:bCs/>
                <w:sz w:val="20"/>
                <w:szCs w:val="20"/>
                <w:lang w:val="en-GB"/>
              </w:rPr>
              <w:t>Precoder</w:t>
            </w:r>
            <w:proofErr w:type="spellEnd"/>
            <w:r w:rsidRPr="00542F6E">
              <w:rPr>
                <w:rFonts w:eastAsia="微软雅黑"/>
                <w:bCs/>
                <w:sz w:val="20"/>
                <w:szCs w:val="20"/>
                <w:lang w:val="en-GB"/>
              </w:rPr>
              <w:t xml:space="preserve"> is adaptive. Rank/MCS can be adaptive or fixed</w:t>
            </w:r>
            <w:r>
              <w:rPr>
                <w:rFonts w:eastAsia="微软雅黑"/>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granularity</w:t>
            </w:r>
          </w:p>
        </w:tc>
        <w:tc>
          <w:tcPr>
            <w:tcW w:w="0" w:type="auto"/>
          </w:tcPr>
          <w:p w14:paraId="51FCF4F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lastRenderedPageBreak/>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w:t>
            </w:r>
            <w:proofErr w:type="spellStart"/>
            <w:proofErr w:type="gramStart"/>
            <w:r w:rsidRPr="00DC38C3">
              <w:rPr>
                <w:rFonts w:eastAsia="微软雅黑"/>
                <w:iCs/>
                <w:color w:val="FF0000"/>
                <w:sz w:val="20"/>
                <w:szCs w:val="20"/>
              </w:rPr>
              <w:t>Δf</w:t>
            </w:r>
            <w:proofErr w:type="spellEnd"/>
            <w:r w:rsidRPr="00DC38C3">
              <w:rPr>
                <w:rFonts w:eastAsia="微软雅黑"/>
                <w:iCs/>
                <w:color w:val="FF0000"/>
                <w:sz w:val="20"/>
                <w:szCs w:val="20"/>
              </w:rPr>
              <w:t>*</w:t>
            </w:r>
            <w:proofErr w:type="gramEnd"/>
            <w:r w:rsidRPr="00DC38C3">
              <w:rPr>
                <w:rFonts w:eastAsia="微软雅黑"/>
                <w:iCs/>
                <w:color w:val="FF0000"/>
                <w:sz w:val="20"/>
                <w:szCs w:val="20"/>
              </w:rPr>
              <w:t>x/</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*x/</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xml:space="preserve">], where </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 denotes the gap between central frequency and UE's SRS frequency position and </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xml:space="preserve"> for sampling frequency. </w:t>
            </w:r>
            <w:proofErr w:type="gramStart"/>
            <w:r w:rsidRPr="00DC38C3">
              <w:rPr>
                <w:rFonts w:eastAsia="微软雅黑"/>
                <w:iCs/>
                <w:color w:val="FF0000"/>
                <w:sz w:val="20"/>
                <w:szCs w:val="20"/>
              </w:rPr>
              <w:t>x</w:t>
            </w:r>
            <w:proofErr w:type="gramEnd"/>
            <w:r w:rsidRPr="00DC38C3">
              <w:rPr>
                <w:rFonts w:eastAsia="微软雅黑"/>
                <w:iCs/>
                <w:color w:val="FF0000"/>
                <w:sz w:val="20"/>
                <w:szCs w:val="20"/>
              </w:rPr>
              <w:t xml:space="preserve">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The current situation is to use </w:t>
            </w:r>
            <w:proofErr w:type="spellStart"/>
            <w:r>
              <w:rPr>
                <w:rFonts w:eastAsia="微软雅黑"/>
                <w:sz w:val="20"/>
                <w:szCs w:val="20"/>
              </w:rPr>
              <w:t>omni</w:t>
            </w:r>
            <w:proofErr w:type="spellEnd"/>
            <w:r>
              <w:rPr>
                <w:rFonts w:eastAsia="微软雅黑"/>
                <w:sz w:val="20"/>
                <w:szCs w:val="20"/>
              </w:rPr>
              <w:t xml:space="preserve"> antennas as baseline for FR1, as it is more useful for FR1. On the other hand, this does not preclude companies to evaluate directional antennas for FR1. Hence it is suggested to keep the current EVM proposal of having </w:t>
            </w:r>
            <w:proofErr w:type="spellStart"/>
            <w:r>
              <w:rPr>
                <w:rFonts w:eastAsia="微软雅黑"/>
                <w:sz w:val="20"/>
                <w:szCs w:val="20"/>
              </w:rPr>
              <w:t>omni</w:t>
            </w:r>
            <w:proofErr w:type="spellEnd"/>
            <w:r>
              <w:rPr>
                <w:rFonts w:eastAsia="微软雅黑"/>
                <w:sz w:val="20"/>
                <w:szCs w:val="20"/>
              </w:rPr>
              <w:t xml:space="preserve">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w:t>
            </w:r>
            <w:proofErr w:type="spellStart"/>
            <w:r>
              <w:rPr>
                <w:rFonts w:eastAsia="微软雅黑"/>
                <w:sz w:val="20"/>
                <w:szCs w:val="20"/>
              </w:rPr>
              <w:t>Tx</w:t>
            </w:r>
            <w:proofErr w:type="spellEnd"/>
            <w:r>
              <w:rPr>
                <w:rFonts w:eastAsia="微软雅黑"/>
                <w:sz w:val="20"/>
                <w:szCs w:val="20"/>
              </w:rPr>
              <w:t xml:space="preserve"> power, noise figure, number of antennas, </w:t>
            </w:r>
            <w:r>
              <w:rPr>
                <w:rFonts w:eastAsia="微软雅黑"/>
                <w:sz w:val="20"/>
                <w:szCs w:val="20"/>
              </w:rPr>
              <w:lastRenderedPageBreak/>
              <w:t>bandwidth, etc</w:t>
            </w:r>
            <w:proofErr w:type="gramStart"/>
            <w:r>
              <w:rPr>
                <w:rFonts w:eastAsia="微软雅黑"/>
                <w:sz w:val="20"/>
                <w:szCs w:val="20"/>
              </w:rPr>
              <w:t>..</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no any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proofErr w:type="gramStart"/>
            <w:r>
              <w:rPr>
                <w:rFonts w:eastAsia="微软雅黑"/>
                <w:sz w:val="20"/>
                <w:szCs w:val="20"/>
              </w:rPr>
              <w:t>It’s</w:t>
            </w:r>
            <w:proofErr w:type="gramEnd"/>
            <w:r>
              <w:rPr>
                <w:rFonts w:eastAsia="微软雅黑"/>
                <w:sz w:val="20"/>
                <w:szCs w:val="20"/>
              </w:rPr>
              <w:t xml:space="preserve">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微软雅黑"/>
                <w:sz w:val="20"/>
                <w:szCs w:val="20"/>
              </w:rPr>
              <w:t>Δf</w:t>
            </w:r>
            <w:proofErr w:type="spellEnd"/>
            <w:r w:rsidRPr="00720B8C">
              <w:rPr>
                <w:rFonts w:eastAsia="微软雅黑"/>
                <w:sz w:val="20"/>
                <w:szCs w:val="20"/>
              </w:rPr>
              <w:t>*x/</w:t>
            </w:r>
            <w:proofErr w:type="spellStart"/>
            <w:r w:rsidRPr="00720B8C">
              <w:rPr>
                <w:rFonts w:eastAsia="微软雅黑"/>
                <w:sz w:val="20"/>
                <w:szCs w:val="20"/>
              </w:rPr>
              <w:t>Ts</w:t>
            </w:r>
            <w:proofErr w:type="spellEnd"/>
            <w:r w:rsidRPr="00720B8C">
              <w:rPr>
                <w:rFonts w:eastAsia="微软雅黑"/>
                <w:sz w:val="20"/>
                <w:szCs w:val="20"/>
              </w:rPr>
              <w:t>, pi*</w:t>
            </w:r>
            <w:proofErr w:type="spellStart"/>
            <w:r w:rsidRPr="00720B8C">
              <w:rPr>
                <w:rFonts w:eastAsia="微软雅黑"/>
                <w:sz w:val="20"/>
                <w:szCs w:val="20"/>
              </w:rPr>
              <w:t>Δf</w:t>
            </w:r>
            <w:proofErr w:type="spellEnd"/>
            <w:r w:rsidRPr="00720B8C">
              <w:rPr>
                <w:rFonts w:eastAsia="微软雅黑"/>
                <w:sz w:val="20"/>
                <w:szCs w:val="20"/>
              </w:rPr>
              <w:t>*x/</w:t>
            </w:r>
            <w:proofErr w:type="spellStart"/>
            <w:r w:rsidRPr="00720B8C">
              <w:rPr>
                <w:rFonts w:eastAsia="微软雅黑"/>
                <w:sz w:val="20"/>
                <w:szCs w:val="20"/>
              </w:rPr>
              <w:t>Ts</w:t>
            </w:r>
            <w:proofErr w:type="spellEnd"/>
            <w:r w:rsidRPr="00720B8C">
              <w:rPr>
                <w:rFonts w:eastAsia="微软雅黑"/>
                <w:sz w:val="20"/>
                <w:szCs w:val="20"/>
              </w:rPr>
              <w:t xml:space="preserve">], where </w:t>
            </w:r>
            <w:proofErr w:type="spellStart"/>
            <w:r w:rsidRPr="00720B8C">
              <w:rPr>
                <w:rFonts w:eastAsia="微软雅黑"/>
                <w:sz w:val="20"/>
                <w:szCs w:val="20"/>
              </w:rPr>
              <w:t>Δf</w:t>
            </w:r>
            <w:proofErr w:type="spellEnd"/>
            <w:r w:rsidRPr="00720B8C">
              <w:rPr>
                <w:rFonts w:eastAsia="微软雅黑"/>
                <w:sz w:val="20"/>
                <w:szCs w:val="20"/>
              </w:rPr>
              <w:t xml:space="preserve"> denotes the gap between central frequency and UE's SRS frequency position and </w:t>
            </w:r>
            <w:proofErr w:type="spellStart"/>
            <w:r w:rsidRPr="00720B8C">
              <w:rPr>
                <w:rFonts w:eastAsia="微软雅黑"/>
                <w:sz w:val="20"/>
                <w:szCs w:val="20"/>
              </w:rPr>
              <w:t>Ts</w:t>
            </w:r>
            <w:proofErr w:type="spellEnd"/>
            <w:r w:rsidRPr="00720B8C">
              <w:rPr>
                <w:rFonts w:eastAsia="微软雅黑"/>
                <w:sz w:val="20"/>
                <w:szCs w:val="20"/>
              </w:rPr>
              <w:t xml:space="preserve"> for sampling frequency. </w:t>
            </w:r>
            <w:proofErr w:type="gramStart"/>
            <w:r w:rsidRPr="00720B8C">
              <w:rPr>
                <w:rFonts w:eastAsia="微软雅黑"/>
                <w:sz w:val="20"/>
                <w:szCs w:val="20"/>
              </w:rPr>
              <w:t>x</w:t>
            </w:r>
            <w:proofErr w:type="gramEnd"/>
            <w:r w:rsidRPr="00720B8C">
              <w:rPr>
                <w:rFonts w:eastAsia="微软雅黑"/>
                <w:sz w:val="20"/>
                <w:szCs w:val="20"/>
              </w:rPr>
              <w:t xml:space="preserve"> can be 0.1, 0.2, 0.4.</w:t>
            </w:r>
          </w:p>
        </w:tc>
      </w:tr>
    </w:tbl>
    <w:p w14:paraId="150C99E7" w14:textId="77777777" w:rsidR="00E75C6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654" w:type="dxa"/>
          </w:tcPr>
          <w:p w14:paraId="205730AC" w14:textId="77777777" w:rsidR="00B83FDF" w:rsidRPr="00E4040C" w:rsidRDefault="00B83FDF" w:rsidP="00375AE3">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w:t>
            </w:r>
            <w:proofErr w:type="gramStart"/>
            <w:r w:rsidRPr="003B6B4F">
              <w:rPr>
                <w:sz w:val="20"/>
                <w:szCs w:val="20"/>
              </w:rPr>
              <w:t>,8,2,1,1,4,8</w:t>
            </w:r>
            <w:proofErr w:type="gramEnd"/>
            <w:r w:rsidRPr="003B6B4F">
              <w:rPr>
                <w:sz w:val="20"/>
                <w:szCs w:val="20"/>
              </w:rPr>
              <w:t>)</w:t>
            </w:r>
            <w:r>
              <w:rPr>
                <w:sz w:val="20"/>
                <w:szCs w:val="20"/>
              </w:rPr>
              <w:t xml:space="preserve">. </w:t>
            </w:r>
            <w:r w:rsidRPr="00AB395D">
              <w:rPr>
                <w:rFonts w:eastAsia="微软雅黑"/>
                <w:sz w:val="20"/>
                <w:szCs w:val="20"/>
                <w:lang w:val="en-GB"/>
              </w:rPr>
              <w:t>(</w:t>
            </w:r>
            <w:proofErr w:type="spellStart"/>
            <w:r w:rsidRPr="00AB395D">
              <w:rPr>
                <w:rFonts w:eastAsia="微软雅黑"/>
                <w:sz w:val="20"/>
                <w:szCs w:val="20"/>
                <w:lang w:val="en-GB"/>
              </w:rPr>
              <w:t>dH,dV</w:t>
            </w:r>
            <w:proofErr w:type="spellEnd"/>
            <w:r w:rsidRPr="00AB395D">
              <w:rPr>
                <w:rFonts w:eastAsia="微软雅黑"/>
                <w:sz w:val="20"/>
                <w:szCs w:val="20"/>
                <w:lang w:val="en-GB"/>
              </w:rPr>
              <w:t>)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375AE3">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bl>
    <w:p w14:paraId="70F64DD6" w14:textId="77777777" w:rsidR="00E75C6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w:t>
      </w:r>
      <w:proofErr w:type="spellStart"/>
      <w:r>
        <w:rPr>
          <w:rFonts w:eastAsia="微软雅黑"/>
          <w:sz w:val="20"/>
          <w:szCs w:val="20"/>
          <w:u w:val="single"/>
        </w:rPr>
        <w:t>MediaTek</w:t>
      </w:r>
      <w:proofErr w:type="spellEnd"/>
      <w:r>
        <w:rPr>
          <w:rFonts w:eastAsia="微软雅黑"/>
          <w:sz w:val="20"/>
          <w:szCs w:val="20"/>
          <w:u w:val="single"/>
        </w:rPr>
        <w:t xml:space="preserve">,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 xml:space="preserve">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10 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w:t>
      </w:r>
      <w:proofErr w:type="spellStart"/>
      <w:r>
        <w:rPr>
          <w:rFonts w:eastAsia="微软雅黑"/>
          <w:sz w:val="20"/>
          <w:szCs w:val="20"/>
          <w:u w:val="single"/>
        </w:rPr>
        <w:t>MediaTek</w:t>
      </w:r>
      <w:proofErr w:type="spellEnd"/>
      <w:r>
        <w:rPr>
          <w:rFonts w:eastAsia="微软雅黑"/>
          <w:sz w:val="20"/>
          <w:szCs w:val="20"/>
          <w:u w:val="single"/>
        </w:rPr>
        <w:t xml:space="preserve">, CATT, OPPO, Samsung, </w:t>
      </w:r>
      <w:proofErr w:type="spellStart"/>
      <w:r>
        <w:rPr>
          <w:rFonts w:eastAsia="微软雅黑"/>
          <w:sz w:val="20"/>
          <w:szCs w:val="20"/>
          <w:u w:val="single"/>
        </w:rPr>
        <w:t>Spreadtrum</w:t>
      </w:r>
      <w:proofErr w:type="spellEnd"/>
      <w:r>
        <w:rPr>
          <w:rFonts w:eastAsia="微软雅黑"/>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6 companies (LG, NTT DOCOMO, Qualcomm, </w:t>
      </w:r>
      <w:proofErr w:type="spellStart"/>
      <w:r>
        <w:rPr>
          <w:rFonts w:eastAsia="微软雅黑"/>
          <w:sz w:val="20"/>
          <w:szCs w:val="20"/>
          <w:u w:val="single"/>
        </w:rPr>
        <w:t>MediaTek</w:t>
      </w:r>
      <w:proofErr w:type="spellEnd"/>
      <w:r>
        <w:rPr>
          <w:rFonts w:eastAsia="微软雅黑"/>
          <w:sz w:val="20"/>
          <w:szCs w:val="20"/>
          <w:u w:val="single"/>
        </w:rPr>
        <w:t xml:space="preserve">, </w:t>
      </w:r>
      <w:proofErr w:type="spellStart"/>
      <w:r>
        <w:rPr>
          <w:rFonts w:eastAsia="微软雅黑"/>
          <w:sz w:val="20"/>
          <w:szCs w:val="20"/>
          <w:u w:val="single"/>
        </w:rPr>
        <w:t>MotM</w:t>
      </w:r>
      <w:proofErr w:type="spellEnd"/>
      <w:r>
        <w:rPr>
          <w:rFonts w:eastAsia="微软雅黑"/>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6F43E693"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240DF780" w14:textId="77777777">
        <w:tc>
          <w:tcPr>
            <w:tcW w:w="2830" w:type="dxa"/>
          </w:tcPr>
          <w:p w14:paraId="3FAF1C5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3BE03996" w14:textId="77777777" w:rsidR="00E75C6C" w:rsidRDefault="00E75C6C">
            <w:pPr>
              <w:widowControl w:val="0"/>
              <w:snapToGrid w:val="0"/>
              <w:spacing w:before="120" w:afterLines="50" w:after="120" w:line="240" w:lineRule="auto"/>
              <w:jc w:val="both"/>
              <w:rPr>
                <w:rFonts w:eastAsia="微软雅黑"/>
                <w:sz w:val="20"/>
                <w:szCs w:val="20"/>
              </w:rPr>
            </w:pPr>
          </w:p>
        </w:tc>
      </w:tr>
    </w:tbl>
    <w:p w14:paraId="46DCB255" w14:textId="77777777" w:rsidR="00E75C6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CF88730"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9 companies (Qualcomm, Ericsson, Nokia, NSB, </w:t>
      </w:r>
      <w:r>
        <w:rPr>
          <w:rFonts w:eastAsia="微软雅黑" w:hint="eastAsia"/>
          <w:sz w:val="20"/>
          <w:szCs w:val="20"/>
          <w:u w:val="single"/>
        </w:rPr>
        <w:t>ZTE</w:t>
      </w:r>
      <w:r>
        <w:rPr>
          <w:rFonts w:eastAsia="微软雅黑"/>
          <w:sz w:val="20"/>
          <w:szCs w:val="20"/>
          <w:u w:val="single"/>
        </w:rPr>
        <w:t xml:space="preserve">, Huawei, </w:t>
      </w:r>
      <w:proofErr w:type="spellStart"/>
      <w:r>
        <w:rPr>
          <w:rFonts w:eastAsia="微软雅黑"/>
          <w:sz w:val="20"/>
          <w:szCs w:val="20"/>
          <w:u w:val="single"/>
        </w:rPr>
        <w:t>HiSilicon</w:t>
      </w:r>
      <w:proofErr w:type="spellEnd"/>
      <w:r>
        <w:rPr>
          <w:rFonts w:eastAsia="微软雅黑"/>
          <w:sz w:val="20"/>
          <w:szCs w:val="20"/>
          <w:u w:val="single"/>
        </w:rPr>
        <w:t>, Samsung, vivo)</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 xml:space="preserve">use cases for </w:t>
      </w:r>
      <w:proofErr w:type="spellStart"/>
      <w:r w:rsidR="002B43A0">
        <w:rPr>
          <w:rFonts w:eastAsia="微软雅黑"/>
          <w:sz w:val="20"/>
          <w:szCs w:val="20"/>
        </w:rPr>
        <w:t>gNB</w:t>
      </w:r>
      <w:proofErr w:type="spellEnd"/>
      <w:r w:rsidR="002B43A0">
        <w:rPr>
          <w:rFonts w:eastAsia="微软雅黑"/>
          <w:sz w:val="20"/>
          <w:szCs w:val="20"/>
        </w:rPr>
        <w:t xml:space="preserve"> to acquire DL or UL CSI through SRS before scheduling data.</w:t>
      </w:r>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5 companies (ZTE, Qualcomm, Huawei, </w:t>
      </w:r>
      <w:proofErr w:type="spellStart"/>
      <w:r>
        <w:rPr>
          <w:rFonts w:eastAsia="微软雅黑"/>
          <w:sz w:val="20"/>
          <w:szCs w:val="20"/>
          <w:u w:val="single"/>
        </w:rPr>
        <w:t>HiSilicon</w:t>
      </w:r>
      <w:proofErr w:type="spellEnd"/>
      <w:r>
        <w:rPr>
          <w:rFonts w:eastAsia="微软雅黑"/>
          <w:sz w:val="20"/>
          <w:szCs w:val="20"/>
          <w:u w:val="single"/>
        </w:rPr>
        <w:t>, vivo)</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3 companies (Ericsson, Qualcomm, Samsung)</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502C70FE"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2DD6A3C6" w14:textId="77777777">
        <w:tc>
          <w:tcPr>
            <w:tcW w:w="2830" w:type="dxa"/>
          </w:tcPr>
          <w:p w14:paraId="5E83C953"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00CF5AAF" w14:textId="77777777" w:rsidR="00E75C6C" w:rsidRDefault="00E75C6C">
            <w:pPr>
              <w:widowControl w:val="0"/>
              <w:snapToGrid w:val="0"/>
              <w:spacing w:before="120" w:afterLines="50" w:after="120" w:line="240" w:lineRule="auto"/>
              <w:jc w:val="both"/>
              <w:rPr>
                <w:rFonts w:eastAsia="微软雅黑"/>
                <w:sz w:val="20"/>
                <w:szCs w:val="20"/>
              </w:rPr>
            </w:pPr>
          </w:p>
        </w:tc>
      </w:tr>
    </w:tbl>
    <w:p w14:paraId="1E559F40" w14:textId="77777777" w:rsidR="00E75C6C"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 xml:space="preserve">Support triggering/updating a subset of the configured </w:t>
      </w:r>
      <w:proofErr w:type="spellStart"/>
      <w:r>
        <w:rPr>
          <w:rFonts w:eastAsia="微软雅黑"/>
          <w:sz w:val="20"/>
          <w:szCs w:val="20"/>
        </w:rPr>
        <w:t>Tx</w:t>
      </w:r>
      <w:proofErr w:type="spellEnd"/>
      <w:r>
        <w:rPr>
          <w:rFonts w:eastAsia="微软雅黑"/>
          <w:sz w:val="20"/>
          <w:szCs w:val="20"/>
        </w:rPr>
        <w:t>/</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w:t>
      </w:r>
      <w:proofErr w:type="spellStart"/>
      <w:r>
        <w:rPr>
          <w:rFonts w:eastAsia="微软雅黑"/>
          <w:i/>
          <w:sz w:val="20"/>
          <w:szCs w:val="20"/>
        </w:rPr>
        <w:t>Tx</w:t>
      </w:r>
      <w:proofErr w:type="spellEnd"/>
      <w:r>
        <w:rPr>
          <w:rFonts w:eastAsia="微软雅黑"/>
          <w:i/>
          <w:sz w:val="20"/>
          <w:szCs w:val="20"/>
        </w:rPr>
        <w:t>/Rx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750B6A8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2CF89D40" w14:textId="77777777">
        <w:tc>
          <w:tcPr>
            <w:tcW w:w="2830" w:type="dxa"/>
          </w:tcPr>
          <w:p w14:paraId="6D57244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318E43C" w14:textId="77777777" w:rsidR="00E75C6C" w:rsidRDefault="00E75C6C">
            <w:pPr>
              <w:widowControl w:val="0"/>
              <w:snapToGrid w:val="0"/>
              <w:spacing w:before="120" w:afterLines="50" w:after="120" w:line="240" w:lineRule="auto"/>
              <w:jc w:val="both"/>
              <w:rPr>
                <w:rFonts w:eastAsia="微软雅黑"/>
                <w:sz w:val="20"/>
                <w:szCs w:val="20"/>
              </w:rPr>
            </w:pPr>
          </w:p>
        </w:tc>
      </w:tr>
    </w:tbl>
    <w:p w14:paraId="58B576B7" w14:textId="77777777" w:rsidR="00E75C6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proofErr w:type="spellStart"/>
      <w:r>
        <w:rPr>
          <w:rFonts w:eastAsia="微软雅黑" w:hint="eastAsia"/>
          <w:sz w:val="20"/>
          <w:szCs w:val="20"/>
          <w:u w:val="single"/>
        </w:rPr>
        <w:t>Me</w:t>
      </w:r>
      <w:r>
        <w:rPr>
          <w:rFonts w:eastAsia="微软雅黑"/>
          <w:sz w:val="20"/>
          <w:szCs w:val="20"/>
          <w:u w:val="single"/>
        </w:rPr>
        <w:t>diaTek</w:t>
      </w:r>
      <w:proofErr w:type="spellEnd"/>
      <w:r>
        <w:rPr>
          <w:rFonts w:eastAsia="微软雅黑"/>
          <w:sz w:val="20"/>
          <w:szCs w:val="20"/>
          <w:u w:val="single"/>
        </w:rPr>
        <w:t xml:space="preserve">, CATT,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w:t>
      </w:r>
      <w:proofErr w:type="spellStart"/>
      <w:proofErr w:type="gramStart"/>
      <w:r>
        <w:rPr>
          <w:rFonts w:eastAsia="微软雅黑"/>
          <w:sz w:val="20"/>
          <w:szCs w:val="20"/>
        </w:rPr>
        <w:t>Tx</w:t>
      </w:r>
      <w:proofErr w:type="spellEnd"/>
      <w:proofErr w:type="gramEnd"/>
      <w:r>
        <w:rPr>
          <w:rFonts w:eastAsia="微软雅黑"/>
          <w:sz w:val="20"/>
          <w:szCs w:val="20"/>
        </w:rPr>
        <w:t xml:space="preserve">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 xml:space="preserve">antenna switching and PUSCH have different number of </w:t>
      </w:r>
      <w:proofErr w:type="spellStart"/>
      <w:r>
        <w:rPr>
          <w:rFonts w:eastAsia="微软雅黑"/>
          <w:i/>
          <w:sz w:val="20"/>
          <w:szCs w:val="20"/>
        </w:rPr>
        <w:t>Tx</w:t>
      </w:r>
      <w:proofErr w:type="spellEnd"/>
      <w:r>
        <w:rPr>
          <w:rFonts w:eastAsia="微软雅黑"/>
          <w:i/>
          <w:sz w:val="20"/>
          <w:szCs w:val="20"/>
        </w:rPr>
        <w:t xml:space="preserve"> antennas, etc</w:t>
      </w:r>
      <w:proofErr w:type="gramStart"/>
      <w:r>
        <w:rPr>
          <w:rFonts w:eastAsia="微软雅黑"/>
          <w:i/>
          <w:sz w:val="20"/>
          <w:szCs w:val="20"/>
        </w:rPr>
        <w:t>..</w:t>
      </w:r>
      <w:proofErr w:type="gramEnd"/>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8E4A466"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28BF478" w14:textId="77777777">
        <w:tc>
          <w:tcPr>
            <w:tcW w:w="2830" w:type="dxa"/>
          </w:tcPr>
          <w:p w14:paraId="06D857A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34A895EA" w14:textId="77777777" w:rsidR="00E75C6C" w:rsidRDefault="00E75C6C">
            <w:pPr>
              <w:widowControl w:val="0"/>
              <w:snapToGrid w:val="0"/>
              <w:spacing w:before="120" w:afterLines="50" w:after="120" w:line="240" w:lineRule="auto"/>
              <w:jc w:val="both"/>
              <w:rPr>
                <w:rFonts w:eastAsia="微软雅黑"/>
                <w:sz w:val="20"/>
                <w:szCs w:val="20"/>
              </w:rPr>
            </w:pP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G, </w:t>
            </w:r>
            <w:proofErr w:type="spellStart"/>
            <w:r>
              <w:rPr>
                <w:rFonts w:eastAsia="微软雅黑"/>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E75C6C" w14:paraId="07216995" w14:textId="77777777">
        <w:tc>
          <w:tcPr>
            <w:tcW w:w="4675" w:type="dxa"/>
          </w:tcPr>
          <w:p w14:paraId="639F578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flexible A-SRS triggering for interference probing</w:t>
            </w:r>
          </w:p>
        </w:tc>
        <w:tc>
          <w:tcPr>
            <w:tcW w:w="4675" w:type="dxa"/>
          </w:tcPr>
          <w:p w14:paraId="72ECF289"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bl>
    <w:p w14:paraId="16F8C550" w14:textId="77777777" w:rsidR="00E75C6C"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M</w:t>
            </w:r>
            <w:r>
              <w:rPr>
                <w:rFonts w:eastAsia="微软雅黑"/>
                <w:sz w:val="20"/>
                <w:szCs w:val="20"/>
              </w:rPr>
              <w:t>otM</w:t>
            </w:r>
            <w:proofErr w:type="spellEnd"/>
            <w:r>
              <w:rPr>
                <w:rFonts w:eastAsia="微软雅黑"/>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7668AE"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 companies.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T6R is supported by 4 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64447F1"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7E15B7CF" w14:textId="77777777">
        <w:tc>
          <w:tcPr>
            <w:tcW w:w="2830" w:type="dxa"/>
          </w:tcPr>
          <w:p w14:paraId="50426938"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1ECB735F" w14:textId="77777777" w:rsidR="00E75C6C" w:rsidRDefault="00E75C6C">
            <w:pPr>
              <w:widowControl w:val="0"/>
              <w:snapToGrid w:val="0"/>
              <w:spacing w:before="120" w:afterLines="50" w:after="120" w:line="240" w:lineRule="auto"/>
              <w:jc w:val="both"/>
              <w:rPr>
                <w:rFonts w:eastAsia="微软雅黑"/>
                <w:sz w:val="20"/>
                <w:szCs w:val="20"/>
              </w:rPr>
            </w:pPr>
          </w:p>
        </w:tc>
      </w:tr>
    </w:tbl>
    <w:p w14:paraId="22397829" w14:textId="77777777" w:rsidR="00E75C6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4 companies (LG, Nokia, NSB, </w:t>
      </w:r>
      <w:proofErr w:type="gramStart"/>
      <w:r>
        <w:rPr>
          <w:rFonts w:eastAsia="微软雅黑"/>
          <w:sz w:val="20"/>
          <w:szCs w:val="20"/>
          <w:u w:val="single"/>
        </w:rPr>
        <w:t>Sony</w:t>
      </w:r>
      <w:proofErr w:type="gramEnd"/>
      <w:r>
        <w:rPr>
          <w:rFonts w:eastAsia="微软雅黑"/>
          <w:sz w:val="20"/>
          <w:szCs w:val="20"/>
          <w:u w:val="single"/>
        </w:rPr>
        <w:t>)</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06580894"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07009D9D" w14:textId="77777777">
        <w:tc>
          <w:tcPr>
            <w:tcW w:w="2830" w:type="dxa"/>
          </w:tcPr>
          <w:p w14:paraId="15679E9D"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33C9A84" w14:textId="77777777" w:rsidR="00E75C6C" w:rsidRDefault="00E75C6C">
            <w:pPr>
              <w:widowControl w:val="0"/>
              <w:snapToGrid w:val="0"/>
              <w:spacing w:before="120" w:afterLines="50" w:after="120" w:line="240" w:lineRule="auto"/>
              <w:jc w:val="both"/>
              <w:rPr>
                <w:rFonts w:eastAsia="微软雅黑"/>
                <w:sz w:val="20"/>
                <w:szCs w:val="20"/>
              </w:rPr>
            </w:pPr>
          </w:p>
        </w:tc>
      </w:tr>
    </w:tbl>
    <w:p w14:paraId="3DAB337A" w14:textId="77777777" w:rsidR="00E75C6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lastRenderedPageBreak/>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w:t>
      </w:r>
      <w:proofErr w:type="spellStart"/>
      <w:r>
        <w:rPr>
          <w:rFonts w:eastAsia="微软雅黑"/>
          <w:sz w:val="20"/>
          <w:szCs w:val="20"/>
          <w:u w:val="single"/>
        </w:rPr>
        <w:t>MediaTek</w:t>
      </w:r>
      <w:proofErr w:type="spellEnd"/>
      <w:r>
        <w:rPr>
          <w:rFonts w:eastAsia="微软雅黑"/>
          <w:sz w:val="20"/>
          <w:szCs w:val="20"/>
          <w:u w:val="single"/>
        </w:rPr>
        <w:t xml:space="preserve">, Samsung,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334BBEA3"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5E6776DD" w14:textId="77777777">
        <w:tc>
          <w:tcPr>
            <w:tcW w:w="2830" w:type="dxa"/>
          </w:tcPr>
          <w:p w14:paraId="7002305F"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1F06AEAA" w14:textId="77777777" w:rsidR="00E75C6C" w:rsidRDefault="00E75C6C">
            <w:pPr>
              <w:widowControl w:val="0"/>
              <w:snapToGrid w:val="0"/>
              <w:spacing w:before="120" w:afterLines="50" w:after="120" w:line="240" w:lineRule="auto"/>
              <w:jc w:val="both"/>
              <w:rPr>
                <w:rFonts w:eastAsia="微软雅黑"/>
                <w:sz w:val="20"/>
                <w:szCs w:val="20"/>
              </w:rPr>
            </w:pPr>
          </w:p>
        </w:tc>
      </w:tr>
    </w:tbl>
    <w:p w14:paraId="4247E496" w14:textId="77777777" w:rsidR="00E75C6C"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Sony, CATT</w:t>
      </w:r>
      <w:r>
        <w:rPr>
          <w:rFonts w:eastAsia="微软雅黑" w:hint="eastAsia"/>
          <w:sz w:val="20"/>
          <w:szCs w:val="20"/>
          <w:u w:val="single"/>
        </w:rPr>
        <w:t>,</w:t>
      </w:r>
      <w:r>
        <w:rPr>
          <w:rFonts w:eastAsia="微软雅黑"/>
          <w:sz w:val="20"/>
          <w:szCs w:val="20"/>
          <w:u w:val="single"/>
        </w:rPr>
        <w:t xml:space="preserve">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proofErr w:type="gramStart"/>
      <w:r>
        <w:rPr>
          <w:rFonts w:eastAsia="微软雅黑"/>
          <w:sz w:val="20"/>
          <w:szCs w:val="20"/>
          <w:u w:val="single"/>
        </w:rPr>
        <w:t>CEWiT</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xml:space="preserve">, ZTE, CATT, </w:t>
      </w:r>
      <w:proofErr w:type="gramStart"/>
      <w:r>
        <w:rPr>
          <w:rFonts w:eastAsia="微软雅黑"/>
          <w:sz w:val="20"/>
          <w:szCs w:val="20"/>
          <w:u w:val="single"/>
        </w:rPr>
        <w:t>Intel</w:t>
      </w:r>
      <w:proofErr w:type="gramEnd"/>
      <w:r>
        <w:rPr>
          <w:rFonts w:eastAsia="微软雅黑"/>
          <w:sz w:val="20"/>
          <w:szCs w:val="20"/>
          <w:u w:val="single"/>
        </w:rPr>
        <w:t>)</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6257C15A"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7CC165BC" w14:textId="77777777">
        <w:tc>
          <w:tcPr>
            <w:tcW w:w="2830" w:type="dxa"/>
          </w:tcPr>
          <w:p w14:paraId="5E892188"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DD8444F" w14:textId="77777777" w:rsidR="00E75C6C" w:rsidRDefault="00E75C6C">
            <w:pPr>
              <w:widowControl w:val="0"/>
              <w:snapToGrid w:val="0"/>
              <w:spacing w:before="120" w:afterLines="50" w:after="120" w:line="240" w:lineRule="auto"/>
              <w:jc w:val="both"/>
              <w:rPr>
                <w:rFonts w:eastAsia="微软雅黑"/>
                <w:sz w:val="20"/>
                <w:szCs w:val="20"/>
              </w:rPr>
            </w:pPr>
          </w:p>
        </w:tc>
      </w:tr>
    </w:tbl>
    <w:p w14:paraId="2268D1BD" w14:textId="77777777" w:rsidR="00E75C6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supports more flexible configuration on SRS frequency resources to allow SRS transmission on partial frequency resources within the legacy SRS band</w:t>
      </w:r>
      <w:r>
        <w:rPr>
          <w:rFonts w:eastAsia="微软雅黑" w:hint="eastAsia"/>
          <w:sz w:val="20"/>
          <w:szCs w:val="20"/>
        </w:rPr>
        <w:t>width</w:t>
      </w:r>
      <w:r>
        <w:rPr>
          <w:rFonts w:eastAsia="微软雅黑"/>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MediaTek</w:t>
      </w:r>
      <w:proofErr w:type="spellEnd"/>
      <w:r>
        <w:rPr>
          <w:rFonts w:eastAsia="微软雅黑"/>
          <w:sz w:val="20"/>
          <w:szCs w:val="20"/>
          <w:u w:val="single"/>
        </w:rPr>
        <w:t xml:space="preserve">, NEC, OPPO, Samsung,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4BB947BA"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2B4710CE" w14:textId="77777777">
        <w:tc>
          <w:tcPr>
            <w:tcW w:w="2830" w:type="dxa"/>
          </w:tcPr>
          <w:p w14:paraId="3E4F5EA4" w14:textId="77777777" w:rsidR="00E75C6C" w:rsidRDefault="00E75C6C">
            <w:pPr>
              <w:widowControl w:val="0"/>
              <w:snapToGrid w:val="0"/>
              <w:spacing w:before="120" w:afterLines="50" w:after="120" w:line="240" w:lineRule="auto"/>
              <w:jc w:val="both"/>
              <w:rPr>
                <w:rFonts w:eastAsia="微软雅黑"/>
                <w:sz w:val="20"/>
                <w:szCs w:val="20"/>
              </w:rPr>
            </w:pPr>
          </w:p>
        </w:tc>
        <w:tc>
          <w:tcPr>
            <w:tcW w:w="6520" w:type="dxa"/>
          </w:tcPr>
          <w:p w14:paraId="05EE8A94" w14:textId="77777777" w:rsidR="00E75C6C" w:rsidRDefault="00E75C6C">
            <w:pPr>
              <w:widowControl w:val="0"/>
              <w:snapToGrid w:val="0"/>
              <w:spacing w:before="120" w:afterLines="50" w:after="120" w:line="240" w:lineRule="auto"/>
              <w:jc w:val="both"/>
              <w:rPr>
                <w:rFonts w:eastAsia="微软雅黑"/>
                <w:sz w:val="20"/>
                <w:szCs w:val="20"/>
              </w:rPr>
            </w:pP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lastRenderedPageBreak/>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3 (Partial frequency sounding): Supports more flexible configuration on SRS frequency resources to allow SRS transmission on partial frequency resources within the legacy SRS band</w:t>
      </w:r>
      <w:r>
        <w:rPr>
          <w:rFonts w:eastAsia="微软雅黑" w:hint="eastAsia"/>
          <w:i/>
          <w:sz w:val="20"/>
          <w:szCs w:val="20"/>
        </w:rPr>
        <w:t>width</w:t>
      </w:r>
      <w:r>
        <w:rPr>
          <w:rFonts w:eastAsia="微软雅黑"/>
          <w:i/>
          <w:sz w:val="20"/>
          <w:szCs w:val="20"/>
        </w:rPr>
        <w:t>.</w:t>
      </w:r>
    </w:p>
    <w:p w14:paraId="6CAC97D2" w14:textId="77777777" w:rsidR="00E75C6C"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MediaTek</w:t>
            </w:r>
            <w:proofErr w:type="spellEnd"/>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xml:space="preserve">,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6472" w:type="dxa"/>
                </w:tcPr>
                <w:p w14:paraId="382CA00C"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 xml:space="preserve">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6472" w:type="dxa"/>
                </w:tcPr>
                <w:p w14:paraId="74AA6847" w14:textId="77777777" w:rsidR="00A96F3B" w:rsidRDefault="00A96F3B" w:rsidP="00382FB8">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granularity</w:t>
                  </w:r>
                </w:p>
              </w:tc>
              <w:tc>
                <w:tcPr>
                  <w:tcW w:w="6472" w:type="dxa"/>
                </w:tcPr>
                <w:p w14:paraId="128FBF39"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450" w:type="dxa"/>
                </w:tcPr>
                <w:p w14:paraId="1FCFF1E1" w14:textId="77777777" w:rsidR="00A96F3B" w:rsidRDefault="00A96F3B" w:rsidP="00382FB8">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382FB8">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hint="eastAsia"/>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lastRenderedPageBreak/>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5"/>
  </w:num>
  <w:num w:numId="8">
    <w:abstractNumId w:val="9"/>
  </w:num>
  <w:num w:numId="9">
    <w:abstractNumId w:val="1"/>
  </w:num>
  <w:num w:numId="10">
    <w:abstractNumId w:val="0"/>
  </w:num>
  <w:num w:numId="11">
    <w:abstractNumId w:val="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66BA"/>
    <w:rsid w:val="00126766"/>
    <w:rsid w:val="00126B05"/>
    <w:rsid w:val="00126C3E"/>
    <w:rsid w:val="00126FCA"/>
    <w:rsid w:val="0012707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352A"/>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10B7"/>
    <w:rsid w:val="006B1490"/>
    <w:rsid w:val="006B1ADB"/>
    <w:rsid w:val="006B1D65"/>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980"/>
    <w:rsid w:val="008E2A77"/>
    <w:rsid w:val="008E2E7F"/>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3ED"/>
    <w:rsid w:val="00B67428"/>
    <w:rsid w:val="00B67832"/>
    <w:rsid w:val="00B678F3"/>
    <w:rsid w:val="00B706F3"/>
    <w:rsid w:val="00B7072C"/>
    <w:rsid w:val="00B7085F"/>
    <w:rsid w:val="00B70A7D"/>
    <w:rsid w:val="00B70CB8"/>
    <w:rsid w:val="00B71689"/>
    <w:rsid w:val="00B71CEF"/>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AE4"/>
    <w:rsid w:val="00E92BFE"/>
    <w:rsid w:val="00E932AF"/>
    <w:rsid w:val="00E936B1"/>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宋体"/>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宋体"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微软雅黑"/>
      <w:b/>
    </w:rPr>
  </w:style>
  <w:style w:type="character" w:customStyle="1" w:styleId="1Char">
    <w:name w:val="样式1 Char"/>
    <w:basedOn w:val="DefaultParagraphFont"/>
    <w:link w:val="15"/>
    <w:qFormat/>
    <w:rPr>
      <w:rFonts w:eastAsia="微软雅黑"/>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宋体" w:hAnsi="Times New Roman" w:cs="Times New Roman"/>
      <w:sz w:val="24"/>
      <w:szCs w:val="24"/>
    </w:rPr>
  </w:style>
  <w:style w:type="character" w:customStyle="1" w:styleId="ListParagraphChar">
    <w:name w:val="List Paragraph Char"/>
    <w:link w:val="ListParagraph"/>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A6828-D35D-4D07-A12C-C0C33417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15</Pages>
  <Words>4150</Words>
  <Characters>23659</Characters>
  <Application>Microsoft Office Word</Application>
  <DocSecurity>0</DocSecurity>
  <Lines>197</Lines>
  <Paragraphs>55</Paragraphs>
  <ScaleCrop>false</ScaleCrop>
  <Company>www.zte.com.cn</Company>
  <LinksUpToDate>false</LinksUpToDate>
  <CharactersWithSpaces>27754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ZTE</cp:lastModifiedBy>
  <cp:revision>3165</cp:revision>
  <dcterms:created xsi:type="dcterms:W3CDTF">2019-04-26T09:18:00Z</dcterms:created>
  <dcterms:modified xsi:type="dcterms:W3CDTF">2020-08-19T13:58:00Z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