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4A41688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4F5AC6">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3958EA2C"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r w:rsidR="004F5AC6">
        <w:rPr>
          <w:rFonts w:cs="Arial"/>
          <w:sz w:val="22"/>
          <w:szCs w:val="22"/>
        </w:rPr>
        <w:t xml:space="preserve"> #2</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948254" w:rsidR="0090482B" w:rsidRPr="00626DEC" w:rsidRDefault="00497461" w:rsidP="002478D2">
      <w:pPr>
        <w:rPr>
          <w:rFonts w:eastAsiaTheme="minorEastAsia"/>
          <w:lang w:eastAsia="zh-CN"/>
        </w:rPr>
      </w:pPr>
      <w:bookmarkStart w:id="0" w:name="OLE_LINK13"/>
      <w:bookmarkStart w:id="1" w:name="OLE_LINK14"/>
      <w:r>
        <w:rPr>
          <w:rFonts w:eastAsiaTheme="minorEastAsia"/>
          <w:lang w:eastAsia="zh-CN"/>
        </w:rPr>
        <w:t>After the preparatory week, following issues are recommended for further discussion until 20</w:t>
      </w:r>
      <w:r w:rsidRPr="00497461">
        <w:rPr>
          <w:rFonts w:eastAsiaTheme="minorEastAsia"/>
          <w:vertAlign w:val="superscript"/>
          <w:lang w:eastAsia="zh-CN"/>
        </w:rPr>
        <w:t>th</w:t>
      </w:r>
      <w:r>
        <w:rPr>
          <w:rFonts w:eastAsiaTheme="minorEastAsia"/>
          <w:lang w:eastAsia="zh-CN"/>
        </w:rPr>
        <w:t xml:space="preserve"> August</w:t>
      </w:r>
      <w:r w:rsidR="00A412BD">
        <w:rPr>
          <w:rFonts w:eastAsiaTheme="minorEastAsia"/>
          <w:lang w:eastAsia="zh-CN"/>
        </w:rPr>
        <w:t>.</w:t>
      </w:r>
    </w:p>
    <w:p w14:paraId="01B42957" w14:textId="019DCE34" w:rsidR="00E83732" w:rsidRPr="00E83732" w:rsidRDefault="00A412BD" w:rsidP="00E37865">
      <w:pPr>
        <w:pStyle w:val="title1"/>
      </w:pPr>
      <w:r>
        <w:t>Remaining issues</w:t>
      </w:r>
      <w:r w:rsidR="00F53427">
        <w:t xml:space="preserve"> </w:t>
      </w:r>
    </w:p>
    <w:p w14:paraId="54CB1AB9" w14:textId="38EDA634" w:rsidR="00FF71DF" w:rsidRPr="00EE4FA9" w:rsidRDefault="00856DC4" w:rsidP="00B1706B">
      <w:pPr>
        <w:pStyle w:val="title2"/>
        <w:rPr>
          <w:b/>
        </w:rPr>
      </w:pPr>
      <w:r>
        <w:t xml:space="preserve">Issue 1: </w:t>
      </w:r>
      <w:r w:rsidR="00DE10F7">
        <w:t>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r w:rsidRPr="00781840">
        <w:rPr>
          <w:i/>
          <w:iCs/>
          <w:color w:val="000000" w:themeColor="text1"/>
        </w:rPr>
        <w:t>repK-RV</w:t>
      </w:r>
      <w:r w:rsidRPr="00781840">
        <w:rPr>
          <w:color w:val="000000" w:themeColor="text1"/>
        </w:rPr>
        <w:t xml:space="preserve"> defines the redundancy version pattern to be applied to the repetitions. If </w:t>
      </w:r>
      <w:r w:rsidRPr="00781840">
        <w:rPr>
          <w:i/>
          <w:iCs/>
          <w:color w:val="000000" w:themeColor="text1"/>
        </w:rPr>
        <w:t>cg-RetransmissionTimer</w:t>
      </w:r>
      <w:r w:rsidRPr="00781840">
        <w:rPr>
          <w:color w:val="000000" w:themeColor="text1"/>
        </w:rPr>
        <w:t xml:space="preserve"> is provided, the redundancy version for uplink transmission with a configured grant is determined by the UE</w:t>
      </w:r>
      <w:r w:rsidRPr="00DE10F7">
        <w:rPr>
          <w:strike/>
          <w:color w:val="FF0000"/>
        </w:rPr>
        <w:t xml:space="preserve">[, except for the redundancy version of the first repetition that is set to 0] </w:t>
      </w:r>
      <w:r w:rsidRPr="00781840">
        <w:rPr>
          <w:color w:val="000000" w:themeColor="text1"/>
        </w:rPr>
        <w:t xml:space="preserve">. If the parameter </w:t>
      </w:r>
      <w:r w:rsidRPr="00781840">
        <w:rPr>
          <w:i/>
          <w:iCs/>
          <w:color w:val="000000" w:themeColor="text1"/>
        </w:rPr>
        <w:t>repK-RV</w:t>
      </w:r>
      <w:r w:rsidRPr="00781840">
        <w:rPr>
          <w:color w:val="000000" w:themeColor="text1"/>
        </w:rPr>
        <w:t xml:space="preserve"> is not provided in the </w:t>
      </w:r>
      <w:r w:rsidRPr="00781840">
        <w:rPr>
          <w:i/>
          <w:iCs/>
          <w:color w:val="000000" w:themeColor="text1"/>
        </w:rPr>
        <w:t>configuredGrantConfig</w:t>
      </w:r>
      <w:r w:rsidRPr="00781840">
        <w:rPr>
          <w:color w:val="000000" w:themeColor="text1"/>
        </w:rPr>
        <w:t xml:space="preserve"> and </w:t>
      </w:r>
      <w:r w:rsidRPr="00781840">
        <w:rPr>
          <w:i/>
          <w:iCs/>
          <w:color w:val="000000" w:themeColor="text1"/>
        </w:rPr>
        <w:t>cg-RetransmissionTimer</w:t>
      </w:r>
      <w:r w:rsidRPr="00781840">
        <w:rPr>
          <w:color w:val="000000" w:themeColor="text1"/>
        </w:rPr>
        <w:t xml:space="preserve"> is not provided, the redundancy version for uplink transmissions with a configured grant shall be set to 0. If the parameter </w:t>
      </w:r>
      <w:r w:rsidRPr="00781840">
        <w:rPr>
          <w:i/>
          <w:iCs/>
          <w:color w:val="000000" w:themeColor="text1"/>
        </w:rPr>
        <w:t>repK-RV</w:t>
      </w:r>
      <w:r w:rsidRPr="00781840">
        <w:rPr>
          <w:color w:val="000000" w:themeColor="text1"/>
        </w:rPr>
        <w:t xml:space="preserve"> is provided in the </w:t>
      </w:r>
      <w:r w:rsidRPr="00781840">
        <w:rPr>
          <w:i/>
          <w:iCs/>
          <w:color w:val="000000" w:themeColor="text1"/>
        </w:rPr>
        <w:t>configuredGrantConfig</w:t>
      </w:r>
      <w:r w:rsidRPr="00781840">
        <w:rPr>
          <w:color w:val="000000" w:themeColor="text1"/>
        </w:rPr>
        <w:t xml:space="preserve"> and </w:t>
      </w:r>
      <w:r w:rsidRPr="00781840">
        <w:rPr>
          <w:i/>
          <w:iCs/>
          <w:color w:val="000000" w:themeColor="text1"/>
        </w:rPr>
        <w:t>cg-RetransmissionTimer</w:t>
      </w:r>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r w:rsidRPr="00781840">
        <w:rPr>
          <w:i/>
          <w:iCs/>
          <w:color w:val="000000" w:themeColor="text1"/>
          <w:vertAlign w:val="superscript"/>
        </w:rPr>
        <w:t>th</w:t>
      </w:r>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BodyText"/>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r w:rsidRPr="00803FBC">
        <w:rPr>
          <w:i/>
          <w:color w:val="000000"/>
        </w:rPr>
        <w:t>repK-RV</w:t>
      </w:r>
      <w:r w:rsidRPr="00803FBC">
        <w:rPr>
          <w:color w:val="000000"/>
        </w:rPr>
        <w:t xml:space="preserve"> defines the redundancy version pattern to be applied to the repetitions. If </w:t>
      </w:r>
      <w:r w:rsidRPr="00803FBC">
        <w:rPr>
          <w:i/>
          <w:color w:val="000000"/>
        </w:rPr>
        <w:t>cg-RetransmissionTimer</w:t>
      </w:r>
      <w:r w:rsidRPr="00803FBC">
        <w:rPr>
          <w:color w:val="000000"/>
        </w:rPr>
        <w:t xml:space="preserve"> is provided, </w:t>
      </w:r>
      <w:r w:rsidRPr="00803FBC">
        <w:rPr>
          <w:color w:val="FF0000"/>
        </w:rPr>
        <w:t>and if repK=1,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If repK&gt;1, the redundancy version is determined by the UE and the UE is not expected to select the redundancy version for all repetitions to 2 or 3.</w:t>
      </w:r>
      <w:r w:rsidRPr="00803FBC">
        <w:rPr>
          <w:color w:val="000000"/>
        </w:rPr>
        <w:t xml:space="preserve"> If the parameter </w:t>
      </w:r>
      <w:r w:rsidRPr="00803FBC">
        <w:rPr>
          <w:i/>
          <w:color w:val="000000"/>
        </w:rPr>
        <w:t>repK-RV</w:t>
      </w:r>
      <w:r w:rsidRPr="00803FBC">
        <w:rPr>
          <w:color w:val="000000"/>
        </w:rPr>
        <w:t xml:space="preserve"> is not provided in the </w:t>
      </w:r>
      <w:r w:rsidRPr="00803FBC">
        <w:rPr>
          <w:i/>
          <w:color w:val="000000"/>
        </w:rPr>
        <w:t>configuredGrantConfig</w:t>
      </w:r>
      <w:r w:rsidRPr="00803FBC">
        <w:rPr>
          <w:color w:val="000000"/>
        </w:rPr>
        <w:t xml:space="preserve"> and</w:t>
      </w:r>
      <w:r w:rsidRPr="00803FBC">
        <w:rPr>
          <w:i/>
          <w:color w:val="000000"/>
        </w:rPr>
        <w:t xml:space="preserve"> cg-RetransmissionTimer </w:t>
      </w:r>
      <w:r w:rsidRPr="00803FBC">
        <w:rPr>
          <w:color w:val="000000"/>
        </w:rPr>
        <w:t xml:space="preserve">is not provided, the redundancy version for uplink transmissions with a configured grant shall be set to 0. If the parameter </w:t>
      </w:r>
      <w:r w:rsidRPr="00803FBC">
        <w:rPr>
          <w:i/>
          <w:color w:val="000000"/>
        </w:rPr>
        <w:t>repK-RV</w:t>
      </w:r>
      <w:r w:rsidRPr="00803FBC">
        <w:rPr>
          <w:color w:val="000000"/>
        </w:rPr>
        <w:t xml:space="preserve"> is provided in the </w:t>
      </w:r>
      <w:r w:rsidRPr="00803FBC">
        <w:rPr>
          <w:i/>
          <w:color w:val="000000"/>
        </w:rPr>
        <w:t>configuredGrantConfig</w:t>
      </w:r>
      <w:r w:rsidRPr="00803FBC">
        <w:rPr>
          <w:color w:val="000000"/>
        </w:rPr>
        <w:t xml:space="preserve"> and </w:t>
      </w:r>
      <w:r w:rsidRPr="00803FBC">
        <w:rPr>
          <w:i/>
          <w:color w:val="000000"/>
        </w:rPr>
        <w:t>cg-RetransmissionTimer</w:t>
      </w:r>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(mod(n-1,4)+1)</w:t>
      </w:r>
      <w:r w:rsidRPr="00803FBC">
        <w:rPr>
          <w:i/>
          <w:color w:val="000000"/>
          <w:vertAlign w:val="superscript"/>
        </w:rPr>
        <w:t>th</w:t>
      </w:r>
      <w:r w:rsidRPr="00803FBC">
        <w:rPr>
          <w:color w:val="000000"/>
        </w:rPr>
        <w:t xml:space="preserve"> value in the configured RV sequence. If a configured grant configuration is configured with </w:t>
      </w:r>
      <w:r w:rsidRPr="00803FBC">
        <w:rPr>
          <w:i/>
          <w:color w:val="000000"/>
        </w:rPr>
        <w:lastRenderedPageBreak/>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BodyText"/>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repK configuration. No need to introduce different behavior </w:t>
            </w:r>
          </w:p>
        </w:tc>
      </w:tr>
      <w:tr w:rsidR="004E6B0C" w14:paraId="0DB8247A" w14:textId="77777777" w:rsidTr="00105DDD">
        <w:tc>
          <w:tcPr>
            <w:tcW w:w="1838" w:type="dxa"/>
          </w:tcPr>
          <w:p w14:paraId="238779E0" w14:textId="6E2BA85D" w:rsidR="004E6B0C" w:rsidRDefault="004E6B0C" w:rsidP="004E6B0C">
            <w:r>
              <w:rPr>
                <w:rFonts w:eastAsia="PMingLiU"/>
                <w:lang w:eastAsia="zh-TW"/>
              </w:rPr>
              <w:t>ASUSTeK</w:t>
            </w:r>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lang w:eastAsia="ko-KR"/>
              </w:rPr>
            </w:pPr>
            <w:r>
              <w:t>Ericsson</w:t>
            </w:r>
          </w:p>
        </w:tc>
        <w:tc>
          <w:tcPr>
            <w:tcW w:w="7222" w:type="dxa"/>
          </w:tcPr>
          <w:p w14:paraId="2DC276B9" w14:textId="4CBFA2CE" w:rsidR="005B430F" w:rsidRDefault="005B430F" w:rsidP="005B430F">
            <w:pPr>
              <w:rPr>
                <w:rFonts w:eastAsia="Malgun Gothic"/>
                <w:lang w:eastAsia="ko-KR"/>
              </w:rPr>
            </w:pPr>
            <w:r>
              <w:t>Support option 1</w:t>
            </w:r>
          </w:p>
        </w:tc>
      </w:tr>
      <w:tr w:rsidR="009A0AE3" w14:paraId="42E7FF37" w14:textId="77777777" w:rsidTr="00105DDD">
        <w:tc>
          <w:tcPr>
            <w:tcW w:w="1838" w:type="dxa"/>
          </w:tcPr>
          <w:p w14:paraId="32E13255" w14:textId="6A9A208B" w:rsidR="009A0AE3" w:rsidRDefault="009A0AE3" w:rsidP="009A0AE3">
            <w:r>
              <w:rPr>
                <w:rFonts w:hint="eastAsia"/>
              </w:rPr>
              <w:t>O</w:t>
            </w:r>
            <w:r>
              <w:t>PPO</w:t>
            </w:r>
          </w:p>
        </w:tc>
        <w:tc>
          <w:tcPr>
            <w:tcW w:w="7222" w:type="dxa"/>
          </w:tcPr>
          <w:p w14:paraId="0454C3CB" w14:textId="35DF767F" w:rsidR="009A0AE3" w:rsidRDefault="009A0AE3" w:rsidP="009A0AE3">
            <w:r>
              <w:rPr>
                <w:rFonts w:hint="eastAsia"/>
              </w:rPr>
              <w:t>W</w:t>
            </w:r>
            <w:r>
              <w:t xml:space="preserve">e think that the error case should not be allowed in the specification. Thus, we propose to discuss and to avoid this error case. </w:t>
            </w:r>
          </w:p>
        </w:tc>
      </w:tr>
      <w:tr w:rsidR="00F96762" w14:paraId="6C16E1D3" w14:textId="77777777" w:rsidTr="00105DDD">
        <w:tc>
          <w:tcPr>
            <w:tcW w:w="1838" w:type="dxa"/>
          </w:tcPr>
          <w:p w14:paraId="122B7A63" w14:textId="1EE34B5D" w:rsidR="00F96762" w:rsidRDefault="00F96762" w:rsidP="00F96762">
            <w:r>
              <w:t>Intel</w:t>
            </w:r>
          </w:p>
        </w:tc>
        <w:tc>
          <w:tcPr>
            <w:tcW w:w="7222" w:type="dxa"/>
          </w:tcPr>
          <w:p w14:paraId="2902D0F4" w14:textId="4EC2AA14" w:rsidR="00F96762" w:rsidRDefault="00F96762" w:rsidP="00F96762">
            <w:r>
              <w:t>Support option 1</w:t>
            </w:r>
            <w:r w:rsidR="00266A5C">
              <w:t>.</w:t>
            </w:r>
          </w:p>
        </w:tc>
      </w:tr>
      <w:tr w:rsidR="00BA00BF" w14:paraId="1F4A6317" w14:textId="77777777" w:rsidTr="00105DDD">
        <w:tc>
          <w:tcPr>
            <w:tcW w:w="1838" w:type="dxa"/>
          </w:tcPr>
          <w:p w14:paraId="136DB0EA" w14:textId="742F5E05" w:rsidR="00BA00BF" w:rsidRDefault="00BA00BF" w:rsidP="00F96762">
            <w:r>
              <w:t>Huawei, HiSilicon</w:t>
            </w:r>
          </w:p>
        </w:tc>
        <w:tc>
          <w:tcPr>
            <w:tcW w:w="7222" w:type="dxa"/>
          </w:tcPr>
          <w:p w14:paraId="7228B8E7" w14:textId="5D4688D6" w:rsidR="00BA00BF" w:rsidRDefault="00BA00BF" w:rsidP="00F96762">
            <w:r>
              <w:t>Support option 1</w:t>
            </w:r>
          </w:p>
        </w:tc>
      </w:tr>
      <w:tr w:rsidR="002844DC" w14:paraId="202D57D1" w14:textId="77777777" w:rsidTr="00105DDD">
        <w:tc>
          <w:tcPr>
            <w:tcW w:w="1838" w:type="dxa"/>
          </w:tcPr>
          <w:p w14:paraId="47F9D460" w14:textId="77777777" w:rsidR="002844DC" w:rsidRDefault="002844DC" w:rsidP="00F96762"/>
        </w:tc>
        <w:tc>
          <w:tcPr>
            <w:tcW w:w="7222" w:type="dxa"/>
          </w:tcPr>
          <w:p w14:paraId="56554462" w14:textId="77777777" w:rsidR="002844DC" w:rsidRDefault="002844DC" w:rsidP="00F96762"/>
        </w:tc>
      </w:tr>
      <w:tr w:rsidR="002844DC" w14:paraId="60C6D1AF" w14:textId="77777777" w:rsidTr="00105DDD">
        <w:tc>
          <w:tcPr>
            <w:tcW w:w="1838" w:type="dxa"/>
          </w:tcPr>
          <w:p w14:paraId="4820FE2E" w14:textId="77777777" w:rsidR="002844DC" w:rsidRDefault="002844DC" w:rsidP="00F96762"/>
        </w:tc>
        <w:tc>
          <w:tcPr>
            <w:tcW w:w="7222" w:type="dxa"/>
          </w:tcPr>
          <w:p w14:paraId="34C410D7" w14:textId="77777777" w:rsidR="002844DC" w:rsidRDefault="002844DC" w:rsidP="00F96762"/>
        </w:tc>
      </w:tr>
      <w:tr w:rsidR="002844DC" w14:paraId="29390338" w14:textId="77777777" w:rsidTr="00105DDD">
        <w:tc>
          <w:tcPr>
            <w:tcW w:w="1838" w:type="dxa"/>
          </w:tcPr>
          <w:p w14:paraId="615AB953" w14:textId="77777777" w:rsidR="002844DC" w:rsidRDefault="002844DC" w:rsidP="00F96762"/>
        </w:tc>
        <w:tc>
          <w:tcPr>
            <w:tcW w:w="7222" w:type="dxa"/>
          </w:tcPr>
          <w:p w14:paraId="70849445" w14:textId="77777777" w:rsidR="002844DC" w:rsidRDefault="002844DC" w:rsidP="00F96762"/>
        </w:tc>
      </w:tr>
    </w:tbl>
    <w:p w14:paraId="68AE66D6" w14:textId="77777777" w:rsidR="00105DDD" w:rsidRDefault="00105DDD" w:rsidP="0032775C"/>
    <w:p w14:paraId="26C1C70C" w14:textId="77777777" w:rsidR="000F5619" w:rsidRPr="00C32884" w:rsidRDefault="000F5619" w:rsidP="000F5619">
      <w:pPr>
        <w:spacing w:after="180"/>
        <w:rPr>
          <w:rFonts w:eastAsia="SimSun"/>
          <w:szCs w:val="20"/>
          <w:lang w:eastAsia="zh-CN"/>
        </w:rPr>
      </w:pPr>
    </w:p>
    <w:p w14:paraId="72FDD7DF" w14:textId="081BB757" w:rsidR="000F5619" w:rsidRPr="00FF68C4" w:rsidRDefault="000F5619" w:rsidP="000F5619">
      <w:pPr>
        <w:pStyle w:val="title2"/>
      </w:pPr>
      <w:r>
        <w:t xml:space="preserve">Issue 3: </w:t>
      </w:r>
      <w:r w:rsidR="00606F9D">
        <w:t xml:space="preserve">CG-PUSCH </w:t>
      </w:r>
      <w:r w:rsidR="00E51E19">
        <w:t>repetition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r w:rsidRPr="00D15C69">
        <w:rPr>
          <w:i/>
          <w:color w:val="000000" w:themeColor="text1"/>
          <w:lang w:eastAsia="zh-CN"/>
        </w:rPr>
        <w:t>timeDomainAllocation</w:t>
      </w:r>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r>
              <w:rPr>
                <w:rFonts w:eastAsia="PMingLiU" w:hint="eastAsia"/>
                <w:lang w:eastAsia="zh-TW"/>
              </w:rPr>
              <w:t>ASUSTeK</w:t>
            </w:r>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r w:rsidRPr="00D15C69">
              <w:rPr>
                <w:i/>
                <w:color w:val="000000" w:themeColor="text1"/>
                <w:lang w:eastAsia="zh-CN"/>
              </w:rPr>
              <w:t>timeDomainAllocation</w:t>
            </w:r>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lang w:eastAsia="ko-KR"/>
              </w:rPr>
            </w:pPr>
            <w:r w:rsidRPr="00D15C69">
              <w:rPr>
                <w:color w:val="000000" w:themeColor="text1"/>
                <w:lang w:eastAsia="zh-CN"/>
              </w:rPr>
              <w:t xml:space="preserve">PUSCH allocation follows the higher layer parameter </w:t>
            </w:r>
            <w:r w:rsidRPr="00D15C69">
              <w:rPr>
                <w:i/>
                <w:color w:val="000000" w:themeColor="text1"/>
                <w:lang w:eastAsia="zh-CN"/>
              </w:rPr>
              <w:t>timeDomainAllocation</w:t>
            </w:r>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r w:rsidR="009A0AE3" w14:paraId="58D3D7FC" w14:textId="77777777" w:rsidTr="007D5156">
        <w:tc>
          <w:tcPr>
            <w:tcW w:w="1838" w:type="dxa"/>
          </w:tcPr>
          <w:p w14:paraId="3F69572E" w14:textId="5EEEA032" w:rsidR="009A0AE3" w:rsidRDefault="009A0AE3" w:rsidP="005B430F">
            <w:r>
              <w:t>OPPO</w:t>
            </w:r>
          </w:p>
        </w:tc>
        <w:tc>
          <w:tcPr>
            <w:tcW w:w="7222" w:type="dxa"/>
          </w:tcPr>
          <w:p w14:paraId="474262C4" w14:textId="011A0501" w:rsidR="009A0AE3" w:rsidRDefault="009A0AE3" w:rsidP="005B430F">
            <w:r>
              <w:t>S</w:t>
            </w:r>
            <w:r>
              <w:rPr>
                <w:rFonts w:hint="eastAsia"/>
              </w:rPr>
              <w:t xml:space="preserve">upport </w:t>
            </w:r>
            <w:r>
              <w:t>the TP</w:t>
            </w:r>
          </w:p>
        </w:tc>
      </w:tr>
      <w:tr w:rsidR="00F96762" w14:paraId="1C841100" w14:textId="77777777" w:rsidTr="007D5156">
        <w:tc>
          <w:tcPr>
            <w:tcW w:w="1838" w:type="dxa"/>
          </w:tcPr>
          <w:p w14:paraId="06E6F4ED" w14:textId="2DB51EF2" w:rsidR="00F96762" w:rsidRDefault="00F96762" w:rsidP="005B430F">
            <w:r>
              <w:t>Intel</w:t>
            </w:r>
          </w:p>
        </w:tc>
        <w:tc>
          <w:tcPr>
            <w:tcW w:w="7222" w:type="dxa"/>
          </w:tcPr>
          <w:p w14:paraId="654ED667" w14:textId="0A86E058" w:rsidR="00F96762" w:rsidRDefault="00F96762" w:rsidP="005B430F">
            <w:r>
              <w:t>We support the TP.</w:t>
            </w:r>
          </w:p>
        </w:tc>
      </w:tr>
      <w:tr w:rsidR="009A13FF" w14:paraId="103C8580" w14:textId="77777777" w:rsidTr="007D5156">
        <w:tc>
          <w:tcPr>
            <w:tcW w:w="1838" w:type="dxa"/>
          </w:tcPr>
          <w:p w14:paraId="2089E24F" w14:textId="5D8B8855" w:rsidR="009A13FF" w:rsidRDefault="009A13FF" w:rsidP="005B430F">
            <w:r>
              <w:t>Huawei, HiSilicon</w:t>
            </w:r>
          </w:p>
        </w:tc>
        <w:tc>
          <w:tcPr>
            <w:tcW w:w="7222" w:type="dxa"/>
          </w:tcPr>
          <w:p w14:paraId="64BBB5DB" w14:textId="4CF9FD85" w:rsidR="009A13FF" w:rsidRDefault="009A13FF" w:rsidP="005B430F">
            <w:r>
              <w:t>Support the TP</w:t>
            </w:r>
          </w:p>
        </w:tc>
      </w:tr>
      <w:tr w:rsidR="00125AB6" w14:paraId="21A58904" w14:textId="77777777" w:rsidTr="007D5156">
        <w:tc>
          <w:tcPr>
            <w:tcW w:w="1838" w:type="dxa"/>
          </w:tcPr>
          <w:p w14:paraId="6A27DE96" w14:textId="77777777" w:rsidR="00125AB6" w:rsidRDefault="00125AB6" w:rsidP="005B430F"/>
        </w:tc>
        <w:tc>
          <w:tcPr>
            <w:tcW w:w="7222" w:type="dxa"/>
          </w:tcPr>
          <w:p w14:paraId="169307F9" w14:textId="77777777" w:rsidR="00125AB6" w:rsidRDefault="00125AB6" w:rsidP="005B430F"/>
        </w:tc>
      </w:tr>
      <w:tr w:rsidR="00125AB6" w14:paraId="167C26A9" w14:textId="77777777" w:rsidTr="007D5156">
        <w:tc>
          <w:tcPr>
            <w:tcW w:w="1838" w:type="dxa"/>
          </w:tcPr>
          <w:p w14:paraId="5483FE40" w14:textId="77777777" w:rsidR="00125AB6" w:rsidRDefault="00125AB6" w:rsidP="005B430F"/>
        </w:tc>
        <w:tc>
          <w:tcPr>
            <w:tcW w:w="7222" w:type="dxa"/>
          </w:tcPr>
          <w:p w14:paraId="66BDB2AB" w14:textId="77777777" w:rsidR="00125AB6" w:rsidRDefault="00125AB6" w:rsidP="005B430F"/>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7527CA04" w:rsidR="000D11BD" w:rsidRDefault="000D11BD" w:rsidP="000D11BD">
      <w:pPr>
        <w:pStyle w:val="title2"/>
      </w:pPr>
      <w:r>
        <w:t xml:space="preserve">Issue </w:t>
      </w:r>
      <w:r w:rsidR="00C85CA0">
        <w:t>4</w:t>
      </w:r>
      <w:r>
        <w:t xml:space="preserve">: </w:t>
      </w:r>
      <w:r w:rsidR="004F478C">
        <w:t xml:space="preserve">TP for </w:t>
      </w:r>
      <w:r w:rsidR="00031948">
        <w:t>DFI related issues</w:t>
      </w:r>
    </w:p>
    <w:p w14:paraId="20B911F7" w14:textId="13DF1BA7" w:rsidR="00105DDD" w:rsidRDefault="00105DDD" w:rsidP="003F53F2">
      <w:pPr>
        <w:spacing w:after="180"/>
        <w:rPr>
          <w:rFonts w:eastAsia="SimSun"/>
          <w:szCs w:val="20"/>
          <w:lang w:eastAsia="zh-CN"/>
        </w:rPr>
      </w:pPr>
    </w:p>
    <w:p w14:paraId="381B4AFB" w14:textId="08656F8E" w:rsidR="00031948" w:rsidRPr="005161A2" w:rsidRDefault="005161A2" w:rsidP="00031948">
      <w:pPr>
        <w:ind w:left="1422" w:hangingChars="644" w:hanging="1422"/>
        <w:rPr>
          <w:rFonts w:eastAsiaTheme="minorEastAsia"/>
          <w:b/>
          <w:bCs/>
          <w:color w:val="000000"/>
          <w:sz w:val="22"/>
          <w:szCs w:val="22"/>
          <w:lang w:eastAsia="zh-CN"/>
        </w:rPr>
      </w:pPr>
      <w:r>
        <w:rPr>
          <w:rFonts w:eastAsiaTheme="minorEastAsia" w:hint="eastAsia"/>
          <w:b/>
          <w:bCs/>
          <w:color w:val="000000"/>
          <w:sz w:val="22"/>
          <w:szCs w:val="22"/>
          <w:lang w:eastAsia="zh-CN"/>
        </w:rPr>
        <w:t xml:space="preserve"> </w:t>
      </w:r>
    </w:p>
    <w:p w14:paraId="4306137F" w14:textId="7721B135" w:rsidR="00C26F52" w:rsidRPr="00442DB3" w:rsidRDefault="00C26F52" w:rsidP="009165D4">
      <w:pPr>
        <w:pStyle w:val="title2"/>
        <w:numPr>
          <w:ilvl w:val="0"/>
          <w:numId w:val="0"/>
        </w:numPr>
        <w:ind w:left="562" w:hanging="562"/>
        <w:outlineLvl w:val="9"/>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r w:rsidRPr="002C7A5A">
        <w:rPr>
          <w:i/>
          <w:iCs/>
        </w:rPr>
        <w:t>ConfiguredGrantConfig</w:t>
      </w:r>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or a PUSCH transmission scheduled by a DCI format, if the UE receives a CG-DFI that provides information for the transport block, the UE sets CW</w:t>
      </w:r>
      <w:r w:rsidRPr="00E75F43">
        <w:rPr>
          <w:iCs/>
          <w:color w:val="FF0000"/>
          <w:vertAlign w:val="subscript"/>
        </w:rPr>
        <w:t>p</w:t>
      </w:r>
      <w:r w:rsidRPr="00E75F43">
        <w:rPr>
          <w:iCs/>
          <w:color w:val="FF0000"/>
        </w:rPr>
        <w:t xml:space="preserve"> = CW</w:t>
      </w:r>
      <w:r w:rsidRPr="00E75F43">
        <w:rPr>
          <w:iCs/>
          <w:color w:val="FF0000"/>
          <w:vertAlign w:val="subscript"/>
        </w:rPr>
        <w:t>min,p</w:t>
      </w:r>
      <w:r w:rsidRPr="00E75F43">
        <w:rPr>
          <w:iCs/>
          <w:color w:val="FF0000"/>
        </w:rPr>
        <w:t xml:space="preserve"> for every priority class if the information value is 1; otherwise, the UE increases CW</w:t>
      </w:r>
      <w:r w:rsidRPr="00E75F43">
        <w:rPr>
          <w:iCs/>
          <w:color w:val="FF0000"/>
          <w:vertAlign w:val="subscript"/>
        </w:rPr>
        <w:t>p</w:t>
      </w:r>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 xml:space="preserve">PUSCH-CodeBlockGroupTransmission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lastRenderedPageBreak/>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527A4880" w14:textId="77777777" w:rsidR="007A6E77" w:rsidRDefault="007A6E77"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7F2D5B4D" w:rsidR="00105DDD" w:rsidRDefault="009165D4" w:rsidP="007D5156">
            <w:r>
              <w:t>Qualcomm</w:t>
            </w:r>
          </w:p>
        </w:tc>
        <w:tc>
          <w:tcPr>
            <w:tcW w:w="7222" w:type="dxa"/>
          </w:tcPr>
          <w:p w14:paraId="73895A02" w14:textId="48E4A255" w:rsidR="009D0F85" w:rsidRDefault="009165D4" w:rsidP="009D0F85">
            <w:r>
              <w:t>We prefer option 4 or option 2. The A/N in DFI for scheduled PUSCH was introduced for contention window update. Option 4 provides the most accurate information for that purpose. On the other hand, option 2 is simpler to implement. Option 3 may have the problem if the associated PUSCH is not in reference duration.</w:t>
            </w:r>
          </w:p>
        </w:tc>
      </w:tr>
      <w:tr w:rsidR="00105DDD" w14:paraId="7C1E270C" w14:textId="77777777" w:rsidTr="007D5156">
        <w:tc>
          <w:tcPr>
            <w:tcW w:w="1838" w:type="dxa"/>
          </w:tcPr>
          <w:p w14:paraId="2A521C55" w14:textId="342B7ADD" w:rsidR="00105DDD" w:rsidRPr="00C823D1" w:rsidRDefault="00105DDD" w:rsidP="007D5156">
            <w:pPr>
              <w:rPr>
                <w:rFonts w:eastAsia="PMingLiU"/>
                <w:lang w:eastAsia="zh-TW"/>
              </w:rPr>
            </w:pPr>
          </w:p>
        </w:tc>
        <w:tc>
          <w:tcPr>
            <w:tcW w:w="7222" w:type="dxa"/>
          </w:tcPr>
          <w:p w14:paraId="2B15BDC6" w14:textId="113EE031" w:rsidR="004E6B0C" w:rsidRPr="00C823D1" w:rsidRDefault="004E6B0C" w:rsidP="00C823D1">
            <w:pPr>
              <w:rPr>
                <w:rFonts w:eastAsia="PMingLiU"/>
                <w:lang w:eastAsia="zh-TW"/>
              </w:rPr>
            </w:pPr>
          </w:p>
        </w:tc>
      </w:tr>
      <w:tr w:rsidR="00105DDD" w14:paraId="4BFBA86F" w14:textId="77777777" w:rsidTr="007D5156">
        <w:tc>
          <w:tcPr>
            <w:tcW w:w="1838" w:type="dxa"/>
          </w:tcPr>
          <w:p w14:paraId="2BCCFA8F" w14:textId="46FF886B" w:rsidR="00105DDD" w:rsidRPr="00C96CCB" w:rsidRDefault="00105DDD" w:rsidP="007D5156">
            <w:pPr>
              <w:rPr>
                <w:rFonts w:eastAsia="Malgun Gothic"/>
                <w:lang w:eastAsia="ko-KR"/>
              </w:rPr>
            </w:pPr>
          </w:p>
        </w:tc>
        <w:tc>
          <w:tcPr>
            <w:tcW w:w="7222" w:type="dxa"/>
          </w:tcPr>
          <w:p w14:paraId="71B51BE2" w14:textId="345BF62A" w:rsidR="00105DDD" w:rsidRPr="00C96CCB" w:rsidRDefault="00105DDD" w:rsidP="00B87C3C">
            <w:pPr>
              <w:rPr>
                <w:rFonts w:eastAsia="Malgun Gothic"/>
                <w:lang w:eastAsia="ko-KR"/>
              </w:rPr>
            </w:pPr>
          </w:p>
        </w:tc>
      </w:tr>
      <w:tr w:rsidR="005B430F" w14:paraId="50C388D6" w14:textId="77777777" w:rsidTr="007D5156">
        <w:tc>
          <w:tcPr>
            <w:tcW w:w="1838" w:type="dxa"/>
          </w:tcPr>
          <w:p w14:paraId="32EFABC7" w14:textId="54213E92" w:rsidR="005B430F" w:rsidRDefault="005B430F" w:rsidP="005B430F">
            <w:pPr>
              <w:rPr>
                <w:rFonts w:eastAsia="Malgun Gothic"/>
                <w:lang w:eastAsia="ko-KR"/>
              </w:rPr>
            </w:pPr>
          </w:p>
        </w:tc>
        <w:tc>
          <w:tcPr>
            <w:tcW w:w="7222" w:type="dxa"/>
          </w:tcPr>
          <w:p w14:paraId="2F9DB8B3" w14:textId="77777777" w:rsidR="005B430F" w:rsidRDefault="005B430F" w:rsidP="005B430F">
            <w:pPr>
              <w:rPr>
                <w:rFonts w:eastAsia="Malgun Gothic"/>
                <w:lang w:eastAsia="ko-KR"/>
              </w:rPr>
            </w:pPr>
          </w:p>
        </w:tc>
      </w:tr>
      <w:tr w:rsidR="009A0AE3" w14:paraId="055AA236" w14:textId="77777777" w:rsidTr="007D5156">
        <w:tc>
          <w:tcPr>
            <w:tcW w:w="1838" w:type="dxa"/>
          </w:tcPr>
          <w:p w14:paraId="6256F758" w14:textId="7B5B917B" w:rsidR="009A0AE3" w:rsidRDefault="009A0AE3" w:rsidP="005B430F"/>
        </w:tc>
        <w:tc>
          <w:tcPr>
            <w:tcW w:w="7222" w:type="dxa"/>
          </w:tcPr>
          <w:p w14:paraId="3D5BC9D4" w14:textId="1A6A4EBE" w:rsidR="009A0AE3" w:rsidRDefault="009A0AE3" w:rsidP="005B430F"/>
        </w:tc>
      </w:tr>
      <w:tr w:rsidR="00F96762" w14:paraId="30978B3B" w14:textId="77777777" w:rsidTr="007D5156">
        <w:tc>
          <w:tcPr>
            <w:tcW w:w="1838" w:type="dxa"/>
          </w:tcPr>
          <w:p w14:paraId="6B00CD23" w14:textId="44893DA8" w:rsidR="00F96762" w:rsidRDefault="00F96762" w:rsidP="00F96762"/>
        </w:tc>
        <w:tc>
          <w:tcPr>
            <w:tcW w:w="7222" w:type="dxa"/>
          </w:tcPr>
          <w:p w14:paraId="18CAA137" w14:textId="02E92050" w:rsidR="00F96762" w:rsidRDefault="00F96762" w:rsidP="00F96762"/>
        </w:tc>
      </w:tr>
      <w:tr w:rsidR="00641BEA" w14:paraId="6E8BF7C6" w14:textId="77777777" w:rsidTr="007D5156">
        <w:tc>
          <w:tcPr>
            <w:tcW w:w="1838" w:type="dxa"/>
          </w:tcPr>
          <w:p w14:paraId="17FC1822" w14:textId="41C085C8" w:rsidR="00641BEA" w:rsidRDefault="00641BEA" w:rsidP="00F96762"/>
        </w:tc>
        <w:tc>
          <w:tcPr>
            <w:tcW w:w="7222" w:type="dxa"/>
          </w:tcPr>
          <w:p w14:paraId="3D367DFC" w14:textId="600F3065" w:rsidR="00641BEA" w:rsidRDefault="00641BEA" w:rsidP="00641BEA"/>
        </w:tc>
      </w:tr>
    </w:tbl>
    <w:p w14:paraId="2A961563" w14:textId="42657C67" w:rsidR="00105DDD" w:rsidRDefault="00105DDD"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9165D4">
      <w:pPr>
        <w:pStyle w:val="title2"/>
        <w:numPr>
          <w:ilvl w:val="0"/>
          <w:numId w:val="0"/>
        </w:numPr>
        <w:ind w:left="562" w:hanging="562"/>
        <w:outlineLvl w:val="9"/>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r w:rsidRPr="00E738F5">
              <w:rPr>
                <w:rFonts w:ascii="Times New Roman" w:eastAsia="Batang" w:hAnsi="Times New Roman"/>
                <w:i/>
                <w:color w:val="000000"/>
                <w:sz w:val="20"/>
              </w:rPr>
              <w:t>pusch-ConfigCommon</w:t>
            </w:r>
            <w:r w:rsidRPr="00E738F5">
              <w:rPr>
                <w:rFonts w:ascii="Times New Roman" w:eastAsia="Batang" w:hAnsi="Times New Roman"/>
                <w:color w:val="000000"/>
                <w:sz w:val="20"/>
              </w:rPr>
              <w:t xml:space="preserve"> includes </w:t>
            </w:r>
            <w:r w:rsidRPr="00E738F5">
              <w:rPr>
                <w:rFonts w:ascii="Times New Roman" w:eastAsia="Batang" w:hAnsi="Times New Roman"/>
                <w:i/>
                <w:color w:val="000000"/>
                <w:sz w:val="20"/>
              </w:rPr>
              <w:t>pusch-TimeDomainAllocationList</w:t>
            </w:r>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i/>
                <w:color w:val="000000"/>
                <w:sz w:val="20"/>
              </w:rPr>
              <w:t>pusch-Config</w:t>
            </w:r>
            <w:r w:rsidRPr="00E738F5">
              <w:rPr>
                <w:rFonts w:ascii="Times New Roman" w:eastAsia="Batang" w:hAnsi="Times New Roman"/>
                <w:color w:val="000000"/>
                <w:sz w:val="20"/>
              </w:rPr>
              <w:t xml:space="preserve"> includes </w:t>
            </w:r>
            <w:r w:rsidRPr="00E738F5">
              <w:rPr>
                <w:rFonts w:ascii="Times New Roman" w:eastAsia="Batang" w:hAnsi="Times New Roman"/>
                <w:i/>
                <w:color w:val="000000"/>
                <w:sz w:val="20"/>
              </w:rPr>
              <w:t>pusch-TimeDomainAllocationList</w:t>
            </w:r>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r w:rsidRPr="00E738F5">
              <w:rPr>
                <w:rFonts w:ascii="Times New Roman" w:eastAsia="Batang" w:hAnsi="Times New Roman"/>
                <w:i/>
                <w:color w:val="000000"/>
                <w:sz w:val="20"/>
              </w:rPr>
              <w:t>pusch-Config</w:t>
            </w:r>
            <w:r w:rsidRPr="00E738F5">
              <w:rPr>
                <w:rFonts w:ascii="Times New Roman" w:eastAsia="Batang" w:hAnsi="Times New Roman"/>
                <w:color w:val="000000"/>
                <w:sz w:val="20"/>
              </w:rPr>
              <w:t xml:space="preserve"> includes </w:t>
            </w:r>
            <w:r w:rsidRPr="00E738F5">
              <w:rPr>
                <w:rFonts w:ascii="Times New Roman" w:eastAsia="Batang" w:hAnsi="Times New Roman"/>
                <w:i/>
                <w:color w:val="000000"/>
                <w:sz w:val="20"/>
              </w:rPr>
              <w:t>pusch-TimeDomainAllocationList</w:t>
            </w:r>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r w:rsidRPr="00E738F5">
              <w:rPr>
                <w:rFonts w:ascii="Times New Roman" w:eastAsia="Batang" w:hAnsi="Times New Roman"/>
                <w:i/>
                <w:color w:val="FF0000"/>
                <w:sz w:val="20"/>
              </w:rPr>
              <w:t>pusch-Config includes pusch-TimeDomainAllocationList –ForMultiPUSCH</w:t>
            </w:r>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 </w:t>
            </w:r>
            <w:r w:rsidRPr="00E738F5">
              <w:rPr>
                <w:rFonts w:ascii="Times New Roman" w:eastAsia="Batang" w:hAnsi="Times New Roman"/>
                <w:color w:val="000000"/>
                <w:sz w:val="20"/>
              </w:rPr>
              <w:t xml:space="preserve">provided in </w:t>
            </w:r>
            <w:r w:rsidRPr="00E738F5">
              <w:rPr>
                <w:rFonts w:ascii="Times New Roman" w:eastAsia="Batang" w:hAnsi="Times New Roman"/>
                <w:i/>
                <w:color w:val="000000"/>
                <w:sz w:val="20"/>
              </w:rPr>
              <w:t>pusch-ConfigCommon</w:t>
            </w:r>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r w:rsidRPr="00E738F5">
              <w:rPr>
                <w:rFonts w:ascii="Times New Roman" w:eastAsia="Batang" w:hAnsi="Times New Roman"/>
                <w:i/>
                <w:color w:val="000000"/>
                <w:sz w:val="20"/>
              </w:rPr>
              <w:t xml:space="preserve">pusch-TimeDomainAllocationList </w:t>
            </w:r>
            <w:r w:rsidRPr="00E738F5">
              <w:rPr>
                <w:rFonts w:ascii="Times New Roman" w:eastAsia="Batang" w:hAnsi="Times New Roman"/>
                <w:color w:val="000000"/>
                <w:sz w:val="20"/>
              </w:rPr>
              <w:t xml:space="preserve">provided in </w:t>
            </w:r>
            <w:r w:rsidRPr="00E738F5">
              <w:rPr>
                <w:rFonts w:ascii="Times New Roman" w:eastAsia="Batang" w:hAnsi="Times New Roman"/>
                <w:i/>
                <w:color w:val="000000"/>
                <w:sz w:val="20"/>
              </w:rPr>
              <w:t>pusch-Config</w:t>
            </w:r>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r w:rsidRPr="00E738F5">
              <w:rPr>
                <w:rFonts w:ascii="Times New Roman" w:eastAsia="Batang" w:hAnsi="Times New Roman"/>
                <w:i/>
                <w:color w:val="000000"/>
                <w:sz w:val="20"/>
              </w:rPr>
              <w:t>pusch-Config</w:t>
            </w:r>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r w:rsidRPr="00E738F5">
              <w:rPr>
                <w:rFonts w:ascii="Times New Roman" w:eastAsia="Batang" w:hAnsi="Times New Roman"/>
                <w:i/>
                <w:color w:val="FF0000"/>
                <w:sz w:val="20"/>
              </w:rPr>
              <w:t>pusch-TimeDomainAllocationList –ForMultiPUSCH provided in pusch-Config</w:t>
            </w:r>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17EC0BE3" w:rsidR="00C85CA0" w:rsidRDefault="009165D4" w:rsidP="002D5514">
            <w:r>
              <w:t>Qualcomm</w:t>
            </w:r>
          </w:p>
        </w:tc>
        <w:tc>
          <w:tcPr>
            <w:tcW w:w="7222" w:type="dxa"/>
          </w:tcPr>
          <w:p w14:paraId="41E52DF1" w14:textId="3FE70FD2" w:rsidR="0048403A" w:rsidRDefault="009165D4" w:rsidP="002D5514">
            <w:r>
              <w:t>S</w:t>
            </w:r>
            <w:bookmarkStart w:id="2" w:name="_GoBack"/>
            <w:bookmarkEnd w:id="2"/>
            <w:r>
              <w:t>upport the TP</w:t>
            </w:r>
          </w:p>
        </w:tc>
      </w:tr>
      <w:tr w:rsidR="00C85CA0" w14:paraId="5DD61D63" w14:textId="77777777" w:rsidTr="002D5514">
        <w:tc>
          <w:tcPr>
            <w:tcW w:w="1838" w:type="dxa"/>
          </w:tcPr>
          <w:p w14:paraId="447C29B2" w14:textId="6BA78AB9" w:rsidR="00C85CA0" w:rsidRPr="00B87C3C" w:rsidRDefault="00C85CA0" w:rsidP="002D5514">
            <w:pPr>
              <w:rPr>
                <w:rFonts w:eastAsia="Malgun Gothic"/>
                <w:lang w:eastAsia="ko-KR"/>
              </w:rPr>
            </w:pPr>
          </w:p>
        </w:tc>
        <w:tc>
          <w:tcPr>
            <w:tcW w:w="7222" w:type="dxa"/>
          </w:tcPr>
          <w:p w14:paraId="6A587039" w14:textId="02C8C7D9" w:rsidR="00C85CA0" w:rsidRPr="00B87C3C" w:rsidRDefault="00C85CA0" w:rsidP="002D5514">
            <w:pPr>
              <w:rPr>
                <w:rFonts w:eastAsia="Malgun Gothic"/>
                <w:lang w:eastAsia="ko-KR"/>
              </w:rPr>
            </w:pPr>
          </w:p>
        </w:tc>
      </w:tr>
      <w:tr w:rsidR="005B430F" w14:paraId="6FF9FA55" w14:textId="77777777" w:rsidTr="002D5514">
        <w:tc>
          <w:tcPr>
            <w:tcW w:w="1838" w:type="dxa"/>
          </w:tcPr>
          <w:p w14:paraId="7A324144" w14:textId="30780315" w:rsidR="005B430F" w:rsidRDefault="005B430F" w:rsidP="005B430F"/>
        </w:tc>
        <w:tc>
          <w:tcPr>
            <w:tcW w:w="7222" w:type="dxa"/>
          </w:tcPr>
          <w:p w14:paraId="74FED9E4" w14:textId="1581D293" w:rsidR="005B430F" w:rsidRDefault="005B430F" w:rsidP="005B430F"/>
        </w:tc>
      </w:tr>
      <w:tr w:rsidR="00F96762" w14:paraId="3ED54184" w14:textId="77777777" w:rsidTr="002D5514">
        <w:tc>
          <w:tcPr>
            <w:tcW w:w="1838" w:type="dxa"/>
          </w:tcPr>
          <w:p w14:paraId="034BFE90" w14:textId="31EF9129" w:rsidR="00F96762" w:rsidRDefault="00F96762" w:rsidP="00F96762"/>
        </w:tc>
        <w:tc>
          <w:tcPr>
            <w:tcW w:w="7222" w:type="dxa"/>
          </w:tcPr>
          <w:p w14:paraId="157183AD" w14:textId="071B0085" w:rsidR="00F96762" w:rsidRDefault="00F96762" w:rsidP="00F96762"/>
        </w:tc>
      </w:tr>
      <w:tr w:rsidR="00FA201B" w14:paraId="620D8F26" w14:textId="77777777" w:rsidTr="002D5514">
        <w:tc>
          <w:tcPr>
            <w:tcW w:w="1838" w:type="dxa"/>
          </w:tcPr>
          <w:p w14:paraId="217AE7D1" w14:textId="01D2A08A" w:rsidR="00FA201B" w:rsidRDefault="00FA201B" w:rsidP="00F96762"/>
        </w:tc>
        <w:tc>
          <w:tcPr>
            <w:tcW w:w="7222" w:type="dxa"/>
          </w:tcPr>
          <w:p w14:paraId="031BF188" w14:textId="4EA09721" w:rsidR="00FA201B" w:rsidRPr="00E1641E" w:rsidRDefault="00FA201B" w:rsidP="00F96762"/>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4AB2ED3" w14:textId="6C5F8862" w:rsidR="004232F6" w:rsidRDefault="004232F6" w:rsidP="004232F6">
      <w:pPr>
        <w:pStyle w:val="title1"/>
      </w:pPr>
      <w:r>
        <w:rPr>
          <w:rFonts w:hint="eastAsia"/>
        </w:rPr>
        <w:lastRenderedPageBreak/>
        <w:t>Conclusion</w:t>
      </w:r>
    </w:p>
    <w:p w14:paraId="3D4CBE72" w14:textId="77777777" w:rsidR="00B8224F" w:rsidRDefault="00B8224F" w:rsidP="004F4F0F">
      <w:pPr>
        <w:spacing w:after="180"/>
        <w:rPr>
          <w:rFonts w:eastAsia="SimSun"/>
          <w:szCs w:val="20"/>
          <w:lang w:eastAsia="zh-CN"/>
        </w:rPr>
      </w:pPr>
    </w:p>
    <w:p w14:paraId="25B4E556" w14:textId="77777777" w:rsidR="00211A78" w:rsidRPr="00AE1FF9" w:rsidRDefault="00211A78" w:rsidP="004F4F0F">
      <w:pPr>
        <w:spacing w:after="180"/>
        <w:rPr>
          <w:rFonts w:eastAsia="SimSun"/>
          <w:szCs w:val="20"/>
          <w:lang w:eastAsia="zh-CN"/>
        </w:rPr>
      </w:pPr>
    </w:p>
    <w:p w14:paraId="1EA6E601" w14:textId="77777777" w:rsidR="00F04983"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E1C3BCC" w14:textId="68861F78" w:rsidR="003F53F2" w:rsidRPr="003F53F2" w:rsidRDefault="003A5672" w:rsidP="003F53F2">
      <w:pPr>
        <w:pStyle w:val="BodyText"/>
        <w:rPr>
          <w:rFonts w:eastAsiaTheme="minorEastAsia"/>
          <w:lang w:eastAsia="zh-CN"/>
        </w:rPr>
      </w:pPr>
      <w:r>
        <w:rPr>
          <w:rFonts w:eastAsiaTheme="minorEastAsia" w:hint="eastAsia"/>
          <w:lang w:eastAsia="zh-CN"/>
        </w:rPr>
        <w:t>[1] R1-200</w:t>
      </w:r>
      <w:r>
        <w:rPr>
          <w:rFonts w:eastAsiaTheme="minorEastAsia"/>
          <w:lang w:eastAsia="zh-CN"/>
        </w:rPr>
        <w:t>5337, “</w:t>
      </w:r>
      <w:r w:rsidRPr="00580370">
        <w:rPr>
          <w:rFonts w:cs="Arial"/>
          <w:sz w:val="22"/>
          <w:szCs w:val="22"/>
        </w:rPr>
        <w:t>Feature lead summary on NRU configured grant enhancement</w:t>
      </w:r>
      <w:r>
        <w:rPr>
          <w:rFonts w:eastAsiaTheme="minorEastAsia"/>
          <w:lang w:eastAsia="zh-CN"/>
        </w:rPr>
        <w:t>”, vivo, RAN1#102-e, 17</w:t>
      </w:r>
      <w:r w:rsidRPr="003A5672">
        <w:rPr>
          <w:rFonts w:eastAsiaTheme="minorEastAsia"/>
          <w:vertAlign w:val="superscript"/>
          <w:lang w:eastAsia="zh-CN"/>
        </w:rPr>
        <w:t>th</w:t>
      </w:r>
      <w:r>
        <w:rPr>
          <w:rFonts w:eastAsiaTheme="minorEastAsia"/>
          <w:lang w:eastAsia="zh-CN"/>
        </w:rPr>
        <w:t xml:space="preserve"> – 28</w:t>
      </w:r>
      <w:r w:rsidRPr="003A5672">
        <w:rPr>
          <w:rFonts w:eastAsiaTheme="minorEastAsia"/>
          <w:vertAlign w:val="superscript"/>
          <w:lang w:eastAsia="zh-CN"/>
        </w:rPr>
        <w:t>th</w:t>
      </w:r>
      <w:r>
        <w:rPr>
          <w:rFonts w:eastAsiaTheme="minorEastAsia"/>
          <w:lang w:eastAsia="zh-CN"/>
        </w:rPr>
        <w:t xml:space="preserve"> Aug, 2020</w:t>
      </w:r>
    </w:p>
    <w:sectPr w:rsidR="003F53F2" w:rsidRPr="003F53F2" w:rsidSect="009435B6">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501F" w14:textId="77777777" w:rsidR="00B64C41" w:rsidRDefault="00B64C41">
      <w:r>
        <w:separator/>
      </w:r>
    </w:p>
  </w:endnote>
  <w:endnote w:type="continuationSeparator" w:id="0">
    <w:p w14:paraId="5726F5D2" w14:textId="77777777" w:rsidR="00B64C41" w:rsidRDefault="00B6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4355" w14:textId="77777777" w:rsidR="009165D4" w:rsidRDefault="0091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000D" w14:textId="77777777" w:rsidR="009165D4" w:rsidRDefault="0091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6054" w14:textId="77777777" w:rsidR="009165D4" w:rsidRDefault="0091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0786" w14:textId="77777777" w:rsidR="00B64C41" w:rsidRDefault="00B64C41">
      <w:r>
        <w:separator/>
      </w:r>
    </w:p>
  </w:footnote>
  <w:footnote w:type="continuationSeparator" w:id="0">
    <w:p w14:paraId="44836B5D" w14:textId="77777777" w:rsidR="00B64C41" w:rsidRDefault="00B6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90C9" w14:textId="77777777" w:rsidR="009165D4" w:rsidRDefault="00916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FA0E" w14:textId="77777777" w:rsidR="009165D4" w:rsidRDefault="0091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B4C6C"/>
    <w:multiLevelType w:val="multilevel"/>
    <w:tmpl w:val="16A8AEE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A5160E"/>
    <w:multiLevelType w:val="multilevel"/>
    <w:tmpl w:val="80663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3"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26"/>
  </w:num>
  <w:num w:numId="3">
    <w:abstractNumId w:val="15"/>
  </w:num>
  <w:num w:numId="4">
    <w:abstractNumId w:val="24"/>
  </w:num>
  <w:num w:numId="5">
    <w:abstractNumId w:val="20"/>
  </w:num>
  <w:num w:numId="6">
    <w:abstractNumId w:val="13"/>
  </w:num>
  <w:num w:numId="7">
    <w:abstractNumId w:val="11"/>
  </w:num>
  <w:num w:numId="8">
    <w:abstractNumId w:val="18"/>
  </w:num>
  <w:num w:numId="9">
    <w:abstractNumId w:val="10"/>
  </w:num>
  <w:num w:numId="10">
    <w:abstractNumId w:val="5"/>
  </w:num>
  <w:num w:numId="11">
    <w:abstractNumId w:val="27"/>
  </w:num>
  <w:num w:numId="12">
    <w:abstractNumId w:val="0"/>
  </w:num>
  <w:num w:numId="13">
    <w:abstractNumId w:val="23"/>
  </w:num>
  <w:num w:numId="14">
    <w:abstractNumId w:val="14"/>
  </w:num>
  <w:num w:numId="15">
    <w:abstractNumId w:val="16"/>
  </w:num>
  <w:num w:numId="16">
    <w:abstractNumId w:val="8"/>
  </w:num>
  <w:num w:numId="17">
    <w:abstractNumId w:val="21"/>
  </w:num>
  <w:num w:numId="18">
    <w:abstractNumId w:val="4"/>
  </w:num>
  <w:num w:numId="19">
    <w:abstractNumId w:val="9"/>
  </w:num>
  <w:num w:numId="20">
    <w:abstractNumId w:val="6"/>
  </w:num>
  <w:num w:numId="21">
    <w:abstractNumId w:val="3"/>
  </w:num>
  <w:num w:numId="22">
    <w:abstractNumId w:val="17"/>
  </w:num>
  <w:num w:numId="23">
    <w:abstractNumId w:val="25"/>
  </w:num>
  <w:num w:numId="24">
    <w:abstractNumId w:val="24"/>
  </w:num>
  <w:num w:numId="25">
    <w:abstractNumId w:val="24"/>
  </w:num>
  <w:num w:numId="26">
    <w:abstractNumId w:val="24"/>
  </w:num>
  <w:num w:numId="27">
    <w:abstractNumId w:val="24"/>
  </w:num>
  <w:num w:numId="28">
    <w:abstractNumId w:val="24"/>
  </w:num>
  <w:num w:numId="29">
    <w:abstractNumId w:val="28"/>
  </w:num>
  <w:num w:numId="30">
    <w:abstractNumId w:val="1"/>
  </w:num>
  <w:num w:numId="31">
    <w:abstractNumId w:val="7"/>
  </w:num>
  <w:num w:numId="32">
    <w:abstractNumId w:val="19"/>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42C"/>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AB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3B7"/>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1D7"/>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A78"/>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A5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4DC"/>
    <w:rsid w:val="00284D1E"/>
    <w:rsid w:val="00285282"/>
    <w:rsid w:val="00285284"/>
    <w:rsid w:val="00285349"/>
    <w:rsid w:val="00285B7D"/>
    <w:rsid w:val="00285D8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0AD"/>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67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B7D"/>
    <w:rsid w:val="00403E6E"/>
    <w:rsid w:val="004049FF"/>
    <w:rsid w:val="00404D63"/>
    <w:rsid w:val="00405457"/>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2F6"/>
    <w:rsid w:val="00423437"/>
    <w:rsid w:val="004238C4"/>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461"/>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2F8"/>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AC6"/>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1A2"/>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6B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1DE"/>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BEA"/>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5D4"/>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0AE3"/>
    <w:rsid w:val="009A13FF"/>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748"/>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6CC"/>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48C"/>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2AD2"/>
    <w:rsid w:val="00B632AA"/>
    <w:rsid w:val="00B636AE"/>
    <w:rsid w:val="00B639B9"/>
    <w:rsid w:val="00B63AE0"/>
    <w:rsid w:val="00B63BBD"/>
    <w:rsid w:val="00B63DB5"/>
    <w:rsid w:val="00B6415C"/>
    <w:rsid w:val="00B641F9"/>
    <w:rsid w:val="00B64C41"/>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70"/>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00BF"/>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11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3"/>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3D"/>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360"/>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6D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1E19"/>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640"/>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4F8C"/>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762"/>
    <w:rsid w:val="00F96D06"/>
    <w:rsid w:val="00F976CC"/>
    <w:rsid w:val="00F97731"/>
    <w:rsid w:val="00F97944"/>
    <w:rsid w:val="00FA0531"/>
    <w:rsid w:val="00FA08AD"/>
    <w:rsid w:val="00FA1646"/>
    <w:rsid w:val="00FA201B"/>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8291">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6189-3EA7-48D4-83B1-B24E3433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1600</Words>
  <Characters>9122</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JS</cp:lastModifiedBy>
  <cp:revision>12</cp:revision>
  <cp:lastPrinted>2011-08-03T09:36:00Z</cp:lastPrinted>
  <dcterms:created xsi:type="dcterms:W3CDTF">2020-08-16T12:52:00Z</dcterms:created>
  <dcterms:modified xsi:type="dcterms:W3CDTF">2020-08-17T17:57:00Z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2020-08-13 19:08:26Z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D:\ACS\2020\0824_RAN1#102-e\E-mail discussion\7.2.2.2.4\R1-200xxxx_FL summary on NRU CG v003-Qualcomm_ASUSTeK.docx</vt:lpwstr>
  </property>
  <property fmtid="{D5CDD505-2E9C-101B-9397-08002B2CF9AE}" pid="8" name="CTPClassification">
    <vt:lpwstr>CTP_NT</vt:lpwstr>
  </property>
</Properties>
</file>