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TOC1"/>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TOC1"/>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TOC1"/>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TOC2"/>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TOC2"/>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TOC2"/>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TOC2"/>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TOC1"/>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TOC2"/>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TOC2"/>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TOC2"/>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TOC2"/>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TOC2"/>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TOC2"/>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TOC2"/>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TOC1"/>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TOC2"/>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TOC1"/>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TOC1"/>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2D7DE6" w14:paraId="3541A824" w14:textId="77777777" w:rsidTr="000E650B">
        <w:tc>
          <w:tcPr>
            <w:tcW w:w="1939" w:type="dxa"/>
          </w:tcPr>
          <w:p w14:paraId="6446B980" w14:textId="731FDE10" w:rsidR="002D7DE6" w:rsidRDefault="002D7DE6" w:rsidP="00E97BF7">
            <w:r>
              <w:t>Convida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RedCap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bl>
    <w:p w14:paraId="176EBA3A" w14:textId="77777777" w:rsidR="003915AD" w:rsidRDefault="003915AD" w:rsidP="003915AD"/>
    <w:p w14:paraId="2CC25B1D" w14:textId="7FBA3C3A" w:rsidR="004C0F41" w:rsidRPr="003D727D" w:rsidRDefault="00335E75" w:rsidP="000E647A">
      <w:pPr>
        <w:pStyle w:val="Heading1"/>
      </w:pPr>
      <w:bookmarkStart w:id="9" w:name="_Toc41500866"/>
      <w:r w:rsidRPr="003D727D">
        <w:t>6</w:t>
      </w:r>
      <w:r w:rsidR="004C0F41" w:rsidRPr="003D727D">
        <w:tab/>
        <w:t>Evaluation methodology</w:t>
      </w:r>
      <w:bookmarkEnd w:id="9"/>
    </w:p>
    <w:p w14:paraId="1B937433" w14:textId="66CAFB83" w:rsidR="00472CB9" w:rsidRPr="003D727D" w:rsidRDefault="00335E75" w:rsidP="000E647A">
      <w:pPr>
        <w:pStyle w:val="Heading2"/>
      </w:pPr>
      <w:bookmarkStart w:id="10"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0"/>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lastRenderedPageBreak/>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ListParagraph"/>
              <w:numPr>
                <w:ilvl w:val="0"/>
                <w:numId w:val="10"/>
              </w:numPr>
              <w:rPr>
                <w:lang w:eastAsia="zh-CN"/>
              </w:rPr>
            </w:pPr>
            <w:r>
              <w:rPr>
                <w:lang w:eastAsia="zh-CN"/>
              </w:rPr>
              <w:t>Reduced HARQ process number</w:t>
            </w:r>
          </w:p>
          <w:p w14:paraId="540CE793" w14:textId="77777777" w:rsidR="00295BAE" w:rsidRDefault="00295BAE" w:rsidP="00295BAE">
            <w:pPr>
              <w:pStyle w:val="ListParagraph"/>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ListParagraph"/>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s. The cost savings per technique are difficult to determine unless 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r>
              <w:t>Convida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Compared with LTE, NR introduced BWP operations which should be taken into consideration when analysing the cost/complexity of RedCap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ListParagraph"/>
              <w:numPr>
                <w:ilvl w:val="0"/>
                <w:numId w:val="26"/>
              </w:numPr>
            </w:pPr>
            <w:r>
              <w:lastRenderedPageBreak/>
              <w:t>UE capabilities of a reference NR modem</w:t>
            </w:r>
          </w:p>
          <w:p w14:paraId="42E1A7F7" w14:textId="47044A67" w:rsidR="00576F38" w:rsidRPr="00576F38" w:rsidRDefault="00576F38" w:rsidP="00576F38">
            <w:pPr>
              <w:pStyle w:val="ListParagraph"/>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ListParagraph"/>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lastRenderedPageBreak/>
              <w:t>Verizon</w:t>
            </w:r>
          </w:p>
        </w:tc>
        <w:tc>
          <w:tcPr>
            <w:tcW w:w="7694" w:type="dxa"/>
          </w:tcPr>
          <w:p w14:paraId="261C408E" w14:textId="1442B585" w:rsidR="009A2F96" w:rsidRPr="00576F38" w:rsidRDefault="009A2F96" w:rsidP="009A2F96">
            <w:pPr>
              <w:rPr>
                <w:sz w:val="22"/>
                <w:szCs w:val="22"/>
              </w:rPr>
            </w:pPr>
            <w:r>
              <w:rPr>
                <w:sz w:val="22"/>
                <w:szCs w:val="22"/>
              </w:rPr>
              <w:t>We can roughly reuse the framework in TR36.888 and focus on the difference between NR and LTE. Though the cost breakdown in 36.888 may not be exactly reflecting the product relaity, it is useful as a reference nonetheless.</w:t>
            </w:r>
          </w:p>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r>
              <w:t>Convida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lastRenderedPageBreak/>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ListParagraph"/>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ListParagraph"/>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ListParagraph"/>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061E6" w14:paraId="7C97F608" w14:textId="77777777" w:rsidTr="00D35A40">
        <w:tc>
          <w:tcPr>
            <w:tcW w:w="1937" w:type="dxa"/>
          </w:tcPr>
          <w:p w14:paraId="5BE97D3B" w14:textId="69633A38" w:rsidR="009061E6" w:rsidRDefault="009061E6" w:rsidP="009061E6">
            <w:r>
              <w:lastRenderedPageBreak/>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lastRenderedPageBreak/>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r>
              <w:t xml:space="preserve">Convida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RedCap UE. We don’t see a strong motivation to introduce additional</w:t>
            </w:r>
            <w:r w:rsidR="00813CBE">
              <w:t xml:space="preserve"> performance</w:t>
            </w:r>
            <w:r w:rsidRPr="006B546B">
              <w:t xml:space="preserve"> metrics</w:t>
            </w:r>
            <w:r w:rsidR="00813CBE">
              <w:t xml:space="preserve"> and perform non-essential evaluations.</w:t>
            </w:r>
          </w:p>
        </w:tc>
      </w:tr>
    </w:tbl>
    <w:p w14:paraId="5101815A" w14:textId="77777777" w:rsidR="002F0302" w:rsidRDefault="002F0302" w:rsidP="002F0302"/>
    <w:p w14:paraId="06449CAF" w14:textId="30964AB1" w:rsidR="00FE6724" w:rsidRPr="007B0D07" w:rsidRDefault="00335E75" w:rsidP="000E647A">
      <w:pPr>
        <w:pStyle w:val="Heading2"/>
      </w:pPr>
      <w:bookmarkStart w:id="11"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1"/>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ListParagraph"/>
              <w:numPr>
                <w:ilvl w:val="0"/>
                <w:numId w:val="13"/>
              </w:numPr>
              <w:rPr>
                <w:lang w:val="en-US" w:eastAsia="zh-CN"/>
              </w:rPr>
            </w:pPr>
            <w:r w:rsidRPr="00C55A44">
              <w:rPr>
                <w:lang w:val="en-US" w:eastAsia="zh-CN"/>
              </w:rPr>
              <w:t>Power comsumption scaling model for reduced BW in FR2</w:t>
            </w:r>
            <w:r w:rsidR="00D948E6" w:rsidRPr="00C55A44">
              <w:rPr>
                <w:lang w:val="en-US" w:eastAsia="zh-CN"/>
              </w:rPr>
              <w:t xml:space="preserve"> and further refinement (esp, the sleep model) for FR1 with BW=10/20MHz</w:t>
            </w:r>
          </w:p>
          <w:p w14:paraId="43E68ED2" w14:textId="11352283" w:rsidR="00693D92" w:rsidRPr="00C55A44" w:rsidRDefault="000319AF" w:rsidP="00693D92">
            <w:pPr>
              <w:pStyle w:val="ListParagraph"/>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ListParagraph"/>
              <w:numPr>
                <w:ilvl w:val="0"/>
                <w:numId w:val="13"/>
              </w:numPr>
              <w:rPr>
                <w:lang w:val="en-US" w:eastAsia="zh-CN"/>
              </w:rPr>
            </w:pPr>
            <w:r w:rsidRPr="00C55A44">
              <w:rPr>
                <w:lang w:val="en-US" w:eastAsia="zh-CN"/>
              </w:rPr>
              <w:t xml:space="preserve">Further refinement of power consumpion scaling model for </w:t>
            </w:r>
            <w:r w:rsidR="00693D92" w:rsidRPr="00C55A44">
              <w:rPr>
                <w:lang w:val="en-US" w:eastAsia="zh-CN"/>
              </w:rPr>
              <w:t>PDCCH monitroing capability relaxaition, i.e. #BD, #CCE</w:t>
            </w:r>
          </w:p>
          <w:p w14:paraId="708E8076" w14:textId="43807574" w:rsidR="00266DE2" w:rsidRPr="00C55A44" w:rsidRDefault="000319AF" w:rsidP="00693D92">
            <w:pPr>
              <w:pStyle w:val="ListParagraph"/>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w:t>
            </w:r>
            <w:r>
              <w:rPr>
                <w:rFonts w:hint="eastAsia"/>
                <w:lang w:val="en-US" w:eastAsia="zh-CN"/>
              </w:rPr>
              <w:lastRenderedPageBreak/>
              <w:t>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lastRenderedPageBreak/>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RedCap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RedCap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lastRenderedPageBreak/>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bl>
    <w:p w14:paraId="7D62A147" w14:textId="77777777" w:rsidR="00E360E6" w:rsidRDefault="00E360E6" w:rsidP="00E360E6"/>
    <w:p w14:paraId="33786197" w14:textId="4A6973E1" w:rsidR="00087D68" w:rsidRPr="00807C29" w:rsidRDefault="00335E75" w:rsidP="000E647A">
      <w:pPr>
        <w:pStyle w:val="Heading2"/>
      </w:pPr>
      <w:bookmarkStart w:id="12" w:name="_Toc41500869"/>
      <w:r w:rsidRPr="00807C29">
        <w:t>6</w:t>
      </w:r>
      <w:r w:rsidR="00087D68" w:rsidRPr="00807C29">
        <w:t>.3</w:t>
      </w:r>
      <w:r w:rsidR="00087D68" w:rsidRPr="00807C29">
        <w:tab/>
        <w:t>Evaluation methodology for coverage</w:t>
      </w:r>
      <w:r w:rsidR="003043D8" w:rsidRPr="00807C29">
        <w:t xml:space="preserve"> recovery</w:t>
      </w:r>
      <w:bookmarkEnd w:id="12"/>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lastRenderedPageBreak/>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zh-CN"/>
              </w:rPr>
              <w:lastRenderedPageBreak/>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RedCap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RedCap device and the legacy eMBB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lastRenderedPageBreak/>
              <w:t>Verizon</w:t>
            </w:r>
          </w:p>
        </w:tc>
        <w:tc>
          <w:tcPr>
            <w:tcW w:w="7694" w:type="dxa"/>
          </w:tcPr>
          <w:p w14:paraId="73C5819D" w14:textId="471B5CF5" w:rsidR="001E6D2A" w:rsidRDefault="001E6D2A" w:rsidP="00824B56">
            <w:r>
              <w:t>Should at least provide a reference for the more deployment independent MCL.</w:t>
            </w:r>
          </w:p>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r>
              <w:rPr>
                <w:rFonts w:eastAsia="Yu Mincho"/>
                <w:lang w:eastAsia="ja-JP"/>
              </w:rPr>
              <w:t xml:space="preserve">Convida Wireless </w:t>
            </w:r>
          </w:p>
        </w:tc>
        <w:tc>
          <w:tcPr>
            <w:tcW w:w="7694" w:type="dxa"/>
          </w:tcPr>
          <w:p w14:paraId="480B11C1" w14:textId="486C2D17" w:rsidR="002D7DE6" w:rsidRDefault="002D7DE6" w:rsidP="002D7DE6">
            <w:pPr>
              <w:rPr>
                <w:rFonts w:eastAsia="Yu Mincho"/>
                <w:lang w:eastAsia="ja-JP"/>
              </w:rPr>
            </w:pPr>
            <w:r w:rsidRPr="007A1847">
              <w:t>All the DL and UL channels for RedCap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t>Verizon</w:t>
            </w:r>
          </w:p>
        </w:tc>
        <w:tc>
          <w:tcPr>
            <w:tcW w:w="7694" w:type="dxa"/>
          </w:tcPr>
          <w:p w14:paraId="01BF412C" w14:textId="71946B17" w:rsidR="001E6D2A" w:rsidRPr="00CE71BD" w:rsidRDefault="001E6D2A" w:rsidP="002D7DE6">
            <w:r>
              <w:t>In principle, should align with the CE SI on methodology and (common) assumptions. Focus on the differences between RedCap and regular NR.</w:t>
            </w:r>
          </w:p>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lastRenderedPageBreak/>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r>
              <w:t>Convida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RedCap UE</w:t>
            </w:r>
            <w:r>
              <w:t>, such as the number of RBs and the DMRS configurations.</w:t>
            </w:r>
          </w:p>
        </w:tc>
      </w:tr>
    </w:tbl>
    <w:p w14:paraId="3AE8FEE4" w14:textId="77777777" w:rsidR="00C46714" w:rsidRDefault="00C46714" w:rsidP="00C46714"/>
    <w:p w14:paraId="75A2A3B3" w14:textId="39598F6D" w:rsidR="00EB4EA9" w:rsidRDefault="00EB4EA9" w:rsidP="00C46714">
      <w:r>
        <w:lastRenderedPageBreak/>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Yes. Perfer MCL. It is more useful for wider audience too, in our view.</w:t>
            </w:r>
          </w:p>
        </w:tc>
      </w:tr>
    </w:tbl>
    <w:p w14:paraId="0E4B9EA1" w14:textId="77777777" w:rsidR="00EB4EA9" w:rsidRDefault="00EB4EA9" w:rsidP="00C46714"/>
    <w:p w14:paraId="6DD930AF" w14:textId="197A4A5B" w:rsidR="00472CB9" w:rsidRPr="000E647A" w:rsidRDefault="00335E75" w:rsidP="000E647A">
      <w:pPr>
        <w:pStyle w:val="Heading2"/>
      </w:pPr>
      <w:bookmarkStart w:id="13"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3"/>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lastRenderedPageBreak/>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ListParagraph"/>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ListParagraph"/>
              <w:numPr>
                <w:ilvl w:val="0"/>
                <w:numId w:val="28"/>
              </w:numPr>
            </w:pPr>
            <w:r w:rsidRPr="003566CD">
              <w:t>For FR2, spatial beam direction separation between RedCap and non-RedCap</w:t>
            </w:r>
            <w:r>
              <w:t xml:space="preserve"> devices</w:t>
            </w:r>
            <w:r w:rsidRPr="003566CD">
              <w:t xml:space="preserve"> need to be evaluated.</w:t>
            </w:r>
          </w:p>
        </w:tc>
      </w:tr>
    </w:tbl>
    <w:p w14:paraId="5AAC6292" w14:textId="0F6866E8" w:rsidR="00AB76E1" w:rsidRDefault="00AB76E1" w:rsidP="00DD22BD">
      <w:pPr>
        <w:rPr>
          <w:highlight w:val="yellow"/>
        </w:rPr>
      </w:pPr>
    </w:p>
    <w:p w14:paraId="78FE52F7" w14:textId="77777777" w:rsidR="00AB76E1" w:rsidRPr="000E647A" w:rsidRDefault="00AB76E1" w:rsidP="00AB76E1">
      <w:pPr>
        <w:pStyle w:val="Heading1"/>
      </w:pPr>
      <w:bookmarkStart w:id="14" w:name="_Toc40490510"/>
      <w:bookmarkStart w:id="15" w:name="_Toc41500871"/>
      <w:r>
        <w:t>7</w:t>
      </w:r>
      <w:r w:rsidRPr="000E647A">
        <w:tab/>
        <w:t>UE complexity reduction features</w:t>
      </w:r>
      <w:bookmarkEnd w:id="14"/>
      <w:bookmarkEnd w:id="15"/>
    </w:p>
    <w:p w14:paraId="4FC1D6C6" w14:textId="682058E1" w:rsidR="00AB76E1" w:rsidRDefault="00AB76E1" w:rsidP="00AB76E1">
      <w:pPr>
        <w:pStyle w:val="Heading2"/>
      </w:pPr>
      <w:bookmarkStart w:id="16" w:name="_Toc40490511"/>
      <w:bookmarkStart w:id="17" w:name="_Toc41500872"/>
      <w:r>
        <w:t>7</w:t>
      </w:r>
      <w:r w:rsidRPr="000E647A">
        <w:t>.1</w:t>
      </w:r>
      <w:r w:rsidRPr="000E647A">
        <w:tab/>
        <w:t>Introduction to UE complexity reduction features</w:t>
      </w:r>
      <w:bookmarkEnd w:id="16"/>
      <w:bookmarkEnd w:id="17"/>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18" w:name="_Toc40490512"/>
      <w:bookmarkStart w:id="19" w:name="_Toc41500873"/>
      <w:r>
        <w:t>7</w:t>
      </w:r>
      <w:r w:rsidRPr="000E647A">
        <w:t>.2</w:t>
      </w:r>
      <w:r w:rsidRPr="000E647A">
        <w:tab/>
        <w:t>Reduced number of UE Rx/Tx antennas</w:t>
      </w:r>
      <w:bookmarkEnd w:id="18"/>
      <w:bookmarkEnd w:id="19"/>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 xml:space="preserve">Yes, it is enough. In FR1, the scope of the 3GPP specifications ends at the antenna connector. We prefer to align with earlier 3GPP UE complexity reduction studies that have </w:t>
            </w:r>
            <w:r>
              <w:lastRenderedPageBreak/>
              <w:t>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lastRenderedPageBreak/>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r>
              <w:t>Convida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RedCap UE. If </w:t>
            </w:r>
            <w:r>
              <w:t xml:space="preserve">a RedCap </w:t>
            </w:r>
            <w:r w:rsidRPr="00F7262F">
              <w:t xml:space="preserve">UE supports 2 RX antennas, </w:t>
            </w:r>
            <w:r>
              <w:t>it</w:t>
            </w:r>
            <w:r w:rsidRPr="00F7262F">
              <w:t xml:space="preserve"> can be reported via capability signalling after RRC connection.</w:t>
            </w:r>
          </w:p>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r>
              <w:t>Convida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Our current view is that 2Rx/1Tx is more relavent</w:t>
            </w:r>
          </w:p>
        </w:tc>
      </w:tr>
    </w:tbl>
    <w:p w14:paraId="5EB807B2" w14:textId="77777777" w:rsidR="00E7091E" w:rsidRPr="00AB76E1" w:rsidRDefault="00E7091E" w:rsidP="00AB76E1"/>
    <w:p w14:paraId="11D1A3FF" w14:textId="0C22E061" w:rsidR="00AB76E1" w:rsidRDefault="00AB76E1" w:rsidP="00AB76E1">
      <w:pPr>
        <w:pStyle w:val="Heading2"/>
      </w:pPr>
      <w:bookmarkStart w:id="20" w:name="_Toc40490517"/>
      <w:bookmarkStart w:id="21" w:name="_Toc41500874"/>
      <w:r>
        <w:t>7</w:t>
      </w:r>
      <w:r w:rsidRPr="000E647A">
        <w:t>.3</w:t>
      </w:r>
      <w:r w:rsidRPr="000E647A">
        <w:tab/>
        <w:t>UE bandwidth reduction</w:t>
      </w:r>
      <w:bookmarkEnd w:id="20"/>
      <w:bookmarkEnd w:id="21"/>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 xml:space="preserve">nitial BWP </w:t>
      </w:r>
      <w:r w:rsidR="00886845">
        <w:lastRenderedPageBreak/>
        <w:t>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lastRenderedPageBreak/>
              <w:t>Panasonic</w:t>
            </w:r>
          </w:p>
        </w:tc>
        <w:tc>
          <w:tcPr>
            <w:tcW w:w="7694" w:type="dxa"/>
          </w:tcPr>
          <w:p w14:paraId="15904FC4" w14:textId="7A15DD95" w:rsidR="00405FB2" w:rsidRDefault="00064981" w:rsidP="00405FB2">
            <w:r>
              <w:t>No need to study 5 or 10 MHz when the system bandwidth is 20MHz or more. This is inline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r>
              <w:t xml:space="preserve">Convida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t xml:space="preserve">For a low-end RedCap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RedCap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lastRenderedPageBreak/>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r>
              <w:t>Convida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just  assume. </w:t>
            </w:r>
          </w:p>
        </w:tc>
      </w:tr>
    </w:tbl>
    <w:p w14:paraId="3106AF99" w14:textId="77777777" w:rsidR="00AB76E1" w:rsidRPr="00AB76E1" w:rsidRDefault="00AB76E1" w:rsidP="00AB76E1"/>
    <w:p w14:paraId="36A547B3" w14:textId="77B9F575" w:rsidR="00AB76E1" w:rsidRDefault="00AB76E1" w:rsidP="00AB76E1">
      <w:pPr>
        <w:pStyle w:val="Heading2"/>
      </w:pPr>
      <w:bookmarkStart w:id="22" w:name="_Toc40490522"/>
      <w:bookmarkStart w:id="23" w:name="_Toc41500875"/>
      <w:r>
        <w:t>7</w:t>
      </w:r>
      <w:r w:rsidRPr="000E647A">
        <w:t>.4</w:t>
      </w:r>
      <w:r w:rsidRPr="000E647A">
        <w:tab/>
        <w:t>Half-duplex FDD operation</w:t>
      </w:r>
      <w:bookmarkEnd w:id="22"/>
      <w:bookmarkEnd w:id="23"/>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 xml:space="preserve">In addition, we are not sure whether we should directly reuse the concept of DL-to-UL and UL-to-DL guard period as in LTE. For example, we are not sure whether UE should always </w:t>
            </w:r>
            <w:r>
              <w:rPr>
                <w:lang w:eastAsia="zh-CN"/>
              </w:rPr>
              <w:lastRenderedPageBreak/>
              <w:t>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lastRenderedPageBreak/>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r>
              <w:t>Convida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bl>
    <w:p w14:paraId="340A7C85" w14:textId="77777777" w:rsidR="00AB76E1" w:rsidRPr="00AB76E1" w:rsidRDefault="00AB76E1" w:rsidP="00AB76E1"/>
    <w:p w14:paraId="17934FD4" w14:textId="0B41C717" w:rsidR="00AB76E1" w:rsidRDefault="00AB76E1" w:rsidP="00AB76E1">
      <w:pPr>
        <w:pStyle w:val="Heading2"/>
      </w:pPr>
      <w:bookmarkStart w:id="24" w:name="_Toc40490527"/>
      <w:bookmarkStart w:id="25" w:name="_Toc41500876"/>
      <w:r>
        <w:t>7</w:t>
      </w:r>
      <w:r w:rsidRPr="000E647A">
        <w:t>.5</w:t>
      </w:r>
      <w:r w:rsidRPr="000E647A">
        <w:tab/>
        <w:t>Relaxed UE processing time</w:t>
      </w:r>
      <w:bookmarkEnd w:id="24"/>
      <w:bookmarkEnd w:id="25"/>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w:t>
            </w:r>
            <w:r w:rsidRPr="00115D8D">
              <w:rPr>
                <w:rFonts w:eastAsia="Calibri"/>
                <w:lang w:eastAsia="ja-JP"/>
              </w:rPr>
              <w:lastRenderedPageBreak/>
              <w:t xml:space="preserve">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lastRenderedPageBreak/>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r>
              <w:t>Convida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r>
              <w:t>Convida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bl>
    <w:p w14:paraId="21EB825E" w14:textId="77777777" w:rsidR="00F851BF" w:rsidRPr="00AB76E1" w:rsidRDefault="00F851BF" w:rsidP="00AB76E1"/>
    <w:p w14:paraId="1C5801AF" w14:textId="608B6393" w:rsidR="00AB76E1" w:rsidRDefault="00AB76E1" w:rsidP="00AB76E1">
      <w:pPr>
        <w:pStyle w:val="Heading2"/>
      </w:pPr>
      <w:bookmarkStart w:id="26" w:name="_Toc40490532"/>
      <w:bookmarkStart w:id="27" w:name="_Toc41500877"/>
      <w:r>
        <w:t>7</w:t>
      </w:r>
      <w:r w:rsidRPr="000E647A">
        <w:t>.6</w:t>
      </w:r>
      <w:r w:rsidRPr="000E647A">
        <w:tab/>
        <w:t>Relaxed UE processing capability</w:t>
      </w:r>
      <w:bookmarkEnd w:id="26"/>
      <w:bookmarkEnd w:id="27"/>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lastRenderedPageBreak/>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 xml:space="preserve">The maximum peak data rate depends on the maximum TBS size, the maximum code rate, the maximum modulation order and the maximum number of MIMO layers for both UL and </w:t>
            </w:r>
            <w:r>
              <w:lastRenderedPageBreak/>
              <w:t>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lastRenderedPageBreak/>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RedCap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r>
              <w:t>Convida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ListParagraph"/>
              <w:numPr>
                <w:ilvl w:val="0"/>
                <w:numId w:val="32"/>
              </w:numPr>
              <w:spacing w:after="0"/>
            </w:pPr>
            <w:r>
              <w:t>half duplexing operation only (HD-FDD and TDD)</w:t>
            </w:r>
          </w:p>
          <w:p w14:paraId="21172A04" w14:textId="08C65BE1" w:rsidR="002D1899" w:rsidRDefault="00EB4444" w:rsidP="00A13959">
            <w:pPr>
              <w:pStyle w:val="ListParagraph"/>
              <w:numPr>
                <w:ilvl w:val="0"/>
                <w:numId w:val="32"/>
              </w:numPr>
              <w:spacing w:after="0"/>
            </w:pPr>
            <w:r>
              <w:t>reduced</w:t>
            </w:r>
            <w:r w:rsidR="002D1899">
              <w:t xml:space="preserve"> number of MIMO layer </w:t>
            </w:r>
          </w:p>
          <w:p w14:paraId="10B3A76F" w14:textId="0F3D728D" w:rsidR="002D1899" w:rsidRDefault="002D1899" w:rsidP="00A13959">
            <w:pPr>
              <w:pStyle w:val="ListParagraph"/>
              <w:numPr>
                <w:ilvl w:val="0"/>
                <w:numId w:val="32"/>
              </w:numPr>
              <w:spacing w:after="0"/>
            </w:pPr>
            <w:r>
              <w:t xml:space="preserve">MCS </w:t>
            </w:r>
            <w:r w:rsidR="00EB4444">
              <w:t>restriction</w:t>
            </w:r>
          </w:p>
          <w:p w14:paraId="386235F8" w14:textId="32CEAF77" w:rsidR="00A13959" w:rsidRDefault="00EB4444" w:rsidP="00A13959">
            <w:pPr>
              <w:pStyle w:val="ListParagraph"/>
              <w:numPr>
                <w:ilvl w:val="0"/>
                <w:numId w:val="32"/>
              </w:numPr>
              <w:spacing w:after="0"/>
            </w:pPr>
            <w:r>
              <w:t>TBS restriction</w:t>
            </w:r>
          </w:p>
          <w:p w14:paraId="541AE07E" w14:textId="79B9CA12" w:rsidR="00A13959" w:rsidRDefault="00A13959" w:rsidP="00A13959">
            <w:pPr>
              <w:pStyle w:val="ListParagraph"/>
              <w:numPr>
                <w:ilvl w:val="0"/>
                <w:numId w:val="32"/>
              </w:numPr>
              <w:spacing w:after="0"/>
            </w:pPr>
            <w:r>
              <w:t xml:space="preserve">max UE BW </w:t>
            </w:r>
            <w:r w:rsidR="00FD3CA2">
              <w:t>reduction</w:t>
            </w:r>
          </w:p>
          <w:p w14:paraId="7173FDE7" w14:textId="0D01371F" w:rsidR="00A13959" w:rsidRDefault="00A13959" w:rsidP="00A13959">
            <w:pPr>
              <w:pStyle w:val="ListParagraph"/>
              <w:numPr>
                <w:ilvl w:val="0"/>
                <w:numId w:val="32"/>
              </w:numPr>
              <w:spacing w:after="0"/>
            </w:pPr>
            <w:r>
              <w:t xml:space="preserve">DMRS </w:t>
            </w:r>
            <w:r w:rsidR="00C17548">
              <w:t>configuration</w:t>
            </w:r>
          </w:p>
          <w:p w14:paraId="4C4BFB80" w14:textId="0DDF82B8" w:rsidR="002E5A36" w:rsidRPr="002E5A36" w:rsidRDefault="002E5A36" w:rsidP="002E5A36">
            <w:pPr>
              <w:pStyle w:val="ListParagraph"/>
              <w:numPr>
                <w:ilvl w:val="0"/>
                <w:numId w:val="32"/>
              </w:numPr>
            </w:pPr>
            <w:r>
              <w:t>Single band ans single RAT (</w:t>
            </w:r>
            <w:r w:rsidRPr="002E5A36">
              <w:t>No support for intra-band CA and inter-band CA</w:t>
            </w:r>
            <w:r>
              <w:t>)</w:t>
            </w:r>
          </w:p>
          <w:p w14:paraId="08AA5AD8" w14:textId="45652B44" w:rsidR="002D7DE6" w:rsidRDefault="002D7DE6" w:rsidP="002E5A36">
            <w:pPr>
              <w:pStyle w:val="ListParagraph"/>
              <w:spacing w:after="0"/>
            </w:pPr>
          </w:p>
        </w:tc>
      </w:tr>
      <w:tr w:rsidR="0071269E" w14:paraId="0C184DAF" w14:textId="77777777" w:rsidTr="0094635D">
        <w:tc>
          <w:tcPr>
            <w:tcW w:w="1937" w:type="dxa"/>
          </w:tcPr>
          <w:p w14:paraId="0FBE3860" w14:textId="1B68DB6A" w:rsidR="0071269E" w:rsidRDefault="0071269E" w:rsidP="00F40E10">
            <w:r>
              <w:t>Verizon</w:t>
            </w:r>
          </w:p>
        </w:tc>
        <w:tc>
          <w:tcPr>
            <w:tcW w:w="7694" w:type="dxa"/>
          </w:tcPr>
          <w:p w14:paraId="0F8568F6" w14:textId="06AD099C" w:rsidR="0071269E" w:rsidRDefault="0071269E" w:rsidP="00A13959">
            <w:pPr>
              <w:spacing w:after="0"/>
            </w:pPr>
            <w:r>
              <w:t>Peak rate reduction should be justified for cost and power saving benefit, qualitifively, especially for FR2.</w:t>
            </w:r>
          </w:p>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lastRenderedPageBreak/>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lastRenderedPageBreak/>
              <w:t>Verizon</w:t>
            </w:r>
          </w:p>
        </w:tc>
        <w:tc>
          <w:tcPr>
            <w:tcW w:w="7694" w:type="dxa"/>
          </w:tcPr>
          <w:p w14:paraId="2F3A7995" w14:textId="358AD0B5" w:rsidR="0071269E" w:rsidRDefault="0071269E" w:rsidP="00A13959">
            <w:r>
              <w:t>Beam management simplication for FR2</w:t>
            </w:r>
          </w:p>
        </w:tc>
      </w:tr>
    </w:tbl>
    <w:p w14:paraId="5E77D64B" w14:textId="77777777" w:rsidR="00AB76E1" w:rsidRPr="00AB76E1" w:rsidRDefault="00AB76E1" w:rsidP="00AB76E1"/>
    <w:p w14:paraId="0BAAAF44" w14:textId="4077BE46" w:rsidR="00CD2A34" w:rsidRDefault="00CD2A34" w:rsidP="00CD2A34">
      <w:pPr>
        <w:pStyle w:val="Heading2"/>
      </w:pPr>
      <w:bookmarkStart w:id="28" w:name="_Toc41500878"/>
      <w:r>
        <w:t>7</w:t>
      </w:r>
      <w:r w:rsidRPr="000E647A">
        <w:t>.</w:t>
      </w:r>
      <w:r>
        <w:t>7</w:t>
      </w:r>
      <w:r w:rsidRPr="000E647A">
        <w:tab/>
      </w:r>
      <w:r>
        <w:t>Combinations of</w:t>
      </w:r>
      <w:r w:rsidRPr="000E647A">
        <w:t xml:space="preserve"> UE complexity reduction features</w:t>
      </w:r>
      <w:bookmarkEnd w:id="28"/>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r>
              <w:lastRenderedPageBreak/>
              <w:t>Convida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bl>
    <w:p w14:paraId="3033510A" w14:textId="77777777" w:rsidR="00865092" w:rsidRPr="00AB76E1" w:rsidRDefault="00865092" w:rsidP="00AB76E1"/>
    <w:p w14:paraId="4F1E2F86" w14:textId="77777777" w:rsidR="00AB76E1" w:rsidRPr="000E647A" w:rsidRDefault="00AB76E1" w:rsidP="00AB76E1">
      <w:pPr>
        <w:pStyle w:val="Heading1"/>
      </w:pPr>
      <w:bookmarkStart w:id="29" w:name="_Toc40490542"/>
      <w:bookmarkStart w:id="30" w:name="_Toc41500879"/>
      <w:r>
        <w:t>8</w:t>
      </w:r>
      <w:r w:rsidRPr="000E647A">
        <w:tab/>
        <w:t>UE power saving and battery lifetime enhancement</w:t>
      </w:r>
      <w:bookmarkEnd w:id="29"/>
      <w:bookmarkEnd w:id="30"/>
    </w:p>
    <w:p w14:paraId="5D25862B" w14:textId="77777777" w:rsidR="00AB76E1" w:rsidRPr="000E647A" w:rsidRDefault="00AB76E1" w:rsidP="00AB76E1">
      <w:pPr>
        <w:pStyle w:val="Heading2"/>
      </w:pPr>
      <w:bookmarkStart w:id="31" w:name="_Toc40490543"/>
      <w:bookmarkStart w:id="32" w:name="_Toc41500880"/>
      <w:r>
        <w:t>8</w:t>
      </w:r>
      <w:r w:rsidRPr="000E647A">
        <w:t>.1</w:t>
      </w:r>
      <w:r w:rsidRPr="000E647A">
        <w:tab/>
        <w:t>Reduced PDCCH monitoring</w:t>
      </w:r>
      <w:bookmarkEnd w:id="31"/>
      <w:bookmarkEnd w:id="32"/>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lastRenderedPageBreak/>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r>
              <w:t>Convida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bookmarkStart w:id="33" w:name="_GoBack"/>
            <w:bookmarkEnd w:id="33"/>
          </w:p>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ListParagraph"/>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ListParagraph"/>
              <w:numPr>
                <w:ilvl w:val="0"/>
                <w:numId w:val="19"/>
              </w:numPr>
              <w:rPr>
                <w:lang w:val="en-US" w:eastAsia="zh-CN"/>
              </w:rPr>
            </w:pPr>
            <w:r w:rsidRPr="00C55A44">
              <w:rPr>
                <w:lang w:val="en-US"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lastRenderedPageBreak/>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 xml:space="preserve">Dynamic configuration of DL control resources and reduced dependency on PDCCH messages/grants for some cases (e.g., pre-configuration of dynamic re-tx).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IIoT</w:t>
            </w:r>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bl>
    <w:p w14:paraId="2287554F" w14:textId="2EB20243" w:rsidR="00665A88" w:rsidRDefault="00665A88" w:rsidP="000E647A"/>
    <w:p w14:paraId="1398934D" w14:textId="388565F2" w:rsidR="00AF0559" w:rsidRPr="000E647A" w:rsidRDefault="00AF0559" w:rsidP="00AF0559">
      <w:pPr>
        <w:pStyle w:val="Heading1"/>
      </w:pPr>
      <w:bookmarkStart w:id="34" w:name="_Toc41500881"/>
      <w:r>
        <w:t>9</w:t>
      </w:r>
      <w:r w:rsidRPr="000E647A">
        <w:tab/>
      </w:r>
      <w:r>
        <w:t>Other comments</w:t>
      </w:r>
      <w:bookmarkEnd w:id="34"/>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lastRenderedPageBreak/>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Study beam management issues for FR2 including reducing beam overloading and beam blockage (due to preconfigured RedCap UE configurations) [89]</w:t>
            </w:r>
          </w:p>
        </w:tc>
      </w:tr>
      <w:tr w:rsidR="001568F8" w14:paraId="7F1B013D" w14:textId="77777777" w:rsidTr="0094635D">
        <w:tc>
          <w:tcPr>
            <w:tcW w:w="1937" w:type="dxa"/>
          </w:tcPr>
          <w:p w14:paraId="584AA2EF" w14:textId="77777777" w:rsidR="001568F8" w:rsidRDefault="001568F8" w:rsidP="001568F8"/>
        </w:tc>
        <w:tc>
          <w:tcPr>
            <w:tcW w:w="7694" w:type="dxa"/>
          </w:tcPr>
          <w:p w14:paraId="4259839D" w14:textId="77777777" w:rsidR="001568F8" w:rsidRDefault="001568F8" w:rsidP="001568F8"/>
        </w:tc>
      </w:tr>
      <w:tr w:rsidR="001568F8" w14:paraId="4D411C31" w14:textId="77777777" w:rsidTr="0094635D">
        <w:tc>
          <w:tcPr>
            <w:tcW w:w="1937" w:type="dxa"/>
          </w:tcPr>
          <w:p w14:paraId="4A0B6DE1" w14:textId="77777777" w:rsidR="001568F8" w:rsidRDefault="001568F8" w:rsidP="001568F8"/>
        </w:tc>
        <w:tc>
          <w:tcPr>
            <w:tcW w:w="7694" w:type="dxa"/>
          </w:tcPr>
          <w:p w14:paraId="33834028" w14:textId="77777777" w:rsidR="001568F8" w:rsidRDefault="001568F8" w:rsidP="001568F8"/>
        </w:tc>
      </w:tr>
    </w:tbl>
    <w:p w14:paraId="7E0D9A47" w14:textId="77777777" w:rsidR="00AF0559" w:rsidRDefault="00AF0559" w:rsidP="000E647A"/>
    <w:p w14:paraId="2F1E61B8" w14:textId="3B444AA4" w:rsidR="00665A88" w:rsidRPr="000E647A" w:rsidRDefault="00665A88" w:rsidP="00665A88">
      <w:pPr>
        <w:pStyle w:val="Heading1"/>
      </w:pPr>
      <w:bookmarkStart w:id="35" w:name="_Toc41500882"/>
      <w:bookmarkStart w:id="36" w:name="_Hlk41391803"/>
      <w:r w:rsidRPr="000E647A">
        <w:t>References</w:t>
      </w:r>
      <w:bookmarkEnd w:id="35"/>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Hyperlink"/>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Hyperlink"/>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Hyperlink"/>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lastRenderedPageBreak/>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Hyperlink"/>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Hyperlink"/>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lastRenderedPageBreak/>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Hyperlink"/>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Hyperlink"/>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Hyperlink"/>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Hyperlink"/>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Hyperlink"/>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lastRenderedPageBreak/>
        <w:t>[89]</w:t>
      </w:r>
      <w:r w:rsidRPr="00E1646E">
        <w:tab/>
      </w:r>
      <w:hyperlink r:id="rId101" w:history="1">
        <w:r w:rsidR="00283F09" w:rsidRPr="00E1646E">
          <w:rPr>
            <w:rStyle w:val="Hyperlink"/>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Hyperlink"/>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Hyperlink"/>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Hyperlink"/>
          </w:rPr>
          <w:t>R1-2004612</w:t>
        </w:r>
      </w:hyperlink>
      <w:r w:rsidR="00283F09" w:rsidRPr="000E2B66">
        <w:rPr>
          <w:lang w:val="en-US"/>
        </w:rPr>
        <w:t>, “Other aspects for reduced capability devices”, Huawei, HiSilicon</w:t>
      </w:r>
      <w:bookmarkEnd w:id="36"/>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834F7" w14:textId="77777777" w:rsidR="00AC7B95" w:rsidRDefault="00AC7B95">
      <w:r>
        <w:separator/>
      </w:r>
    </w:p>
  </w:endnote>
  <w:endnote w:type="continuationSeparator" w:id="0">
    <w:p w14:paraId="23EDC8B6" w14:textId="77777777" w:rsidR="00AC7B95" w:rsidRDefault="00AC7B95">
      <w:r>
        <w:continuationSeparator/>
      </w:r>
    </w:p>
  </w:endnote>
  <w:endnote w:type="continuationNotice" w:id="1">
    <w:p w14:paraId="66C19ECC" w14:textId="77777777" w:rsidR="00AC7B95" w:rsidRDefault="00AC7B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E27DF" w14:textId="77777777" w:rsidR="00AC7B95" w:rsidRDefault="00AC7B95">
      <w:r>
        <w:separator/>
      </w:r>
    </w:p>
  </w:footnote>
  <w:footnote w:type="continuationSeparator" w:id="0">
    <w:p w14:paraId="6CCC4C3E" w14:textId="77777777" w:rsidR="00AC7B95" w:rsidRDefault="00AC7B95">
      <w:r>
        <w:continuationSeparator/>
      </w:r>
    </w:p>
  </w:footnote>
  <w:footnote w:type="continuationNotice" w:id="1">
    <w:p w14:paraId="35A4809C" w14:textId="77777777" w:rsidR="00AC7B95" w:rsidRDefault="00AC7B9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1"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4"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2"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25"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26"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2"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3"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34"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12"/>
  </w:num>
  <w:num w:numId="4">
    <w:abstractNumId w:val="6"/>
  </w:num>
  <w:num w:numId="5">
    <w:abstractNumId w:val="14"/>
  </w:num>
  <w:num w:numId="6">
    <w:abstractNumId w:val="29"/>
  </w:num>
  <w:num w:numId="7">
    <w:abstractNumId w:val="28"/>
  </w:num>
  <w:num w:numId="8">
    <w:abstractNumId w:val="20"/>
  </w:num>
  <w:num w:numId="9">
    <w:abstractNumId w:val="3"/>
  </w:num>
  <w:num w:numId="10">
    <w:abstractNumId w:val="17"/>
  </w:num>
  <w:num w:numId="11">
    <w:abstractNumId w:val="23"/>
  </w:num>
  <w:num w:numId="12">
    <w:abstractNumId w:val="5"/>
  </w:num>
  <w:num w:numId="13">
    <w:abstractNumId w:val="4"/>
  </w:num>
  <w:num w:numId="14">
    <w:abstractNumId w:val="30"/>
  </w:num>
  <w:num w:numId="15">
    <w:abstractNumId w:val="18"/>
  </w:num>
  <w:num w:numId="16">
    <w:abstractNumId w:val="2"/>
  </w:num>
  <w:num w:numId="17">
    <w:abstractNumId w:val="9"/>
  </w:num>
  <w:num w:numId="18">
    <w:abstractNumId w:val="11"/>
  </w:num>
  <w:num w:numId="19">
    <w:abstractNumId w:val="1"/>
  </w:num>
  <w:num w:numId="20">
    <w:abstractNumId w:val="24"/>
  </w:num>
  <w:num w:numId="21">
    <w:abstractNumId w:val="21"/>
  </w:num>
  <w:num w:numId="22">
    <w:abstractNumId w:val="7"/>
  </w:num>
  <w:num w:numId="23">
    <w:abstractNumId w:val="13"/>
  </w:num>
  <w:num w:numId="24">
    <w:abstractNumId w:val="33"/>
  </w:num>
  <w:num w:numId="25">
    <w:abstractNumId w:val="25"/>
  </w:num>
  <w:num w:numId="26">
    <w:abstractNumId w:val="10"/>
  </w:num>
  <w:num w:numId="27">
    <w:abstractNumId w:val="22"/>
  </w:num>
  <w:num w:numId="28">
    <w:abstractNumId w:val="34"/>
  </w:num>
  <w:num w:numId="29">
    <w:abstractNumId w:val="15"/>
  </w:num>
  <w:num w:numId="30">
    <w:abstractNumId w:val="16"/>
  </w:num>
  <w:num w:numId="31">
    <w:abstractNumId w:val="27"/>
  </w:num>
  <w:num w:numId="32">
    <w:abstractNumId w:val="8"/>
  </w:num>
  <w:num w:numId="33">
    <w:abstractNumId w:val="0"/>
  </w:num>
  <w:num w:numId="34">
    <w:abstractNumId w:val="26"/>
  </w:num>
  <w:num w:numId="35">
    <w:abstractNumId w:val="32"/>
  </w:num>
  <w:num w:numId="3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openxmlformats.org/officeDocument/2006/relationships/theme" Target="theme/theme1.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E66B7-93EC-4336-8425-C8FF2191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33</Pages>
  <Words>15796</Words>
  <Characters>90040</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105625</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Song, Lei</cp:lastModifiedBy>
  <cp:revision>2</cp:revision>
  <cp:lastPrinted>2020-05-14T12:07:00Z</cp:lastPrinted>
  <dcterms:created xsi:type="dcterms:W3CDTF">2020-06-01T00:47:00Z</dcterms:created>
  <dcterms:modified xsi:type="dcterms:W3CDTF">2020-06-01T00:47:00Z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