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1D26" w14:textId="77777777"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78F44259" w14:textId="77777777" w:rsidR="00825F97" w:rsidRDefault="00C05447">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af"/>
        <w:rPr>
          <w:rFonts w:eastAsia="宋体" w:cs="Arial"/>
          <w:bCs/>
          <w:sz w:val="22"/>
          <w:szCs w:val="22"/>
          <w:lang w:eastAsia="zh-CN"/>
        </w:rPr>
      </w:pPr>
    </w:p>
    <w:p w14:paraId="649CC4AC" w14:textId="77777777" w:rsidR="00825F97" w:rsidRDefault="00C05447">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31F045" w14:textId="77777777" w:rsidR="00825F97" w:rsidRDefault="00C05447">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113AD256" w14:textId="77777777" w:rsidR="00825F97" w:rsidRDefault="00C05447">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af4"/>
        <w:numPr>
          <w:ilvl w:val="1"/>
          <w:numId w:val="14"/>
        </w:numPr>
        <w:spacing w:after="0"/>
        <w:ind w:firstLineChars="0"/>
        <w:rPr>
          <w:rFonts w:cs="Times"/>
          <w:szCs w:val="20"/>
        </w:rPr>
      </w:pPr>
      <w:r>
        <w:rPr>
          <w:rFonts w:cs="Times"/>
          <w:szCs w:val="20"/>
        </w:rPr>
        <w:t>Non Coherent 2 bits</w:t>
      </w:r>
    </w:p>
    <w:p w14:paraId="378389F3" w14:textId="77777777" w:rsidR="00825F97" w:rsidRDefault="00C05447">
      <w:pPr>
        <w:pStyle w:val="af4"/>
        <w:numPr>
          <w:ilvl w:val="1"/>
          <w:numId w:val="14"/>
        </w:numPr>
        <w:spacing w:after="0"/>
        <w:ind w:firstLineChars="0"/>
        <w:rPr>
          <w:rFonts w:cs="Times"/>
          <w:szCs w:val="20"/>
        </w:rPr>
      </w:pPr>
      <w:r>
        <w:rPr>
          <w:rFonts w:eastAsia="Malgun Gothic" w:cs="Times"/>
          <w:szCs w:val="20"/>
        </w:rPr>
        <w:t>Partial coherent 4 bits</w:t>
      </w:r>
    </w:p>
    <w:p w14:paraId="4C4FF51C" w14:textId="77777777" w:rsidR="00825F97" w:rsidRDefault="00C05447">
      <w:pPr>
        <w:pStyle w:val="af4"/>
        <w:numPr>
          <w:ilvl w:val="2"/>
          <w:numId w:val="14"/>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327B181A" w14:textId="77777777" w:rsidR="00825F97" w:rsidRDefault="00C05447">
      <w:pPr>
        <w:pStyle w:val="af4"/>
        <w:numPr>
          <w:ilvl w:val="1"/>
          <w:numId w:val="14"/>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37586A9F" w14:textId="77777777" w:rsidR="00825F97" w:rsidRDefault="00C05447">
      <w:pPr>
        <w:pStyle w:val="af4"/>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4Tx, nonCoherent</w:t>
            </w:r>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Batang"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zh-CN"/>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r>
        <w:t xml:space="preserve">Remaining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i.e.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697CC2" w:rsidRDefault="00C05447">
      <w:pPr>
        <w:rPr>
          <w:rFonts w:eastAsiaTheme="minorEastAsia"/>
          <w:strike/>
          <w:sz w:val="24"/>
          <w:lang w:eastAsia="zh-CN"/>
        </w:rPr>
      </w:pPr>
      <w:commentRangeStart w:id="2"/>
      <w:r w:rsidRPr="00697CC2">
        <w:rPr>
          <w:rFonts w:eastAsiaTheme="minorEastAsia"/>
          <w:strike/>
          <w:sz w:val="24"/>
          <w:lang w:eastAsia="zh-CN"/>
        </w:rPr>
        <w:t>Alt2</w:t>
      </w:r>
      <w:commentRangeEnd w:id="2"/>
      <w:r w:rsidR="003E2A85">
        <w:rPr>
          <w:rStyle w:val="af2"/>
        </w:rPr>
        <w:commentReference w:id="2"/>
      </w:r>
      <w:r w:rsidRPr="00697CC2">
        <w:rPr>
          <w:rFonts w:eastAsiaTheme="minorEastAsia"/>
          <w:strike/>
          <w:sz w:val="24"/>
          <w:lang w:eastAsia="zh-CN"/>
        </w:rPr>
        <w:t xml:space="preserve">: </w:t>
      </w:r>
      <w:r w:rsidRPr="00697CC2">
        <w:rPr>
          <w:rFonts w:eastAsiaTheme="minorEastAsia" w:hint="eastAsia"/>
          <w:strike/>
          <w:sz w:val="24"/>
          <w:lang w:eastAsia="zh-CN"/>
        </w:rPr>
        <w:t>W</w:t>
      </w:r>
      <w:r w:rsidRPr="00697CC2">
        <w:rPr>
          <w:rFonts w:eastAsiaTheme="minorEastAsia"/>
          <w:strike/>
          <w:sz w:val="24"/>
          <w:lang w:eastAsia="zh-CN"/>
        </w:rPr>
        <w:t>hether to revise TPMI groups G0~G6? i.e.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details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af3"/>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For Alt 1, we do not agree to reduce the bit size to 3bits, because it means the number of supported UE PA architectures will be reduced from 16 to 8 for partial-coherent case. From the technical perspective, it make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matrices </w:t>
            </w:r>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8pt;height:54pt;mso-width-percent:0;mso-height-percent:0;mso-width-percent:0;mso-height-percent:0" o:ole="">
                  <v:imagedata r:id="rId12" o:title=""/>
                </v:shape>
                <o:OLEObject Type="Embed" ProgID="Equation.3" ShapeID="_x0000_i1025" DrawAspect="Content" ObjectID="_1651999331" r:id="rId13"/>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25pt;height:54pt;mso-width-percent:0;mso-height-percent:0;mso-width-percent:0;mso-height-percent:0" o:ole="">
                  <v:imagedata r:id="rId14" o:title=""/>
                </v:shape>
                <o:OLEObject Type="Embed" ProgID="Equation.3" ShapeID="_x0000_i1026" DrawAspect="Content" ObjectID="_1651999332" r:id="rId15"/>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8pt;height:54pt;mso-width-percent:0;mso-height-percent:0;mso-width-percent:0;mso-height-percent:0" o:ole="">
                  <v:imagedata r:id="rId16" o:title=""/>
                </v:shape>
                <o:OLEObject Type="Embed" ProgID="Equation.3" ShapeID="_x0000_i1027" DrawAspect="Content" ObjectID="_1651999333" r:id="rId17"/>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8pt;height:54pt;mso-width-percent:0;mso-height-percent:0;mso-width-percent:0;mso-height-percent:0" o:ole="">
                  <v:imagedata r:id="rId18" o:title=""/>
                </v:shape>
                <o:OLEObject Type="Embed" ProgID="Equation.3" ShapeID="_x0000_i1028" DrawAspect="Content" ObjectID="_1651999334" r:id="rId19"/>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宋体"/>
                <w:szCs w:val="20"/>
              </w:rPr>
              <w:t>In order to optimize TPMI group based full power capability reporting, entries of TPMI groups should be decoupled as much as possible and corresponds to independent PA architectures and coherent capabilities.</w:t>
            </w:r>
            <w:r>
              <w:rPr>
                <w:rFonts w:eastAsia="宋体" w:hint="eastAsia"/>
                <w:szCs w:val="20"/>
                <w:lang w:eastAsia="zh-CN"/>
              </w:rPr>
              <w:t xml:space="preserve"> Based on that, </w:t>
            </w:r>
            <w:r>
              <w:rPr>
                <w:rFonts w:eastAsia="宋体" w:hint="eastAsia"/>
                <w:szCs w:val="20"/>
              </w:rPr>
              <w:t xml:space="preserve">G3 </w:t>
            </w:r>
            <w:r>
              <w:rPr>
                <w:rFonts w:eastAsia="宋体" w:hint="eastAsia"/>
                <w:szCs w:val="20"/>
                <w:lang w:eastAsia="zh-CN"/>
              </w:rPr>
              <w:t xml:space="preserve">is a redundant entry of G5 </w:t>
            </w:r>
            <w:r>
              <w:rPr>
                <w:rFonts w:eastAsia="宋体"/>
                <w:szCs w:val="20"/>
              </w:rPr>
              <w:t xml:space="preserve">and </w:t>
            </w:r>
            <w:r>
              <w:rPr>
                <w:rFonts w:eastAsia="宋体" w:hint="eastAsia"/>
                <w:szCs w:val="20"/>
              </w:rPr>
              <w:t>should be removed</w:t>
            </w:r>
            <w:r>
              <w:rPr>
                <w:rFonts w:eastAsia="宋体"/>
                <w:szCs w:val="20"/>
              </w:rPr>
              <w:t xml:space="preserve"> accordingly</w:t>
            </w:r>
            <w:r>
              <w:rPr>
                <w:rFonts w:eastAsia="宋体" w:hint="eastAsia"/>
                <w:szCs w:val="20"/>
              </w:rPr>
              <w:t>.</w:t>
            </w:r>
          </w:p>
          <w:p w14:paraId="0E3D19BC" w14:textId="77777777" w:rsidR="00825F97" w:rsidRDefault="00825F97">
            <w:pPr>
              <w:rPr>
                <w:rFonts w:eastAsia="宋体"/>
                <w:szCs w:val="20"/>
              </w:rPr>
            </w:pPr>
          </w:p>
          <w:p w14:paraId="5910E93C" w14:textId="77777777" w:rsidR="00825F97" w:rsidRDefault="00825F97">
            <w:pPr>
              <w:rPr>
                <w:rFonts w:eastAsia="宋体"/>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宋体" w:hint="eastAsia"/>
                <w:bCs/>
                <w:szCs w:val="20"/>
                <w:lang w:eastAsia="zh-CN"/>
              </w:rPr>
              <w:t>F</w:t>
            </w:r>
            <w:r>
              <w:rPr>
                <w:rFonts w:eastAsia="宋体" w:hint="eastAsia"/>
                <w:bCs/>
                <w:szCs w:val="20"/>
              </w:rPr>
              <w:t xml:space="preserve">rom the perspective of permutation and </w:t>
            </w:r>
            <w:r>
              <w:rPr>
                <w:rFonts w:eastAsia="宋体"/>
                <w:bCs/>
                <w:szCs w:val="20"/>
              </w:rPr>
              <w:t>combination</w:t>
            </w:r>
            <w:r>
              <w:rPr>
                <w:rFonts w:eastAsia="宋体" w:hint="eastAsia"/>
                <w:bCs/>
                <w:szCs w:val="20"/>
              </w:rPr>
              <w:t xml:space="preserve"> </w:t>
            </w:r>
            <w:r>
              <w:rPr>
                <w:rFonts w:eastAsia="宋体"/>
                <w:bCs/>
                <w:szCs w:val="20"/>
              </w:rPr>
              <w:t>of</w:t>
            </w:r>
            <w:r>
              <w:rPr>
                <w:rFonts w:eastAsia="宋体" w:hint="eastAsia"/>
                <w:bCs/>
                <w:szCs w:val="20"/>
              </w:rPr>
              <w:t xml:space="preserve"> antenna ports PA architecture, there are </w:t>
            </w:r>
            <w:r>
              <w:rPr>
                <w:rFonts w:eastAsia="宋体" w:hint="eastAsia"/>
                <w:bCs/>
                <w:szCs w:val="20"/>
                <w:lang w:eastAsia="zh-CN"/>
              </w:rPr>
              <w:t xml:space="preserve">76 out of </w:t>
            </w:r>
            <w:r>
              <w:rPr>
                <w:rFonts w:eastAsia="宋体" w:hint="eastAsia"/>
                <w:bCs/>
                <w:szCs w:val="20"/>
              </w:rPr>
              <w:t xml:space="preserve">81 types 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 xml:space="preserve">should </w:t>
            </w:r>
            <w:r>
              <w:rPr>
                <w:rFonts w:eastAsia="宋体" w:hint="eastAsia"/>
                <w:bCs/>
                <w:szCs w:val="20"/>
              </w:rPr>
              <w:t>be captured</w:t>
            </w:r>
            <w:r>
              <w:rPr>
                <w:rFonts w:eastAsia="宋体" w:hint="eastAsia"/>
                <w:bCs/>
                <w:szCs w:val="20"/>
                <w:lang w:eastAsia="zh-CN"/>
              </w:rPr>
              <w:t>. However, t</w:t>
            </w:r>
            <w:r>
              <w:rPr>
                <w:rFonts w:eastAsia="宋体" w:hint="eastAsia"/>
                <w:bCs/>
                <w:szCs w:val="20"/>
              </w:rPr>
              <w:t xml:space="preserve">he size of partial-coherent </w:t>
            </w:r>
            <w:r>
              <w:rPr>
                <w:rFonts w:eastAsia="微软雅黑" w:hint="eastAsia"/>
                <w:szCs w:val="20"/>
                <w:lang w:eastAsia="zh-CN"/>
              </w:rPr>
              <w:t xml:space="preserve">4-Tx </w:t>
            </w:r>
            <w:r>
              <w:rPr>
                <w:rFonts w:eastAsia="宋体" w:hint="eastAsia"/>
                <w:bCs/>
                <w:szCs w:val="20"/>
              </w:rPr>
              <w:t>UE is 4 bits</w:t>
            </w:r>
            <w:r>
              <w:rPr>
                <w:rFonts w:eastAsia="宋体" w:hint="eastAsia"/>
                <w:bCs/>
                <w:szCs w:val="20"/>
                <w:lang w:eastAsia="zh-CN"/>
              </w:rPr>
              <w:t>, u</w:t>
            </w:r>
            <w:r>
              <w:rPr>
                <w:rFonts w:eastAsia="宋体" w:hint="eastAsia"/>
                <w:bCs/>
                <w:szCs w:val="20"/>
              </w:rPr>
              <w:t xml:space="preserve">p to </w:t>
            </w:r>
            <w:r>
              <w:rPr>
                <w:rFonts w:eastAsia="宋体" w:hint="eastAsia"/>
                <w:bCs/>
                <w:szCs w:val="20"/>
                <w:lang w:eastAsia="zh-CN"/>
              </w:rPr>
              <w:t xml:space="preserve">16 </w:t>
            </w:r>
            <w:r>
              <w:rPr>
                <w:rFonts w:eastAsia="宋体" w:hint="eastAsia"/>
                <w:bCs/>
                <w:szCs w:val="20"/>
              </w:rPr>
              <w:t>TPMI groups can be adopted</w:t>
            </w:r>
            <w:r>
              <w:rPr>
                <w:rFonts w:eastAsia="宋体" w:hint="eastAsia"/>
                <w:bCs/>
                <w:szCs w:val="20"/>
                <w:lang w:eastAsia="zh-CN"/>
              </w:rPr>
              <w:t>.</w:t>
            </w:r>
          </w:p>
          <w:p w14:paraId="5E067451"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宋体" w:hint="eastAsia"/>
                <w:bCs/>
                <w:szCs w:val="20"/>
              </w:rPr>
              <w:t>PA combination architecture</w:t>
            </w:r>
            <w:r>
              <w:rPr>
                <w:rFonts w:eastAsia="宋体" w:hint="eastAsia"/>
                <w:bCs/>
                <w:szCs w:val="20"/>
                <w:lang w:eastAsia="zh-CN"/>
              </w:rPr>
              <w:t xml:space="preserve">, </w:t>
            </w:r>
            <w:r>
              <w:rPr>
                <w:rFonts w:eastAsia="宋体" w:hint="eastAsia"/>
                <w:bCs/>
                <w:szCs w:val="20"/>
              </w:rPr>
              <w:t xml:space="preserve">there are only </w:t>
            </w:r>
            <w:r>
              <w:rPr>
                <w:rFonts w:eastAsia="宋体" w:hint="eastAsia"/>
                <w:bCs/>
                <w:szCs w:val="20"/>
                <w:lang w:eastAsia="zh-CN"/>
              </w:rPr>
              <w:t xml:space="preserve">12 out of </w:t>
            </w:r>
            <w:r>
              <w:rPr>
                <w:rFonts w:eastAsia="宋体" w:hint="eastAsia"/>
                <w:bCs/>
                <w:szCs w:val="20"/>
              </w:rPr>
              <w:t>15 types</w:t>
            </w:r>
            <w:r>
              <w:rPr>
                <w:rFonts w:eastAsia="宋体" w:hint="eastAsia"/>
                <w:bCs/>
                <w:szCs w:val="20"/>
                <w:lang w:eastAsia="zh-CN"/>
              </w:rPr>
              <w:t xml:space="preserve"> </w:t>
            </w:r>
            <w:r>
              <w:rPr>
                <w:rFonts w:eastAsia="宋体" w:hint="eastAsia"/>
                <w:bCs/>
                <w:szCs w:val="20"/>
              </w:rPr>
              <w:t xml:space="preserve">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need to</w:t>
            </w:r>
            <w:r>
              <w:rPr>
                <w:rFonts w:eastAsia="宋体" w:hint="eastAsia"/>
                <w:bCs/>
                <w:szCs w:val="20"/>
              </w:rPr>
              <w:t xml:space="preserve"> </w:t>
            </w:r>
            <w:r>
              <w:rPr>
                <w:rFonts w:eastAsia="宋体" w:hint="eastAsia"/>
                <w:bCs/>
                <w:szCs w:val="20"/>
                <w:lang w:eastAsia="zh-CN"/>
              </w:rPr>
              <w:t xml:space="preserve">be </w:t>
            </w:r>
            <w:r>
              <w:rPr>
                <w:rFonts w:eastAsia="宋体" w:hint="eastAsia"/>
                <w:bCs/>
                <w:szCs w:val="20"/>
              </w:rPr>
              <w:t>capture</w:t>
            </w:r>
            <w:r>
              <w:rPr>
                <w:rFonts w:eastAsia="宋体" w:hint="eastAsia"/>
                <w:bCs/>
                <w:szCs w:val="20"/>
                <w:lang w:eastAsia="zh-CN"/>
              </w:rPr>
              <w:t>d. Further, t</w:t>
            </w:r>
            <w:r>
              <w:rPr>
                <w:rFonts w:eastAsiaTheme="minorEastAsia" w:hint="eastAsia"/>
                <w:szCs w:val="20"/>
                <w:lang w:eastAsia="zh-CN"/>
              </w:rPr>
              <w:t xml:space="preserve">he existing G0 to G6 have captured 6 PA </w:t>
            </w:r>
            <w:r>
              <w:rPr>
                <w:rFonts w:eastAsia="宋体" w:hint="eastAsia"/>
                <w:bCs/>
                <w:szCs w:val="20"/>
              </w:rPr>
              <w:t xml:space="preserve">combination </w:t>
            </w:r>
            <w:r>
              <w:rPr>
                <w:rFonts w:eastAsiaTheme="minorEastAsia" w:hint="eastAsia"/>
                <w:szCs w:val="20"/>
                <w:lang w:eastAsia="zh-CN"/>
              </w:rPr>
              <w:t>architectures. Therefore, it is only need to capture the remaining 6 PA combinations.</w:t>
            </w:r>
          </w:p>
          <w:p w14:paraId="38A91F78"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Based on the first two reasons, </w:t>
            </w:r>
            <w:r>
              <w:rPr>
                <w:rFonts w:eastAsia="宋体"/>
                <w:bCs/>
                <w:szCs w:val="20"/>
              </w:rPr>
              <w:t xml:space="preserve">it is recommended that </w:t>
            </w:r>
            <w:r>
              <w:rPr>
                <w:rFonts w:eastAsia="宋体" w:hint="eastAsia"/>
                <w:bCs/>
                <w:szCs w:val="20"/>
              </w:rPr>
              <w:t xml:space="preserve">the maximum power value of PA for each port obey the following rule: port {1000} </w:t>
            </w:r>
            <w:r>
              <w:rPr>
                <w:rFonts w:eastAsia="宋体" w:hint="eastAsia"/>
                <w:bCs/>
                <w:szCs w:val="20"/>
              </w:rPr>
              <w:t>≥</w:t>
            </w:r>
            <w:r>
              <w:rPr>
                <w:rFonts w:eastAsia="宋体" w:hint="eastAsia"/>
                <w:bCs/>
                <w:szCs w:val="20"/>
              </w:rPr>
              <w:t xml:space="preserve"> port {1002} </w:t>
            </w:r>
            <w:r>
              <w:rPr>
                <w:rFonts w:eastAsia="宋体" w:hint="eastAsia"/>
                <w:bCs/>
                <w:szCs w:val="20"/>
              </w:rPr>
              <w:t>≥</w:t>
            </w:r>
            <w:r>
              <w:rPr>
                <w:rFonts w:eastAsia="宋体" w:hint="eastAsia"/>
                <w:bCs/>
                <w:szCs w:val="20"/>
              </w:rPr>
              <w:t xml:space="preserve"> port {1001} </w:t>
            </w:r>
            <w:r>
              <w:rPr>
                <w:rFonts w:eastAsia="宋体" w:hint="eastAsia"/>
                <w:bCs/>
                <w:szCs w:val="20"/>
              </w:rPr>
              <w:t>≥</w:t>
            </w:r>
            <w:r>
              <w:rPr>
                <w:rFonts w:eastAsia="宋体" w:hint="eastAsia"/>
                <w:bCs/>
                <w:szCs w:val="20"/>
              </w:rPr>
              <w:t xml:space="preserve"> port {1003}.</w:t>
            </w:r>
            <w:r>
              <w:rPr>
                <w:rFonts w:eastAsia="宋体"/>
                <w:bCs/>
                <w:szCs w:val="20"/>
              </w:rPr>
              <w:t xml:space="preserve"> </w:t>
            </w:r>
            <w:r>
              <w:rPr>
                <w:rFonts w:eastAsia="宋体"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Huawei, HiSilicon</w:t>
            </w:r>
          </w:p>
        </w:tc>
        <w:tc>
          <w:tcPr>
            <w:tcW w:w="6513" w:type="dxa"/>
          </w:tcPr>
          <w:p w14:paraId="5F5C7D0F" w14:textId="77777777" w:rsidR="00412269" w:rsidRDefault="00412269" w:rsidP="00412269">
            <w:pPr>
              <w:pStyle w:val="af4"/>
              <w:numPr>
                <w:ilvl w:val="0"/>
                <w:numId w:val="18"/>
              </w:numPr>
              <w:ind w:firstLineChars="0"/>
              <w:rPr>
                <w:rFonts w:eastAsiaTheme="minorEastAsia"/>
                <w:szCs w:val="20"/>
              </w:rPr>
            </w:pPr>
            <w:r w:rsidRPr="00412269">
              <w:rPr>
                <w:rFonts w:eastAsiaTheme="minorEastAsia" w:hint="eastAsia"/>
                <w:lang w:val="en-GB"/>
              </w:rPr>
              <w:t xml:space="preserve">The TPMIs for </w:t>
            </w:r>
            <w:r w:rsidR="00F16C3D">
              <w:rPr>
                <w:rFonts w:hint="eastAsia"/>
                <w:noProof/>
                <w:position w:val="-66"/>
              </w:rPr>
              <w:object w:dxaOrig="434" w:dyaOrig="1077" w14:anchorId="27ACF754">
                <v:shape id="_x0000_i1029" type="#_x0000_t75" alt="" style="width:21.8pt;height:54pt;mso-width-percent:0;mso-height-percent:0;mso-width-percent:0;mso-height-percent:0" o:ole="">
                  <v:imagedata r:id="rId12" o:title=""/>
                </v:shape>
                <o:OLEObject Type="Embed" ProgID="Equation.3" ShapeID="_x0000_i1029" DrawAspect="Content" ObjectID="_1651999335" r:id="rId20"/>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25pt;height:54pt;mso-width-percent:0;mso-height-percent:0;mso-width-percent:0;mso-height-percent:0" o:ole="">
                  <v:imagedata r:id="rId14" o:title=""/>
                </v:shape>
                <o:OLEObject Type="Embed" ProgID="Equation.3" ShapeID="_x0000_i1030" DrawAspect="Content" ObjectID="_1651999336" r:id="rId21"/>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8pt;height:54pt;mso-width-percent:0;mso-height-percent:0;mso-width-percent:0;mso-height-percent:0" o:ole="">
                  <v:imagedata r:id="rId16" o:title=""/>
                </v:shape>
                <o:OLEObject Type="Embed" ProgID="Equation.3" ShapeID="_x0000_i1031" DrawAspect="Content" ObjectID="_1651999337" r:id="rId22"/>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8pt;height:54pt;mso-width-percent:0;mso-height-percent:0;mso-width-percent:0;mso-height-percent:0" o:ole="">
                  <v:imagedata r:id="rId18" o:title=""/>
                </v:shape>
                <o:OLEObject Type="Embed" ProgID="Equation.3" ShapeID="_x0000_i1032" DrawAspect="Content" ObjectID="_1651999338" r:id="rId23"/>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3</w:t>
            </w:r>
            <w:r w:rsidRPr="00412269">
              <w:rPr>
                <w:rFonts w:eastAsiaTheme="minorEastAsia"/>
                <w:szCs w:val="20"/>
                <w:vertAlign w:val="superscript"/>
              </w:rPr>
              <w:t>rd</w:t>
            </w:r>
            <w:r w:rsidRPr="00412269">
              <w:rPr>
                <w:rFonts w:eastAsiaTheme="minorEastAsia"/>
                <w:szCs w:val="20"/>
              </w:rPr>
              <w:t xml:space="preserve"> ) should be also support full power transmissions for the partial coherent UE. So, the missing 4 TPMIs are at least need to be included.</w:t>
            </w:r>
            <w:r>
              <w:rPr>
                <w:rFonts w:eastAsiaTheme="minorEastAsia"/>
                <w:szCs w:val="20"/>
              </w:rPr>
              <w:t xml:space="preserve"> </w:t>
            </w:r>
          </w:p>
          <w:p w14:paraId="7A36A25B" w14:textId="77777777" w:rsidR="00412269" w:rsidRDefault="00412269" w:rsidP="00412269">
            <w:pPr>
              <w:pStyle w:val="af4"/>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the  two antennas transmission with [1 0 1 0], [1 0 -1 0], [1 0 j 0] and [1 0 –j 0] is with beamforming gain compared to only </w:t>
            </w:r>
            <w:r w:rsidRPr="00412269">
              <w:rPr>
                <w:rFonts w:eastAsiaTheme="minorEastAsia"/>
                <w:szCs w:val="20"/>
              </w:rPr>
              <w:lastRenderedPageBreak/>
              <w:t>with one antenna transmission, such as [1 0 0 0] and [0 1 0 0]. The simulation results are shown as follows.</w:t>
            </w:r>
          </w:p>
          <w:p w14:paraId="1CFF6B35" w14:textId="77777777" w:rsidR="00412269" w:rsidRDefault="00412269" w:rsidP="00412269">
            <w:pPr>
              <w:pStyle w:val="af4"/>
              <w:ind w:left="360" w:firstLineChars="0" w:firstLine="0"/>
              <w:rPr>
                <w:rFonts w:eastAsiaTheme="minorEastAsia"/>
                <w:szCs w:val="20"/>
              </w:rPr>
            </w:pPr>
            <w:r>
              <w:rPr>
                <w:rFonts w:eastAsiaTheme="minorEastAsia"/>
                <w:szCs w:val="20"/>
              </w:rPr>
              <w:t>Then, use Al</w:t>
            </w:r>
            <w:r w:rsidR="008549CE">
              <w:rPr>
                <w:rFonts w:eastAsiaTheme="minorEastAsia"/>
                <w:szCs w:val="20"/>
              </w:rPr>
              <w:t>t.2</w:t>
            </w:r>
            <w:r>
              <w:rPr>
                <w:rFonts w:eastAsiaTheme="minorEastAsia"/>
                <w:szCs w:val="20"/>
              </w:rPr>
              <w:t xml:space="preserve"> just add the four TPMIs in the exist G1/2/3, or just add new 3 TPMI groups as Alt.3, i.e., the 4 TPMIs+G1/2/3. We are fine both of alternatives. </w:t>
            </w:r>
          </w:p>
          <w:p w14:paraId="0DC08455" w14:textId="77777777" w:rsidR="00970206" w:rsidRDefault="00970206" w:rsidP="00412269">
            <w:pPr>
              <w:pStyle w:val="af4"/>
              <w:ind w:left="360" w:firstLineChars="0" w:firstLine="0"/>
              <w:rPr>
                <w:rFonts w:eastAsiaTheme="minorEastAsia"/>
                <w:szCs w:val="20"/>
              </w:rPr>
            </w:pPr>
            <w:r>
              <w:rPr>
                <w:noProof/>
              </w:rPr>
              <w:drawing>
                <wp:inline distT="0" distB="0" distL="0" distR="0" wp14:anchorId="51E3126C" wp14:editId="0F46A1C3">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2DA16D93" w14:textId="77777777" w:rsidR="00412269" w:rsidRPr="00970206" w:rsidRDefault="00412269" w:rsidP="008549CE">
            <w:pPr>
              <w:pStyle w:val="af4"/>
              <w:numPr>
                <w:ilvl w:val="0"/>
                <w:numId w:val="18"/>
              </w:numPr>
              <w:ind w:firstLineChars="0"/>
              <w:rPr>
                <w:rFonts w:eastAsiaTheme="minorEastAsia"/>
                <w:szCs w:val="20"/>
              </w:rPr>
            </w:pPr>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First, Alt2 is not within the scope this email discussion, and also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af4"/>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xml:space="preserve">. Without any simulation analysis, it is unclear how the need for additional </w:t>
            </w:r>
            <w:r w:rsidR="00D064A8">
              <w:rPr>
                <w:rFonts w:ascii="Times New Roman" w:eastAsiaTheme="minorEastAsia" w:hAnsi="Times New Roman"/>
                <w:kern w:val="0"/>
                <w:sz w:val="20"/>
                <w:szCs w:val="20"/>
                <w:lang w:val="en-GB"/>
              </w:rPr>
              <w:lastRenderedPageBreak/>
              <w:t>TPMI 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Re the argument about missing PA combinations or/and missed TPMIs, we would like understand the following:</w:t>
            </w:r>
          </w:p>
          <w:p w14:paraId="253B09D9" w14:textId="04A0C11F" w:rsidR="004D00A8" w:rsidRPr="00913A6C" w:rsidRDefault="004D00A8" w:rsidP="006205E3">
            <w:pPr>
              <w:pStyle w:val="af4"/>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af4"/>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If yes, are they really important for real UE implementations?</w:t>
            </w:r>
          </w:p>
          <w:p w14:paraId="1566C664" w14:textId="77969088" w:rsidR="004D00A8" w:rsidRPr="006205E3" w:rsidRDefault="004D00A8" w:rsidP="00391F9D">
            <w:pPr>
              <w:pStyle w:val="af4"/>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lastRenderedPageBreak/>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af4"/>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af4"/>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then 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all possible PA architectures (as shown in our tdoc</w:t>
            </w:r>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In particular, w</w:t>
            </w:r>
            <w:r w:rsidRPr="008741CE">
              <w:rPr>
                <w:rFonts w:eastAsia="MS Mincho"/>
                <w:lang w:val="en-GB" w:eastAsia="ja-JP"/>
              </w:rPr>
              <w:t>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r>
              <w:rPr>
                <w:rFonts w:eastAsiaTheme="minorEastAsia"/>
                <w:lang w:eastAsia="zh-CN"/>
              </w:rPr>
              <w:t>InterDigital</w:t>
            </w:r>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Alt3: Do not support. The current specification already supports many different PA configuration. Also, it is not clear to us whether there is sufficient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221FFD"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necessary, and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r>
              <w:rPr>
                <w:rFonts w:eastAsiaTheme="minorEastAsia"/>
                <w:lang w:val="en-GB" w:eastAsia="zh-CN"/>
              </w:rPr>
              <w:t>In particular, QC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af4"/>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af4"/>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af4"/>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 xml:space="preserve">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宋体"/>
                <w:szCs w:val="20"/>
                <w:lang w:val="en-GB"/>
              </w:rPr>
            </w:pPr>
            <w:r>
              <w:rPr>
                <w:rFonts w:eastAsia="宋体" w:hint="eastAsia"/>
                <w:szCs w:val="20"/>
                <w:lang w:val="en-GB"/>
              </w:rPr>
              <w:t>For a 4Tx partial-coherent UE with 2 full-rated P</w:t>
            </w:r>
            <w:r>
              <w:rPr>
                <w:rFonts w:eastAsia="宋体"/>
                <w:szCs w:val="20"/>
                <w:lang w:val="en-GB"/>
              </w:rPr>
              <w:t>As</w:t>
            </w:r>
            <w:r>
              <w:rPr>
                <w:rFonts w:eastAsia="宋体" w:hint="eastAsia"/>
                <w:szCs w:val="20"/>
                <w:lang w:val="en-GB"/>
              </w:rPr>
              <w:t>, all TPMIs in G1 and G4 can deliver full power. For a 4Tx partial-coherent UE with 3 full-rated P</w:t>
            </w:r>
            <w:r>
              <w:rPr>
                <w:rFonts w:eastAsia="宋体"/>
                <w:szCs w:val="20"/>
                <w:lang w:val="en-GB"/>
              </w:rPr>
              <w:t>As</w:t>
            </w:r>
            <w:r>
              <w:rPr>
                <w:rFonts w:eastAsia="宋体" w:hint="eastAsia"/>
                <w:szCs w:val="20"/>
                <w:lang w:val="en-GB"/>
              </w:rPr>
              <w:t xml:space="preserve">, all TPMIs in G2 and G5 can deliver full power. </w:t>
            </w:r>
          </w:p>
          <w:p w14:paraId="330FD53B" w14:textId="77777777" w:rsidR="00011019" w:rsidRDefault="00011019" w:rsidP="00011019">
            <w:pPr>
              <w:rPr>
                <w:rFonts w:eastAsia="宋体"/>
                <w:szCs w:val="20"/>
                <w:lang w:val="en-GB"/>
              </w:rPr>
            </w:pPr>
          </w:p>
          <w:p w14:paraId="7518F250" w14:textId="68FE9172" w:rsidR="00421058" w:rsidRDefault="00011019" w:rsidP="00011019">
            <w:pPr>
              <w:rPr>
                <w:rFonts w:eastAsiaTheme="minorEastAsia"/>
                <w:lang w:val="en-GB" w:eastAsia="zh-CN"/>
              </w:rPr>
            </w:pPr>
            <w:r>
              <w:rPr>
                <w:rFonts w:eastAsia="宋体"/>
                <w:szCs w:val="20"/>
                <w:lang w:val="en-GB"/>
              </w:rPr>
              <w:t xml:space="preserve">It is suggested to introduce two additional TPMI groups, e.g. </w:t>
            </w:r>
            <w:r>
              <w:rPr>
                <w:rFonts w:eastAsia="宋体" w:hint="eastAsia"/>
                <w:szCs w:val="20"/>
                <w:lang w:val="en-GB"/>
              </w:rPr>
              <w:t>TPMI groups with G1+G4</w:t>
            </w:r>
            <w:r>
              <w:rPr>
                <w:rFonts w:eastAsia="宋体"/>
                <w:szCs w:val="20"/>
                <w:lang w:val="en-GB"/>
              </w:rPr>
              <w:t xml:space="preserve">, </w:t>
            </w:r>
            <w:r>
              <w:rPr>
                <w:rFonts w:eastAsia="宋体" w:hint="eastAsia"/>
                <w:szCs w:val="20"/>
                <w:lang w:val="en-GB"/>
              </w:rPr>
              <w:t>and G2+G5</w:t>
            </w:r>
            <w:r>
              <w:rPr>
                <w:rFonts w:eastAsia="宋体"/>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 xml:space="preserve">It is not a good way to revert previous agreement at the maintenance stage.  A partial-coherent UE have the flexibility to support full power transmission by non-coherent TMPI.  The revised TMPI grouped (e.g., </w:t>
            </w:r>
            <w:r>
              <w:rPr>
                <w:rFonts w:eastAsiaTheme="minorEastAsia"/>
                <w:lang w:val="en-GB" w:eastAsia="zh-CN"/>
              </w:rPr>
              <w:lastRenderedPageBreak/>
              <w:t>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宋体" w:hint="eastAsia"/>
                <w:szCs w:val="20"/>
                <w:lang w:val="en-GB"/>
              </w:rPr>
            </w:pPr>
            <w:r>
              <w:rPr>
                <w:rFonts w:eastAsiaTheme="minorEastAsia" w:hint="eastAsia"/>
                <w:lang w:val="en-GB" w:eastAsia="zh-CN"/>
              </w:rPr>
              <w:t xml:space="preserve">Alt.3: Support. The current table is quite restricted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宋体"/>
                <w:lang w:eastAsia="zh-CN"/>
              </w:rPr>
              <w:t>PA architecture of [23  20  23  20] dBm for a partial-coherent UE is one of typical implementations. No matter the UE report G1 or G6, it will loss 3dB power for some TPMI(s) even though it can support additional 3dB power transmission for this TPMI(s).      In order to avoid the above-mentioned disadvantages,  the union set of G1 and G6 should be allowed for the reporting of TPMI groups for [23  20  23   20] dBm</w:t>
            </w:r>
          </w:p>
        </w:tc>
      </w:tr>
    </w:tbl>
    <w:p w14:paraId="293CBA66" w14:textId="77777777" w:rsidR="00825F97" w:rsidRDefault="00825F97">
      <w:pPr>
        <w:rPr>
          <w:rFonts w:eastAsia="宋体"/>
          <w:lang w:val="en-GB" w:eastAsia="zh-CN"/>
        </w:rPr>
      </w:pPr>
    </w:p>
    <w:p w14:paraId="19C7973A" w14:textId="77777777" w:rsidR="00825F97" w:rsidRDefault="00C05447">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Feature lead summary on ULFPTx</w:t>
      </w:r>
      <w:r>
        <w:rPr>
          <w:rFonts w:eastAsia="宋体"/>
          <w:bCs/>
          <w:lang w:eastAsia="zh-CN"/>
        </w:rPr>
        <w:t>”, vivo, RAN1#101-e</w:t>
      </w:r>
    </w:p>
    <w:p w14:paraId="5F1DD8F8" w14:textId="77777777" w:rsidR="00825F97" w:rsidRDefault="00825F97">
      <w:pPr>
        <w:pStyle w:val="a0"/>
        <w:snapToGrid w:val="0"/>
        <w:spacing w:afterLines="50"/>
        <w:contextualSpacing/>
        <w:rPr>
          <w:rFonts w:eastAsia="宋体"/>
          <w:bCs/>
          <w:lang w:eastAsia="zh-CN"/>
        </w:rPr>
      </w:pPr>
    </w:p>
    <w:p w14:paraId="17199BC8" w14:textId="77777777" w:rsidR="00825F97" w:rsidRDefault="00825F97">
      <w:pPr>
        <w:pStyle w:val="a0"/>
        <w:snapToGrid w:val="0"/>
        <w:spacing w:afterLines="50"/>
        <w:contextualSpacing/>
        <w:rPr>
          <w:rFonts w:eastAsia="宋体"/>
          <w:bCs/>
          <w:lang w:eastAsia="zh-CN"/>
        </w:rPr>
      </w:pPr>
    </w:p>
    <w:p w14:paraId="4C79FA88" w14:textId="77777777" w:rsidR="00825F97" w:rsidRDefault="00C05447">
      <w:pPr>
        <w:pStyle w:val="a0"/>
        <w:snapToGrid w:val="0"/>
        <w:spacing w:afterLines="50"/>
        <w:contextualSpacing/>
        <w:rPr>
          <w:rFonts w:eastAsia="宋体"/>
          <w:b/>
          <w:bCs/>
          <w:sz w:val="36"/>
          <w:lang w:eastAsia="zh-CN"/>
        </w:rPr>
      </w:pPr>
      <w:r>
        <w:rPr>
          <w:rFonts w:eastAsia="宋体" w:hint="eastAsia"/>
          <w:b/>
          <w:bCs/>
          <w:sz w:val="36"/>
          <w:lang w:eastAsia="zh-CN"/>
        </w:rPr>
        <w:t>Annex</w:t>
      </w:r>
    </w:p>
    <w:tbl>
      <w:tblPr>
        <w:tblStyle w:val="af3"/>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t>1</w:t>
            </w:r>
          </w:p>
        </w:tc>
        <w:tc>
          <w:tcPr>
            <w:tcW w:w="7121" w:type="dxa"/>
          </w:tcPr>
          <w:p w14:paraId="7B187D88" w14:textId="77777777" w:rsidR="00825F97" w:rsidRDefault="00C05447">
            <w:pPr>
              <w:rPr>
                <w:rFonts w:eastAsia="宋体"/>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t>2</w:t>
            </w:r>
          </w:p>
        </w:tc>
        <w:tc>
          <w:tcPr>
            <w:tcW w:w="7121" w:type="dxa"/>
          </w:tcPr>
          <w:p w14:paraId="6DFAC06A" w14:textId="77777777" w:rsidR="00825F97" w:rsidRDefault="00221FFD">
            <w:pPr>
              <w:jc w:val="center"/>
              <w:rPr>
                <w:rFonts w:eastAsia="宋体"/>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t>3</w:t>
            </w:r>
          </w:p>
        </w:tc>
        <w:tc>
          <w:tcPr>
            <w:tcW w:w="7121" w:type="dxa"/>
            <w:vAlign w:val="center"/>
          </w:tcPr>
          <w:p w14:paraId="09E92D4D" w14:textId="77777777" w:rsidR="00825F97" w:rsidRDefault="00221FFD">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221FFD">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t>5</w:t>
            </w:r>
          </w:p>
        </w:tc>
        <w:tc>
          <w:tcPr>
            <w:tcW w:w="7121" w:type="dxa"/>
            <w:vAlign w:val="center"/>
          </w:tcPr>
          <w:p w14:paraId="168DFCEB" w14:textId="77777777" w:rsidR="00825F97" w:rsidRDefault="00221FFD">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t>6</w:t>
            </w:r>
          </w:p>
        </w:tc>
        <w:tc>
          <w:tcPr>
            <w:tcW w:w="7121" w:type="dxa"/>
          </w:tcPr>
          <w:p w14:paraId="24723648" w14:textId="77777777" w:rsidR="00825F97" w:rsidRDefault="00221FFD">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221FFD">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221FFD">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lastRenderedPageBreak/>
              <w:t>9</w:t>
            </w:r>
          </w:p>
        </w:tc>
        <w:tc>
          <w:tcPr>
            <w:tcW w:w="7121" w:type="dxa"/>
          </w:tcPr>
          <w:p w14:paraId="61D56D87" w14:textId="77777777" w:rsidR="00825F97" w:rsidRDefault="00221FFD">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221FFD">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t>10</w:t>
            </w:r>
          </w:p>
        </w:tc>
        <w:tc>
          <w:tcPr>
            <w:tcW w:w="7121" w:type="dxa"/>
            <w:vAlign w:val="center"/>
          </w:tcPr>
          <w:p w14:paraId="54A35F12" w14:textId="77777777" w:rsidR="00825F97" w:rsidRDefault="00221FFD">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221FFD">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221FFD">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221FFD">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221FFD">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t>15</w:t>
            </w:r>
          </w:p>
        </w:tc>
        <w:tc>
          <w:tcPr>
            <w:tcW w:w="7121" w:type="dxa"/>
          </w:tcPr>
          <w:p w14:paraId="708D4D0E" w14:textId="77777777" w:rsidR="00825F97" w:rsidRDefault="00221FFD">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221FFD">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t>D</w:t>
            </w:r>
            <w:r>
              <w:rPr>
                <w:rFonts w:eastAsiaTheme="minorEastAsia"/>
                <w:lang w:eastAsia="zh-CN"/>
              </w:rPr>
              <w:t>CM, ZTE</w:t>
            </w:r>
            <w:ins w:id="3" w:author="Nadisanka Rupasinghe" w:date="2020-05-25T14:34:00Z">
              <w:r w:rsidR="00ED71A1">
                <w:rPr>
                  <w:rFonts w:eastAsiaTheme="minorEastAsia"/>
                  <w:lang w:eastAsia="zh-CN"/>
                </w:rPr>
                <w:t>, 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t>16</w:t>
            </w:r>
          </w:p>
        </w:tc>
        <w:tc>
          <w:tcPr>
            <w:tcW w:w="7121" w:type="dxa"/>
          </w:tcPr>
          <w:p w14:paraId="62871AAE" w14:textId="77777777" w:rsidR="00825F97" w:rsidRDefault="00221FFD">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221FFD">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4" w:author="Nadisanka Rupasinghe" w:date="2020-05-25T14:31:00Z">
                      <w:rPr>
                        <w:rFonts w:ascii="Cambria Math" w:hAnsi="Cambria Math"/>
                        <w:i/>
                        <w:iCs/>
                        <w:sz w:val="18"/>
                      </w:rPr>
                    </w:del>
                  </m:ctrlPr>
                </m:fPr>
                <m:num>
                  <m:r>
                    <w:del w:id="5" w:author="Nadisanka Rupasinghe" w:date="2020-05-25T14:31:00Z">
                      <w:rPr>
                        <w:rFonts w:ascii="Cambria Math" w:hAnsi="Cambria Math"/>
                        <w:sz w:val="18"/>
                      </w:rPr>
                      <m:t>1</m:t>
                    </w:del>
                  </m:r>
                </m:num>
                <m:den>
                  <m:r>
                    <w:del w:id="6" w:author="Nadisanka Rupasinghe" w:date="2020-05-25T14:31:00Z">
                      <w:rPr>
                        <w:rFonts w:ascii="Cambria Math" w:hAnsi="Cambria Math"/>
                        <w:sz w:val="18"/>
                      </w:rPr>
                      <m:t>2</m:t>
                    </w:del>
                  </m:r>
                </m:den>
              </m:f>
              <m:d>
                <m:dPr>
                  <m:begChr m:val="["/>
                  <m:endChr m:val="]"/>
                  <m:ctrlPr>
                    <w:del w:id="7" w:author="Nadisanka Rupasinghe" w:date="2020-05-25T14:31:00Z">
                      <w:rPr>
                        <w:rFonts w:ascii="Cambria Math" w:hAnsi="Cambria Math"/>
                        <w:i/>
                        <w:iCs/>
                        <w:sz w:val="18"/>
                      </w:rPr>
                    </w:del>
                  </m:ctrlPr>
                </m:dPr>
                <m:e>
                  <m:eqArr>
                    <m:eqArrPr>
                      <m:ctrlPr>
                        <w:del w:id="8" w:author="Nadisanka Rupasinghe" w:date="2020-05-25T14:31:00Z">
                          <w:rPr>
                            <w:rFonts w:ascii="Cambria Math" w:hAnsi="Cambria Math"/>
                            <w:i/>
                            <w:iCs/>
                            <w:sz w:val="18"/>
                          </w:rPr>
                        </w:del>
                      </m:ctrlPr>
                    </m:eqArrPr>
                    <m:e>
                      <m:r>
                        <w:del w:id="9" w:author="Nadisanka Rupasinghe" w:date="2020-05-25T14:31:00Z">
                          <w:rPr>
                            <w:rFonts w:ascii="Cambria Math" w:hAnsi="Cambria Math"/>
                            <w:sz w:val="18"/>
                          </w:rPr>
                          <m:t>1</m:t>
                        </w:del>
                      </m:r>
                    </m:e>
                    <m:e>
                      <m:r>
                        <w:del w:id="10" w:author="Nadisanka Rupasinghe" w:date="2020-05-25T14:31:00Z">
                          <w:rPr>
                            <w:rFonts w:ascii="Cambria Math" w:hAnsi="Cambria Math"/>
                            <w:sz w:val="18"/>
                          </w:rPr>
                          <m:t>0</m:t>
                        </w:del>
                      </m:r>
                    </m:e>
                    <m:e>
                      <m:r>
                        <w:del w:id="11" w:author="Nadisanka Rupasinghe" w:date="2020-05-25T14:31:00Z">
                          <w:rPr>
                            <w:rFonts w:ascii="Cambria Math" w:hAnsi="Cambria Math"/>
                            <w:sz w:val="18"/>
                          </w:rPr>
                          <m:t>0</m:t>
                        </w:del>
                      </m:r>
                    </m:e>
                    <m:e>
                      <m:r>
                        <w:del w:id="12" w:author="Nadisanka Rupasinghe" w:date="2020-05-25T14:31:00Z">
                          <w:rPr>
                            <w:rFonts w:ascii="Cambria Math" w:hAnsi="Cambria Math"/>
                            <w:sz w:val="18"/>
                          </w:rPr>
                          <m:t>0</m:t>
                        </w:del>
                      </m:r>
                    </m:e>
                  </m:eqArr>
                  <m:eqArr>
                    <m:eqArrPr>
                      <m:ctrlPr>
                        <w:del w:id="13" w:author="Nadisanka Rupasinghe" w:date="2020-05-25T14:31:00Z">
                          <w:rPr>
                            <w:rFonts w:ascii="Cambria Math" w:hAnsi="Cambria Math"/>
                            <w:i/>
                            <w:iCs/>
                            <w:sz w:val="18"/>
                          </w:rPr>
                        </w:del>
                      </m:ctrlPr>
                    </m:eqArrPr>
                    <m:e>
                      <m:r>
                        <w:del w:id="14" w:author="Nadisanka Rupasinghe" w:date="2020-05-25T14:31:00Z">
                          <w:rPr>
                            <w:rFonts w:ascii="Cambria Math" w:hAnsi="Cambria Math"/>
                            <w:sz w:val="18"/>
                          </w:rPr>
                          <m:t>0</m:t>
                        </w:del>
                      </m:r>
                    </m:e>
                    <m:e>
                      <m:r>
                        <w:del w:id="15" w:author="Nadisanka Rupasinghe" w:date="2020-05-25T14:31:00Z">
                          <w:rPr>
                            <w:rFonts w:ascii="Cambria Math" w:hAnsi="Cambria Math"/>
                            <w:sz w:val="18"/>
                          </w:rPr>
                          <m:t>0</m:t>
                        </w:del>
                      </m:r>
                    </m:e>
                    <m:e>
                      <m:r>
                        <w:del w:id="16" w:author="Nadisanka Rupasinghe" w:date="2020-05-25T14:31:00Z">
                          <w:rPr>
                            <w:rFonts w:ascii="Cambria Math" w:hAnsi="Cambria Math"/>
                            <w:sz w:val="18"/>
                          </w:rPr>
                          <m:t>1</m:t>
                        </w:del>
                      </m:r>
                    </m:e>
                    <m:e>
                      <m:r>
                        <w:del w:id="17"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221FFD">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t>D</w:t>
            </w:r>
            <w:r>
              <w:rPr>
                <w:rFonts w:eastAsiaTheme="minorEastAsia"/>
                <w:lang w:eastAsia="zh-CN"/>
              </w:rPr>
              <w:t>CM,</w:t>
            </w:r>
            <w:r>
              <w:rPr>
                <w:rFonts w:eastAsiaTheme="minorEastAsia" w:hint="eastAsia"/>
                <w:lang w:eastAsia="zh-CN"/>
              </w:rPr>
              <w:t xml:space="preserve"> O</w:t>
            </w:r>
            <w:r>
              <w:rPr>
                <w:rFonts w:eastAsiaTheme="minorEastAsia"/>
                <w:lang w:eastAsia="zh-CN"/>
              </w:rPr>
              <w:t>PPO,</w:t>
            </w:r>
            <w:commentRangeStart w:id="18"/>
            <w:r>
              <w:rPr>
                <w:rFonts w:eastAsiaTheme="minorEastAsia" w:hint="eastAsia"/>
                <w:lang w:eastAsia="zh-CN"/>
              </w:rPr>
              <w:t>ZTE</w:t>
            </w:r>
            <w:commentRangeEnd w:id="18"/>
            <w:r w:rsidR="007D6E92">
              <w:rPr>
                <w:rStyle w:val="af2"/>
              </w:rPr>
              <w:commentReference w:id="18"/>
            </w:r>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t>18</w:t>
            </w:r>
          </w:p>
        </w:tc>
        <w:tc>
          <w:tcPr>
            <w:tcW w:w="7121" w:type="dxa"/>
          </w:tcPr>
          <w:p w14:paraId="72148AAB" w14:textId="77777777" w:rsidR="00825F97" w:rsidRDefault="00221FFD">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221FFD">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19" w:author="Nadisanka Rupasinghe" w:date="2020-05-25T14:32:00Z">
                      <w:rPr>
                        <w:rFonts w:ascii="Cambria Math" w:hAnsi="Cambria Math"/>
                        <w:iCs/>
                      </w:rPr>
                    </w:del>
                  </m:ctrlPr>
                </m:fPr>
                <m:num>
                  <m:r>
                    <w:del w:id="20" w:author="Nadisanka Rupasinghe" w:date="2020-05-25T14:32:00Z">
                      <w:rPr>
                        <w:rFonts w:ascii="Cambria Math" w:hAnsi="Cambria Math"/>
                      </w:rPr>
                      <m:t>1</m:t>
                    </w:del>
                  </m:r>
                </m:num>
                <m:den>
                  <m:r>
                    <w:del w:id="21" w:author="Nadisanka Rupasinghe" w:date="2020-05-25T14:32:00Z">
                      <w:rPr>
                        <w:rFonts w:ascii="Cambria Math" w:hAnsi="Cambria Math"/>
                      </w:rPr>
                      <m:t>2</m:t>
                    </w:del>
                  </m:r>
                </m:den>
              </m:f>
              <m:d>
                <m:dPr>
                  <m:begChr m:val="["/>
                  <m:endChr m:val="]"/>
                  <m:ctrlPr>
                    <w:del w:id="22" w:author="Nadisanka Rupasinghe" w:date="2020-05-25T14:32:00Z">
                      <w:rPr>
                        <w:rFonts w:ascii="Cambria Math" w:hAnsi="Cambria Math"/>
                        <w:i/>
                        <w:iCs/>
                      </w:rPr>
                    </w:del>
                  </m:ctrlPr>
                </m:dPr>
                <m:e>
                  <m:m>
                    <m:mPr>
                      <m:mcs>
                        <m:mc>
                          <m:mcPr>
                            <m:count m:val="1"/>
                            <m:mcJc m:val="center"/>
                          </m:mcPr>
                        </m:mc>
                      </m:mcs>
                      <m:ctrlPr>
                        <w:del w:id="23" w:author="Nadisanka Rupasinghe" w:date="2020-05-25T14:32:00Z">
                          <w:rPr>
                            <w:rFonts w:ascii="Cambria Math" w:hAnsi="Cambria Math"/>
                            <w:i/>
                            <w:iCs/>
                          </w:rPr>
                        </w:del>
                      </m:ctrlPr>
                    </m:mPr>
                    <m:mr>
                      <m:e>
                        <m:r>
                          <w:del w:id="24" w:author="Nadisanka Rupasinghe" w:date="2020-05-25T14:32:00Z">
                            <w:rPr>
                              <w:rFonts w:ascii="Cambria Math" w:hAnsi="Cambria Math"/>
                            </w:rPr>
                            <m:t>0</m:t>
                          </w:del>
                        </m:r>
                      </m:e>
                    </m:mr>
                    <m:mr>
                      <m:e>
                        <m:r>
                          <w:del w:id="25" w:author="Nadisanka Rupasinghe" w:date="2020-05-25T14:32:00Z">
                            <w:rPr>
                              <w:rFonts w:ascii="Cambria Math" w:hAnsi="Cambria Math"/>
                            </w:rPr>
                            <m:t>1</m:t>
                          </w:del>
                        </m:r>
                      </m:e>
                    </m:mr>
                    <m:mr>
                      <m:e>
                        <m:r>
                          <w:del w:id="26" w:author="Nadisanka Rupasinghe" w:date="2020-05-25T14:32:00Z">
                            <w:rPr>
                              <w:rFonts w:ascii="Cambria Math" w:hAnsi="Cambria Math"/>
                            </w:rPr>
                            <m:t>0</m:t>
                          </w:del>
                        </m:r>
                      </m:e>
                    </m:mr>
                    <m:mr>
                      <m:e>
                        <m:r>
                          <w:del w:id="27" w:author="Nadisanka Rupasinghe" w:date="2020-05-25T14:32:00Z">
                            <w:rPr>
                              <w:rFonts w:ascii="Cambria Math" w:hAnsi="Cambria Math"/>
                            </w:rPr>
                            <m:t>-1</m:t>
                          </w:del>
                        </m:r>
                      </m:e>
                    </m:mr>
                  </m:m>
                </m:e>
              </m:d>
            </m:oMath>
          </w:p>
          <w:p w14:paraId="667EF4EA" w14:textId="77777777" w:rsidR="00825F97" w:rsidRDefault="00221FFD">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lastRenderedPageBreak/>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221FFD">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8" w:author="Nadisanka Rupasinghe" w:date="2020-05-25T14:34:00Z">
                      <w:rPr>
                        <w:rFonts w:ascii="Cambria Math" w:hAnsi="Cambria Math"/>
                        <w:i/>
                        <w:iCs/>
                        <w:sz w:val="18"/>
                      </w:rPr>
                    </w:del>
                  </m:ctrlPr>
                </m:fPr>
                <m:num>
                  <m:r>
                    <w:del w:id="29" w:author="Nadisanka Rupasinghe" w:date="2020-05-25T14:34:00Z">
                      <w:rPr>
                        <w:rFonts w:ascii="Cambria Math" w:hAnsi="Cambria Math"/>
                        <w:sz w:val="18"/>
                      </w:rPr>
                      <m:t>1</m:t>
                    </w:del>
                  </m:r>
                </m:num>
                <m:den>
                  <m:r>
                    <w:del w:id="30" w:author="Nadisanka Rupasinghe" w:date="2020-05-25T14:34:00Z">
                      <w:rPr>
                        <w:rFonts w:ascii="Cambria Math" w:hAnsi="Cambria Math"/>
                        <w:sz w:val="18"/>
                      </w:rPr>
                      <m:t>2</m:t>
                    </w:del>
                  </m:r>
                </m:den>
              </m:f>
              <m:d>
                <m:dPr>
                  <m:begChr m:val="["/>
                  <m:endChr m:val="]"/>
                  <m:ctrlPr>
                    <w:del w:id="31" w:author="Nadisanka Rupasinghe" w:date="2020-05-25T14:33:00Z">
                      <w:rPr>
                        <w:rFonts w:ascii="Cambria Math" w:hAnsi="Cambria Math"/>
                        <w:i/>
                        <w:iCs/>
                        <w:sz w:val="18"/>
                      </w:rPr>
                    </w:del>
                  </m:ctrlPr>
                </m:dPr>
                <m:e>
                  <m:eqArr>
                    <m:eqArrPr>
                      <m:ctrlPr>
                        <w:del w:id="32" w:author="Nadisanka Rupasinghe" w:date="2020-05-25T14:33:00Z">
                          <w:rPr>
                            <w:rFonts w:ascii="Cambria Math" w:hAnsi="Cambria Math"/>
                            <w:i/>
                            <w:iCs/>
                            <w:sz w:val="18"/>
                          </w:rPr>
                        </w:del>
                      </m:ctrlPr>
                    </m:eqArrPr>
                    <m:e>
                      <m:r>
                        <w:del w:id="33" w:author="Nadisanka Rupasinghe" w:date="2020-05-25T14:33:00Z">
                          <w:rPr>
                            <w:rFonts w:ascii="Cambria Math" w:hAnsi="Cambria Math"/>
                            <w:sz w:val="18"/>
                          </w:rPr>
                          <m:t>1</m:t>
                        </w:del>
                      </m:r>
                    </m:e>
                    <m:e>
                      <m:r>
                        <w:del w:id="34" w:author="Nadisanka Rupasinghe" w:date="2020-05-25T14:33:00Z">
                          <w:rPr>
                            <w:rFonts w:ascii="Cambria Math" w:hAnsi="Cambria Math"/>
                            <w:sz w:val="18"/>
                          </w:rPr>
                          <m:t>0</m:t>
                        </w:del>
                      </m:r>
                    </m:e>
                    <m:e>
                      <m:r>
                        <w:del w:id="35" w:author="Nadisanka Rupasinghe" w:date="2020-05-25T14:33:00Z">
                          <w:rPr>
                            <w:rFonts w:ascii="Cambria Math" w:hAnsi="Cambria Math"/>
                            <w:sz w:val="18"/>
                          </w:rPr>
                          <m:t>0</m:t>
                        </w:del>
                      </m:r>
                    </m:e>
                    <m:e>
                      <m:r>
                        <w:del w:id="36" w:author="Nadisanka Rupasinghe" w:date="2020-05-25T14:33:00Z">
                          <w:rPr>
                            <w:rFonts w:ascii="Cambria Math" w:hAnsi="Cambria Math"/>
                            <w:sz w:val="18"/>
                          </w:rPr>
                          <m:t>0</m:t>
                        </w:del>
                      </m:r>
                    </m:e>
                  </m:eqArr>
                  <m:eqArr>
                    <m:eqArrPr>
                      <m:ctrlPr>
                        <w:del w:id="37" w:author="Nadisanka Rupasinghe" w:date="2020-05-25T14:33:00Z">
                          <w:rPr>
                            <w:rFonts w:ascii="Cambria Math" w:hAnsi="Cambria Math"/>
                            <w:i/>
                            <w:iCs/>
                            <w:sz w:val="18"/>
                          </w:rPr>
                        </w:del>
                      </m:ctrlPr>
                    </m:eqArrPr>
                    <m:e>
                      <m:r>
                        <w:del w:id="38" w:author="Nadisanka Rupasinghe" w:date="2020-05-25T14:33:00Z">
                          <w:rPr>
                            <w:rFonts w:ascii="Cambria Math" w:hAnsi="Cambria Math"/>
                            <w:sz w:val="18"/>
                          </w:rPr>
                          <m:t>0</m:t>
                        </w:del>
                      </m:r>
                    </m:e>
                    <m:e>
                      <m:r>
                        <w:del w:id="39" w:author="Nadisanka Rupasinghe" w:date="2020-05-25T14:33:00Z">
                          <w:rPr>
                            <w:rFonts w:ascii="Cambria Math" w:hAnsi="Cambria Math"/>
                            <w:sz w:val="18"/>
                          </w:rPr>
                          <m:t>1</m:t>
                        </w:del>
                      </m:r>
                    </m:e>
                    <m:e>
                      <m:r>
                        <w:del w:id="40" w:author="Nadisanka Rupasinghe" w:date="2020-05-25T14:33:00Z">
                          <w:rPr>
                            <w:rFonts w:ascii="Cambria Math" w:hAnsi="Cambria Math"/>
                            <w:sz w:val="18"/>
                          </w:rPr>
                          <m:t>0</m:t>
                        </w:del>
                      </m:r>
                    </m:e>
                    <m:e>
                      <m:r>
                        <w:del w:id="41" w:author="Nadisanka Rupasinghe" w:date="2020-05-25T14:33:00Z">
                          <w:rPr>
                            <w:rFonts w:ascii="Cambria Math" w:hAnsi="Cambria Math"/>
                            <w:sz w:val="18"/>
                          </w:rPr>
                          <m:t>0</m:t>
                        </w:del>
                      </m:r>
                    </m:e>
                  </m:eqArr>
                </m:e>
              </m:d>
            </m:oMath>
            <w:del w:id="42"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221FFD">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3"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221FFD">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221FFD">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 xml:space="preserve">MCC, </w:t>
            </w:r>
            <w:commentRangeStart w:id="44"/>
            <w:r>
              <w:rPr>
                <w:rFonts w:eastAsiaTheme="minorEastAsia"/>
                <w:lang w:eastAsia="zh-CN"/>
              </w:rPr>
              <w:t>LG</w:t>
            </w:r>
            <w:commentRangeEnd w:id="44"/>
            <w:r w:rsidR="00ED71A1">
              <w:rPr>
                <w:rStyle w:val="af2"/>
              </w:rPr>
              <w:commentReference w:id="44"/>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221FFD">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221FFD">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t>C</w:t>
            </w:r>
            <w:r>
              <w:rPr>
                <w:rFonts w:eastAsiaTheme="minorEastAsia"/>
                <w:lang w:eastAsia="zh-CN"/>
              </w:rPr>
              <w:t xml:space="preserve">MCC, </w:t>
            </w:r>
            <w:commentRangeStart w:id="45"/>
            <w:r>
              <w:rPr>
                <w:rFonts w:eastAsiaTheme="minorEastAsia"/>
                <w:lang w:eastAsia="zh-CN"/>
              </w:rPr>
              <w:t>LG</w:t>
            </w:r>
            <w:commentRangeEnd w:id="45"/>
            <w:r w:rsidR="00ED71A1">
              <w:rPr>
                <w:rStyle w:val="af2"/>
              </w:rPr>
              <w:commentReference w:id="45"/>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t>22</w:t>
            </w:r>
          </w:p>
        </w:tc>
        <w:tc>
          <w:tcPr>
            <w:tcW w:w="7121" w:type="dxa"/>
            <w:vAlign w:val="center"/>
          </w:tcPr>
          <w:p w14:paraId="41DB3947" w14:textId="77777777" w:rsidR="00825F97" w:rsidRDefault="00221FFD">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bookmarkStart w:id="46" w:name="_GoBack"/>
            <w:bookmarkEnd w:id="46"/>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221FFD">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221FFD">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t>26</w:t>
            </w:r>
          </w:p>
        </w:tc>
        <w:tc>
          <w:tcPr>
            <w:tcW w:w="7121" w:type="dxa"/>
          </w:tcPr>
          <w:p w14:paraId="637339BE" w14:textId="13F135DB" w:rsidR="00ED0E67" w:rsidRDefault="00221FFD"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宋体"/>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a0"/>
        <w:snapToGrid w:val="0"/>
        <w:spacing w:afterLines="50"/>
        <w:contextualSpacing/>
        <w:rPr>
          <w:rFonts w:eastAsia="宋体"/>
          <w:bCs/>
          <w:lang w:eastAsia="zh-CN"/>
        </w:rPr>
      </w:pPr>
    </w:p>
    <w:sectPr w:rsidR="00825F97">
      <w:headerReference w:type="default" r:id="rId26"/>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d Saifur Rahman/Communication Standards /SRA/Staff Engineer/Samsung Electronics (STA)" w:date="2020-05-25T15:03:00Z" w:initials="MSRS/E">
    <w:p w14:paraId="6586FA2C" w14:textId="230565A8" w:rsidR="00421058" w:rsidRDefault="00421058">
      <w:pPr>
        <w:pStyle w:val="a6"/>
      </w:pPr>
      <w:r>
        <w:rPr>
          <w:rStyle w:val="af2"/>
        </w:rPr>
        <w:annotationRef/>
      </w:r>
      <w:r>
        <w:t>Alt2 is not within the scope of the email thread (discussion is limited to the need for additional TPMI groups). It also breaks the following agreement made in RAN#99.</w:t>
      </w:r>
    </w:p>
    <w:p w14:paraId="06384567" w14:textId="77777777" w:rsidR="00421058" w:rsidRPr="00645E28" w:rsidRDefault="00421058" w:rsidP="003E2A85">
      <w:pPr>
        <w:spacing w:after="0"/>
        <w:rPr>
          <w:rFonts w:cs="Times"/>
          <w:b/>
          <w:bCs/>
          <w:highlight w:val="green"/>
          <w:lang w:eastAsia="x-none"/>
        </w:rPr>
      </w:pPr>
      <w:r w:rsidRPr="00645E28">
        <w:rPr>
          <w:rFonts w:cs="Times"/>
          <w:b/>
          <w:bCs/>
          <w:highlight w:val="green"/>
          <w:lang w:eastAsia="x-none"/>
        </w:rPr>
        <w:t>Agreement</w:t>
      </w:r>
    </w:p>
    <w:p w14:paraId="37CB249C" w14:textId="77777777" w:rsidR="00421058" w:rsidRPr="00645E28" w:rsidRDefault="00421058" w:rsidP="003E2A85">
      <w:pPr>
        <w:spacing w:after="0"/>
        <w:rPr>
          <w:rFonts w:cs="Times"/>
          <w:lang w:eastAsia="x-none"/>
        </w:rPr>
      </w:pPr>
      <w:r w:rsidRPr="00645E28">
        <w:rPr>
          <w:rFonts w:cs="Times"/>
        </w:rPr>
        <w:t>For 4 ports, number of bits to indicate TPMI(s) which can deliver UL full power:</w:t>
      </w:r>
    </w:p>
    <w:p w14:paraId="07484440" w14:textId="77777777" w:rsidR="00421058" w:rsidRPr="00645E28" w:rsidRDefault="00421058" w:rsidP="003E2A85">
      <w:pPr>
        <w:pStyle w:val="af4"/>
        <w:numPr>
          <w:ilvl w:val="1"/>
          <w:numId w:val="19"/>
        </w:numPr>
        <w:spacing w:after="0"/>
        <w:ind w:firstLineChars="0"/>
        <w:rPr>
          <w:rFonts w:cs="Times"/>
          <w:sz w:val="20"/>
        </w:rPr>
      </w:pPr>
      <w:r w:rsidRPr="00645E28">
        <w:rPr>
          <w:rFonts w:cs="Times"/>
          <w:sz w:val="20"/>
        </w:rPr>
        <w:t>Non Coherent 2 bits</w:t>
      </w:r>
    </w:p>
    <w:p w14:paraId="7A6EFAFA" w14:textId="77777777" w:rsidR="00421058" w:rsidRPr="00645E28" w:rsidRDefault="00421058" w:rsidP="003E2A85">
      <w:pPr>
        <w:pStyle w:val="af4"/>
        <w:numPr>
          <w:ilvl w:val="1"/>
          <w:numId w:val="19"/>
        </w:numPr>
        <w:spacing w:after="0"/>
        <w:ind w:firstLineChars="0"/>
        <w:rPr>
          <w:rFonts w:cs="Times"/>
          <w:sz w:val="20"/>
        </w:rPr>
      </w:pPr>
      <w:r w:rsidRPr="00645E28">
        <w:rPr>
          <w:rFonts w:cs="Times"/>
          <w:sz w:val="20"/>
        </w:rPr>
        <w:t>Partial coherent 4 bits</w:t>
      </w:r>
    </w:p>
    <w:p w14:paraId="0E9F3DB6" w14:textId="77777777" w:rsidR="00421058" w:rsidRPr="00645E28" w:rsidRDefault="00421058" w:rsidP="003E2A85">
      <w:pPr>
        <w:pStyle w:val="af4"/>
        <w:numPr>
          <w:ilvl w:val="2"/>
          <w:numId w:val="19"/>
        </w:numPr>
        <w:spacing w:after="0"/>
        <w:ind w:firstLineChars="0"/>
        <w:rPr>
          <w:rFonts w:cs="Times"/>
          <w:sz w:val="20"/>
        </w:rPr>
      </w:pPr>
      <w:r w:rsidRPr="00645E28">
        <w:rPr>
          <w:rFonts w:cs="Times"/>
          <w:sz w:val="20"/>
        </w:rPr>
        <w:t>Additional entries on top of existing entries may be added to table 1 and table 2</w:t>
      </w:r>
    </w:p>
    <w:p w14:paraId="0E0F3062" w14:textId="77777777" w:rsidR="00421058" w:rsidRPr="003E2A85" w:rsidRDefault="00421058" w:rsidP="003E2A85">
      <w:pPr>
        <w:pStyle w:val="af4"/>
        <w:numPr>
          <w:ilvl w:val="1"/>
          <w:numId w:val="19"/>
        </w:numPr>
        <w:spacing w:after="0"/>
        <w:ind w:firstLineChars="0"/>
        <w:rPr>
          <w:rFonts w:cs="Times"/>
          <w:sz w:val="20"/>
        </w:rPr>
      </w:pPr>
      <w:r w:rsidRPr="00645E28">
        <w:rPr>
          <w:rFonts w:cs="Times"/>
          <w:sz w:val="20"/>
        </w:rPr>
        <w:t>Whether is this capability reporting is optional or not will be discussed as part of UE capability discussions</w:t>
      </w:r>
    </w:p>
  </w:comment>
  <w:comment w:id="18" w:author="Nadisanka Rupasinghe" w:date="2020-05-25T14:32:00Z" w:initials="NR">
    <w:p w14:paraId="33ACE9FD" w14:textId="30561D48" w:rsidR="00421058" w:rsidRDefault="00421058" w:rsidP="007D6E92">
      <w:pPr>
        <w:pStyle w:val="a6"/>
      </w:pPr>
      <w:r>
        <w:rPr>
          <w:rStyle w:val="af2"/>
        </w:rPr>
        <w:annotationRef/>
      </w:r>
      <w:r>
        <w:t xml:space="preserve">Only difference between group 17 and 18 is, group 17 includes TPMI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t>. Otherwise, both of them are same</w:t>
      </w:r>
    </w:p>
    <w:p w14:paraId="321B2475" w14:textId="56527059" w:rsidR="00421058" w:rsidRDefault="00421058">
      <w:pPr>
        <w:pStyle w:val="a6"/>
      </w:pPr>
    </w:p>
  </w:comment>
  <w:comment w:id="44" w:author="Nadisanka Rupasinghe" w:date="2020-05-25T14:35:00Z" w:initials="NR">
    <w:p w14:paraId="1500F2A9" w14:textId="685257B0" w:rsidR="00421058" w:rsidRDefault="00421058">
      <w:pPr>
        <w:pStyle w:val="a6"/>
      </w:pPr>
      <w:r>
        <w:rPr>
          <w:rStyle w:val="af2"/>
        </w:rPr>
        <w:annotationRef/>
      </w:r>
      <w:r>
        <w:t>Not needed. Same as group 15</w:t>
      </w:r>
    </w:p>
  </w:comment>
  <w:comment w:id="45" w:author="Nadisanka Rupasinghe" w:date="2020-05-25T14:36:00Z" w:initials="NR">
    <w:p w14:paraId="39FAD839" w14:textId="06AE54C5" w:rsidR="00421058" w:rsidRDefault="00421058">
      <w:pPr>
        <w:pStyle w:val="a6"/>
      </w:pPr>
      <w:r>
        <w:rPr>
          <w:rStyle w:val="af2"/>
        </w:rPr>
        <w:annotationRef/>
      </w:r>
      <w:r>
        <w:t>Not needed. Same as group 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0F3062" w15:done="0"/>
  <w15:commentEx w15:paraId="321B2475" w15:done="0"/>
  <w15:commentEx w15:paraId="1500F2A9" w15:done="0"/>
  <w15:commentEx w15:paraId="39FAD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26613" w14:textId="77777777" w:rsidR="00221FFD" w:rsidRDefault="00221FFD">
      <w:pPr>
        <w:spacing w:after="0"/>
      </w:pPr>
      <w:r>
        <w:separator/>
      </w:r>
    </w:p>
  </w:endnote>
  <w:endnote w:type="continuationSeparator" w:id="0">
    <w:p w14:paraId="53A7192E" w14:textId="77777777" w:rsidR="00221FFD" w:rsidRDefault="00221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微软雅黑">
    <w:altName w:val="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428A6" w14:textId="77777777" w:rsidR="00221FFD" w:rsidRDefault="00221FFD">
      <w:pPr>
        <w:spacing w:after="0"/>
      </w:pPr>
      <w:r>
        <w:separator/>
      </w:r>
    </w:p>
  </w:footnote>
  <w:footnote w:type="continuationSeparator" w:id="0">
    <w:p w14:paraId="25C8BCBC" w14:textId="77777777" w:rsidR="00221FFD" w:rsidRDefault="00221F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693C" w14:textId="77777777" w:rsidR="00421058" w:rsidRDefault="0042105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d Saifur Rahman/Communication Standards /SRA/Staff Engineer/Samsung Electronics (STA)">
    <w15:presenceInfo w15:providerId="AD" w15:userId="S-1-5-21-1569490900-2152479555-3239727262-2061743"/>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pPr>
      <w:shd w:val="clear" w:color="auto" w:fill="000080"/>
    </w:pPr>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2"/>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style>
  <w:style w:type="paragraph" w:styleId="ab">
    <w:name w:val="Date"/>
    <w:basedOn w:val="a"/>
    <w:next w:val="a"/>
    <w:link w:val="ac"/>
    <w:qFormat/>
    <w:pPr>
      <w:ind w:leftChars="2500" w:left="100"/>
    </w:pPr>
  </w:style>
  <w:style w:type="paragraph" w:styleId="ad">
    <w:name w:val="Balloon Text"/>
    <w:basedOn w:val="a"/>
    <w:semiHidden/>
    <w:rPr>
      <w:sz w:val="18"/>
      <w:szCs w:val="18"/>
    </w:rPr>
  </w:style>
  <w:style w:type="paragraph" w:styleId="ae">
    <w:name w:val="footer"/>
    <w:basedOn w:val="a"/>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22">
    <w:name w:val="toc 2"/>
    <w:basedOn w:val="12"/>
    <w:next w:val="a"/>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宋体"/>
      <w:szCs w:val="20"/>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1">
    <w:name w:val="Hyperlink"/>
    <w:uiPriority w:val="99"/>
    <w:qFormat/>
    <w:rPr>
      <w:color w:val="0000FF"/>
      <w:u w:val="single"/>
    </w:rPr>
  </w:style>
  <w:style w:type="character" w:styleId="af2">
    <w:name w:val="annotation reference"/>
    <w:qFormat/>
    <w:rPr>
      <w:sz w:val="21"/>
      <w:szCs w:val="21"/>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af0">
    <w:name w:val="页眉 字符"/>
    <w:link w:val="af"/>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4">
    <w:name w:val="List Paragraph"/>
    <w:aliases w:val="- Bullets,リスト段落,?? ??,?????,????,Lista1,中等深浅网格 1 - 着色 21,목록 단락,列表段落,¥¡¡¡¡ì¬º¥¹¥È¶ÎÂä,ÁÐ³ö¶ÎÂä,列表段落1,—ño’i—Ž,¥ê¥¹¥È¶ÎÂä,1st level - Bullet List Paragraph,Lettre d'introduction,Paragrafo elenco,Normal bullet 2,Bullet list,목록단락,列表段落11"/>
    <w:basedOn w:val="a"/>
    <w:link w:val="af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6">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5">
    <w:name w:val="列出段落 字符"/>
    <w:aliases w:val="- Bullets 字符,リスト段落 字符,?? ?? 字符,????? 字符,???? 字符,Lista1 字符,中等深浅网格 1 - 着色 21 字符,목록 단락 字符,列表段落 字符,¥¡¡¡¡ì¬º¥¹¥È¶ÎÂä 字符,ÁÐ³ö¶ÎÂä 字符,列表段落1 字符,—ño’i—Ž 字符,¥ê¥¹¥È¶ÎÂä 字符,1st level - Bullet List Paragraph 字符,Lettre d'introduction 字符,Paragrafo elenco 字符"/>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3">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7">
    <w:name w:val="Placeholder Text"/>
    <w:basedOn w:val="a1"/>
    <w:uiPriority w:val="99"/>
    <w:semiHidden/>
    <w:rPr>
      <w:color w:val="808080"/>
    </w:rPr>
  </w:style>
  <w:style w:type="character" w:customStyle="1" w:styleId="af8">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a"/>
    <w:qFormat/>
    <w:pPr>
      <w:numPr>
        <w:numId w:val="12"/>
      </w:numPr>
      <w:autoSpaceDE w:val="0"/>
      <w:autoSpaceDN w:val="0"/>
      <w:snapToGrid w:val="0"/>
      <w:spacing w:after="60"/>
    </w:pPr>
    <w:rPr>
      <w:rFonts w:eastAsia="宋体"/>
      <w:szCs w:val="16"/>
    </w:rPr>
  </w:style>
  <w:style w:type="paragraph" w:customStyle="1" w:styleId="LGTdoc1">
    <w:name w:val="LGTdoc_제목1"/>
    <w:basedOn w:val="a"/>
    <w:qFormat/>
    <w:pPr>
      <w:adjustRightInd w:val="0"/>
      <w:snapToGrid w:val="0"/>
      <w:spacing w:beforeLines="50" w:before="120" w:after="100" w:afterAutospacing="1"/>
    </w:pPr>
    <w:rPr>
      <w:rFonts w:eastAsia="Batang"/>
      <w:b/>
      <w:snapToGrid w:val="0"/>
      <w:sz w:val="28"/>
      <w:szCs w:val="20"/>
      <w:lang w:val="en-GB" w:eastAsia="ko-KR"/>
    </w:rPr>
  </w:style>
  <w:style w:type="paragraph" w:styleId="af9">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cid:image001.jpg@01D62FC0.6F7233F0"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6EFCC-933A-4A3A-B6B7-3B62C884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Zhihua Shi</cp:lastModifiedBy>
  <cp:revision>5</cp:revision>
  <cp:lastPrinted>2011-08-03T09:36:00Z</cp:lastPrinted>
  <dcterms:created xsi:type="dcterms:W3CDTF">2020-05-26T03:09:00Z</dcterms:created>
  <dcterms:modified xsi:type="dcterms:W3CDTF">2020-05-26T03:55:00Z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