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A499"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0E047D84"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5D4FF510" w14:textId="77777777" w:rsidR="00A04D9F" w:rsidRDefault="00A04D9F">
      <w:pPr>
        <w:pStyle w:val="Header"/>
        <w:tabs>
          <w:tab w:val="left" w:pos="1800"/>
        </w:tabs>
        <w:ind w:left="1800" w:hanging="1800"/>
        <w:rPr>
          <w:rFonts w:eastAsia="SimSun"/>
          <w:sz w:val="22"/>
          <w:lang w:eastAsia="zh-CN"/>
        </w:rPr>
      </w:pPr>
    </w:p>
    <w:p w14:paraId="5F7944EC" w14:textId="77777777" w:rsidR="00A04D9F" w:rsidRDefault="002B3FD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A55F0F8" w14:textId="77777777" w:rsidR="00A04D9F" w:rsidRDefault="002B3FD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Issue#b-10</w:t>
      </w:r>
      <w:r>
        <w:rPr>
          <w:rFonts w:eastAsia="SimSun"/>
          <w:sz w:val="22"/>
          <w:lang w:eastAsia="zh-CN"/>
        </w:rPr>
        <w:t xml:space="preserve"> in Email Thread 3</w:t>
      </w:r>
    </w:p>
    <w:p w14:paraId="5E0A2EC3" w14:textId="77777777" w:rsidR="00A04D9F" w:rsidRDefault="002B3FD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47B0D26B" w14:textId="77777777" w:rsidR="00A04D9F" w:rsidRDefault="002B3FDB">
      <w:pPr>
        <w:pStyle w:val="Header"/>
        <w:tabs>
          <w:tab w:val="left" w:pos="1800"/>
        </w:tabs>
        <w:spacing w:line="288" w:lineRule="auto"/>
        <w:rPr>
          <w:sz w:val="22"/>
        </w:rPr>
      </w:pPr>
      <w:r>
        <w:rPr>
          <w:sz w:val="22"/>
        </w:rPr>
        <w:t>Document for:</w:t>
      </w:r>
      <w:r>
        <w:rPr>
          <w:sz w:val="22"/>
        </w:rPr>
        <w:tab/>
        <w:t>Discussion and Decision</w:t>
      </w:r>
    </w:p>
    <w:p w14:paraId="65853C12" w14:textId="77777777" w:rsidR="00A04D9F" w:rsidRDefault="00A04D9F">
      <w:pPr>
        <w:pBdr>
          <w:bottom w:val="single" w:sz="4" w:space="1" w:color="auto"/>
        </w:pBdr>
        <w:tabs>
          <w:tab w:val="left" w:pos="2552"/>
        </w:tabs>
      </w:pPr>
    </w:p>
    <w:p w14:paraId="435E5947" w14:textId="77777777" w:rsidR="00A04D9F" w:rsidRDefault="002B3FDB">
      <w:pPr>
        <w:pStyle w:val="01"/>
        <w:numPr>
          <w:ilvl w:val="0"/>
          <w:numId w:val="1"/>
        </w:numPr>
        <w:ind w:left="562" w:hanging="562"/>
      </w:pPr>
      <w:r>
        <w:t>Introduction</w:t>
      </w:r>
    </w:p>
    <w:p w14:paraId="1593D15C" w14:textId="77777777" w:rsidR="00A04D9F" w:rsidRDefault="00A04D9F">
      <w:pPr>
        <w:pStyle w:val="06subTitle"/>
      </w:pPr>
    </w:p>
    <w:p w14:paraId="62D384B8" w14:textId="77777777" w:rsidR="00A04D9F" w:rsidRDefault="002B3FD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#b-10 in multi-TRP email thread 3:</w:t>
      </w:r>
    </w:p>
    <w:p w14:paraId="67977FED" w14:textId="77777777" w:rsidR="00A04D9F" w:rsidRDefault="002B3FDB">
      <w:pPr>
        <w:pStyle w:val="ListParagraph"/>
        <w:numPr>
          <w:ilvl w:val="0"/>
          <w:numId w:val="7"/>
        </w:numPr>
        <w:rPr>
          <w:color w:val="000000"/>
          <w:shd w:val="clear" w:color="auto" w:fill="FFFFFF"/>
        </w:rPr>
      </w:pPr>
      <w:r>
        <w:rPr>
          <w:color w:val="000000"/>
          <w:shd w:val="clear" w:color="auto" w:fill="FFFFFF"/>
        </w:rPr>
        <w:t xml:space="preserve">Issue #b-10 to correct Description on QCL of DMRS ports of M-TRP PDSCH in 38.211  </w:t>
      </w:r>
    </w:p>
    <w:p w14:paraId="3A139551" w14:textId="77777777" w:rsidR="00A04D9F" w:rsidRPr="00056EB5" w:rsidRDefault="00A04D9F">
      <w:pPr>
        <w:pStyle w:val="00Text"/>
      </w:pPr>
    </w:p>
    <w:p w14:paraId="1C5425AF" w14:textId="77777777" w:rsidR="00A04D9F" w:rsidRDefault="002B3FDB">
      <w:pPr>
        <w:pStyle w:val="Heading1"/>
      </w:pPr>
      <w:r>
        <w:rPr>
          <w:rFonts w:ascii="Arial" w:hAnsi="Arial"/>
        </w:rPr>
        <w:t xml:space="preserve">Issue#b-10: Description on QCL of DMRS ports of M-TRP PDSCH in 38.211  </w:t>
      </w:r>
    </w:p>
    <w:p w14:paraId="63367B92" w14:textId="77777777" w:rsidR="00A04D9F" w:rsidRDefault="00A04D9F">
      <w:pPr>
        <w:pStyle w:val="BodyText"/>
      </w:pPr>
    </w:p>
    <w:p w14:paraId="3C2F7771" w14:textId="77777777" w:rsidR="00A04D9F" w:rsidRDefault="002B3FDB">
      <w:pPr>
        <w:pStyle w:val="00Text"/>
      </w:pPr>
      <w:r>
        <w:rPr>
          <w:b/>
          <w:bCs/>
          <w:u w:val="single"/>
        </w:rPr>
        <w:t>Reason for changes</w:t>
      </w:r>
      <w:r>
        <w:t xml:space="preserve">: </w:t>
      </w:r>
    </w:p>
    <w:p w14:paraId="0405F702" w14:textId="77777777" w:rsidR="00A04D9F" w:rsidRDefault="002B3FDB">
      <w:pPr>
        <w:pStyle w:val="00Text"/>
      </w:pPr>
      <w:r>
        <w:t xml:space="preserve">In current specification TS 38.211, we have the following </w:t>
      </w:r>
      <w:r>
        <w:rPr>
          <w:highlight w:val="yellow"/>
        </w:rPr>
        <w:t>description</w:t>
      </w:r>
      <w:r>
        <w:t xml:space="preserve"> on DMRS in Section 7.4.1.1.2:</w:t>
      </w:r>
    </w:p>
    <w:tbl>
      <w:tblPr>
        <w:tblStyle w:val="TableGrid"/>
        <w:tblW w:w="9288" w:type="dxa"/>
        <w:tblLayout w:type="fixed"/>
        <w:tblLook w:val="04A0" w:firstRow="1" w:lastRow="0" w:firstColumn="1" w:lastColumn="0" w:noHBand="0" w:noVBand="1"/>
      </w:tblPr>
      <w:tblGrid>
        <w:gridCol w:w="9288"/>
      </w:tblGrid>
      <w:tr w:rsidR="00A04D9F" w14:paraId="4AFB8C41" w14:textId="77777777">
        <w:tc>
          <w:tcPr>
            <w:tcW w:w="9288" w:type="dxa"/>
          </w:tcPr>
          <w:p w14:paraId="73E1A9BE" w14:textId="77777777" w:rsidR="00A04D9F" w:rsidRDefault="002B3FDB">
            <w:pPr>
              <w:rPr>
                <w:szCs w:val="20"/>
              </w:rPr>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r>
              <w:rPr>
                <w:highlight w:val="yellow"/>
              </w:rPr>
              <w:t>The UE may assume that DMRS ports associated with a PDSCH are QCL with QCL Type A, Type D (when applicable) and average gain</w:t>
            </w:r>
            <w:r>
              <w:t>.</w:t>
            </w:r>
          </w:p>
          <w:p w14:paraId="3339C9B2" w14:textId="77777777" w:rsidR="00A04D9F" w:rsidRDefault="00A04D9F">
            <w:pPr>
              <w:pStyle w:val="00Text"/>
            </w:pPr>
          </w:p>
        </w:tc>
      </w:tr>
    </w:tbl>
    <w:p w14:paraId="2F40643E" w14:textId="77777777" w:rsidR="00A04D9F" w:rsidRDefault="002B3FDB">
      <w:pPr>
        <w:pStyle w:val="00Text"/>
      </w:pPr>
      <w:r>
        <w:t>That description can only apply to UE when a PDSCH associated with one TCI-state, for instance, single TRP transmission in rel-15. In contrast such restriction in the description does not apply some multi-TRP transmission.  Contributions [4] and [12] discussed this issue and proposed TP to correct.</w:t>
      </w:r>
    </w:p>
    <w:p w14:paraId="54527511" w14:textId="77777777" w:rsidR="00A04D9F" w:rsidRDefault="002B3FDB">
      <w:pPr>
        <w:pStyle w:val="00Text"/>
      </w:pPr>
      <w:r>
        <w:t>[4] suggests that the QCL assumption of DMRS ports is mainly described in TS 38.214 for both single and multiple TCI states. Thus [4] suggests to remove that sentence in TS 38.211.  Furthermore [4] proposes an editorial change that adds the phrase “when applicable”. The TP proposed by [4] is listed as Alt1 below.</w:t>
      </w:r>
    </w:p>
    <w:p w14:paraId="7A61DF25" w14:textId="77777777" w:rsidR="00A04D9F" w:rsidRDefault="002B3FDB">
      <w:pPr>
        <w:pStyle w:val="00Text"/>
      </w:pPr>
      <w:r>
        <w:t>[12] suggests also that highlighted description does not apply to single-DCI based multi-TRP transmission when two TCI states are indicated for different DMRS ports in one PDSCH. [</w:t>
      </w:r>
      <w:del w:id="0" w:author="Author">
        <w:r>
          <w:rPr>
            <w:rFonts w:hint="eastAsia"/>
          </w:rPr>
          <w:delText>4</w:delText>
        </w:r>
      </w:del>
      <w:ins w:id="1" w:author="Author">
        <w:r>
          <w:rPr>
            <w:rFonts w:hint="eastAsia"/>
          </w:rPr>
          <w:t>12</w:t>
        </w:r>
      </w:ins>
      <w:r>
        <w:t>] suggests to add a condition in the description and [</w:t>
      </w:r>
      <w:del w:id="2" w:author="Author">
        <w:r>
          <w:rPr>
            <w:rFonts w:hint="eastAsia"/>
          </w:rPr>
          <w:delText>4</w:delText>
        </w:r>
      </w:del>
      <w:ins w:id="3" w:author="Author">
        <w:r>
          <w:rPr>
            <w:rFonts w:hint="eastAsia"/>
          </w:rPr>
          <w:t>12</w:t>
        </w:r>
      </w:ins>
      <w:r>
        <w:t>] does not prefer to delete that sentence for backward compatibility to Rel15. The TP proposed by [12] is listed as Alt 2 below.</w:t>
      </w:r>
    </w:p>
    <w:p w14:paraId="17BA83B5" w14:textId="77777777" w:rsidR="00A04D9F" w:rsidRDefault="002B3FDB">
      <w:pPr>
        <w:pStyle w:val="00Text"/>
        <w:rPr>
          <w:b/>
          <w:bCs/>
        </w:rPr>
      </w:pPr>
      <w:r>
        <w:rPr>
          <w:b/>
          <w:bCs/>
        </w:rPr>
        <w:t>Thus, for this issue, we have the following two alternative TPs:</w:t>
      </w:r>
    </w:p>
    <w:p w14:paraId="695B7491" w14:textId="77777777" w:rsidR="00A04D9F" w:rsidRDefault="002B3FDB">
      <w:pPr>
        <w:pStyle w:val="00Text"/>
        <w:numPr>
          <w:ilvl w:val="0"/>
          <w:numId w:val="8"/>
        </w:numPr>
        <w:rPr>
          <w:b/>
          <w:bCs/>
        </w:rPr>
      </w:pPr>
      <w:r>
        <w:rPr>
          <w:b/>
          <w:bCs/>
        </w:rPr>
        <w:t>Alt1: TP proposed by [4] for TS 38.211</w:t>
      </w:r>
    </w:p>
    <w:tbl>
      <w:tblPr>
        <w:tblStyle w:val="TableGrid"/>
        <w:tblW w:w="9288" w:type="dxa"/>
        <w:tblLayout w:type="fixed"/>
        <w:tblLook w:val="04A0" w:firstRow="1" w:lastRow="0" w:firstColumn="1" w:lastColumn="0" w:noHBand="0" w:noVBand="1"/>
      </w:tblPr>
      <w:tblGrid>
        <w:gridCol w:w="9288"/>
      </w:tblGrid>
      <w:tr w:rsidR="00A04D9F" w14:paraId="3E6DE86D" w14:textId="77777777">
        <w:tc>
          <w:tcPr>
            <w:tcW w:w="9288" w:type="dxa"/>
          </w:tcPr>
          <w:p w14:paraId="7493D941" w14:textId="77777777" w:rsidR="00A04D9F" w:rsidRDefault="002B3FDB">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14:paraId="6702991C" w14:textId="77777777" w:rsidR="00A04D9F" w:rsidRDefault="002B3FDB">
            <w:pPr>
              <w:keepNext/>
              <w:keepLines/>
              <w:spacing w:before="120" w:after="180"/>
              <w:ind w:left="1701" w:hanging="1701"/>
              <w:outlineLvl w:val="4"/>
              <w:rPr>
                <w:rFonts w:ascii="Arial" w:hAnsi="Arial"/>
                <w:sz w:val="22"/>
                <w:szCs w:val="20"/>
                <w:lang w:val="en-GB"/>
              </w:rPr>
            </w:pPr>
            <w:bookmarkStart w:id="4" w:name="_Toc29230379"/>
            <w:bookmarkStart w:id="5" w:name="_Toc19796503"/>
            <w:bookmarkStart w:id="6" w:name="_Toc36026638"/>
            <w:bookmarkStart w:id="7" w:name="_Toc26459729"/>
            <w:r>
              <w:rPr>
                <w:rFonts w:ascii="Arial" w:hAnsi="Arial"/>
                <w:sz w:val="22"/>
                <w:szCs w:val="20"/>
                <w:lang w:val="en-GB"/>
              </w:rPr>
              <w:lastRenderedPageBreak/>
              <w:t>7.4.1.1.2</w:t>
            </w:r>
            <w:r>
              <w:rPr>
                <w:rFonts w:ascii="Arial" w:hAnsi="Arial"/>
                <w:sz w:val="22"/>
                <w:szCs w:val="20"/>
                <w:lang w:val="en-GB"/>
              </w:rPr>
              <w:tab/>
              <w:t>Mapping to physical resources</w:t>
            </w:r>
            <w:bookmarkEnd w:id="4"/>
            <w:bookmarkEnd w:id="5"/>
            <w:bookmarkEnd w:id="6"/>
            <w:bookmarkEnd w:id="7"/>
          </w:p>
          <w:p w14:paraId="69B8A2CF"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6B4ABEA8" w14:textId="77777777" w:rsidR="00A04D9F" w:rsidRDefault="002B3FDB">
            <w:pPr>
              <w:pStyle w:val="00Text"/>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w:t>
            </w:r>
            <w:proofErr w:type="gramStart"/>
            <w:r>
              <w:t>Rx</w:t>
            </w:r>
            <w:r>
              <w:rPr>
                <w:rFonts w:eastAsiaTheme="minorEastAsia" w:hint="eastAsia"/>
              </w:rPr>
              <w:t>(</w:t>
            </w:r>
            <w:proofErr w:type="gramEnd"/>
            <w:ins w:id="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9" w:author="Author">
              <w:r>
                <w:delText>The UE may assume that DMRS ports associated with a PDSCH are QCL with QCL Type A, Type D (when applicable) and average gain.</w:delText>
              </w:r>
            </w:del>
            <w:ins w:id="10" w:author="Author">
              <w:r>
                <w:rPr>
                  <w:rFonts w:hint="eastAsia"/>
                </w:rPr>
                <w:t xml:space="preserve"> </w:t>
              </w:r>
            </w:ins>
          </w:p>
          <w:p w14:paraId="2D811C9B" w14:textId="77777777" w:rsidR="00A04D9F" w:rsidRDefault="002B3FDB">
            <w:r>
              <w:t>The UE may assume that no DM-RS collides with the SS/PBCH block.</w:t>
            </w:r>
          </w:p>
          <w:p w14:paraId="4D333D99" w14:textId="77777777" w:rsidR="00A04D9F" w:rsidRDefault="002B3FDB">
            <w:pPr>
              <w:spacing w:before="240"/>
              <w:jc w:val="center"/>
              <w:rPr>
                <w:rFonts w:eastAsia="SimSun"/>
                <w:color w:val="FF0000"/>
                <w:szCs w:val="20"/>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p w14:paraId="41CF07E0" w14:textId="77777777" w:rsidR="00A04D9F" w:rsidRDefault="00A04D9F">
            <w:pPr>
              <w:pStyle w:val="00Text"/>
            </w:pPr>
          </w:p>
        </w:tc>
      </w:tr>
    </w:tbl>
    <w:p w14:paraId="197A8573" w14:textId="77777777" w:rsidR="00A04D9F" w:rsidRDefault="00A04D9F">
      <w:pPr>
        <w:pStyle w:val="00Text"/>
      </w:pPr>
    </w:p>
    <w:p w14:paraId="0C5E5D2E" w14:textId="77777777" w:rsidR="00A04D9F" w:rsidRDefault="002B3FDB">
      <w:pPr>
        <w:pStyle w:val="00Text"/>
        <w:numPr>
          <w:ilvl w:val="0"/>
          <w:numId w:val="9"/>
        </w:numPr>
        <w:rPr>
          <w:b/>
          <w:bCs/>
        </w:rPr>
      </w:pPr>
      <w:r>
        <w:rPr>
          <w:b/>
          <w:bCs/>
        </w:rPr>
        <w:t>Alt2: TP proposed by [12] for TS 38.211: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04D9F" w14:paraId="5F2C0F11" w14:textId="77777777">
        <w:tc>
          <w:tcPr>
            <w:tcW w:w="9288" w:type="dxa"/>
            <w:shd w:val="clear" w:color="auto" w:fill="auto"/>
          </w:tcPr>
          <w:p w14:paraId="1B295D5E" w14:textId="77777777" w:rsidR="00A04D9F" w:rsidRDefault="002B3FDB">
            <w:pPr>
              <w:keepNext/>
              <w:keepLines/>
              <w:spacing w:before="120" w:after="180"/>
              <w:ind w:left="1701" w:hanging="1701"/>
              <w:outlineLvl w:val="4"/>
              <w:rPr>
                <w:rFonts w:ascii="Arial" w:eastAsia="DengXian" w:hAnsi="Arial"/>
                <w:sz w:val="22"/>
                <w:szCs w:val="20"/>
                <w:lang w:val="en-GB"/>
              </w:rPr>
            </w:pPr>
            <w:bookmarkStart w:id="11" w:name="_Hlk41421857"/>
            <w:r>
              <w:rPr>
                <w:rFonts w:ascii="Arial" w:eastAsia="DengXian" w:hAnsi="Arial"/>
                <w:sz w:val="22"/>
                <w:szCs w:val="20"/>
                <w:lang w:val="en-GB"/>
              </w:rPr>
              <w:t>7.4.1.1.2</w:t>
            </w:r>
            <w:r>
              <w:rPr>
                <w:rFonts w:ascii="Arial" w:eastAsia="DengXian" w:hAnsi="Arial"/>
                <w:sz w:val="22"/>
                <w:szCs w:val="20"/>
                <w:lang w:val="en-GB"/>
              </w:rPr>
              <w:tab/>
              <w:t>Mapping to physical resources</w:t>
            </w:r>
          </w:p>
          <w:p w14:paraId="1CEFA6B5"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30DB3324" w14:textId="77777777" w:rsidR="00A04D9F" w:rsidRDefault="002B3FDB">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2"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3"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14:paraId="6445A732" w14:textId="77777777" w:rsidR="00A04D9F" w:rsidRDefault="002B3FDB">
            <w:pPr>
              <w:spacing w:after="180"/>
              <w:rPr>
                <w:rFonts w:eastAsia="DengXian"/>
                <w:szCs w:val="20"/>
                <w:lang w:val="en-GB" w:eastAsia="zh-CN"/>
              </w:rPr>
            </w:pPr>
            <w:r>
              <w:rPr>
                <w:rFonts w:eastAsia="DengXian"/>
                <w:szCs w:val="20"/>
                <w:lang w:val="en-GB"/>
              </w:rPr>
              <w:t>The UE may assume that no DM-RS collides with the SS/PBCH block.</w:t>
            </w:r>
          </w:p>
        </w:tc>
      </w:tr>
      <w:bookmarkEnd w:id="11"/>
    </w:tbl>
    <w:p w14:paraId="384ADA37" w14:textId="77777777" w:rsidR="00A04D9F" w:rsidRDefault="00A04D9F">
      <w:pPr>
        <w:pStyle w:val="00Text"/>
      </w:pPr>
    </w:p>
    <w:p w14:paraId="2AA23E0F" w14:textId="77777777" w:rsidR="00A04D9F" w:rsidRDefault="002B3FDB">
      <w:pPr>
        <w:pStyle w:val="03Proposal"/>
      </w:pPr>
      <w:r>
        <w:t xml:space="preserve">  Please input your views and comments on these two alternatives:</w:t>
      </w:r>
    </w:p>
    <w:p w14:paraId="2D338344" w14:textId="77777777" w:rsidR="00A04D9F" w:rsidRDefault="00A04D9F">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A04D9F" w14:paraId="7D21FC35" w14:textId="77777777" w:rsidTr="00A04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C3F9BED" w14:textId="77777777" w:rsidR="00A04D9F" w:rsidRDefault="002B3FDB">
            <w:pPr>
              <w:pStyle w:val="00Text"/>
              <w:jc w:val="center"/>
              <w:rPr>
                <w:b w:val="0"/>
                <w:bCs w:val="0"/>
              </w:rPr>
            </w:pPr>
            <w:r>
              <w:t>Company</w:t>
            </w:r>
          </w:p>
        </w:tc>
        <w:tc>
          <w:tcPr>
            <w:tcW w:w="6660" w:type="dxa"/>
          </w:tcPr>
          <w:p w14:paraId="1F4D8CDF" w14:textId="77777777" w:rsidR="00A04D9F" w:rsidRDefault="002B3FD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A04D9F" w14:paraId="32F17ABF" w14:textId="77777777" w:rsidTr="00A04D9F">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1BD57C1C" w14:textId="77777777" w:rsidR="00A04D9F" w:rsidRDefault="002B3FDB">
            <w:pPr>
              <w:pStyle w:val="00Text"/>
              <w:rPr>
                <w:b w:val="0"/>
                <w:bCs w:val="0"/>
              </w:rPr>
            </w:pPr>
            <w:r>
              <w:rPr>
                <w:rFonts w:hint="eastAsia"/>
              </w:rPr>
              <w:t>CATT</w:t>
            </w:r>
          </w:p>
        </w:tc>
        <w:tc>
          <w:tcPr>
            <w:tcW w:w="6660" w:type="dxa"/>
            <w:shd w:val="clear" w:color="auto" w:fill="D9E2F3" w:themeFill="accent1" w:themeFillTint="33"/>
          </w:tcPr>
          <w:p w14:paraId="68070594" w14:textId="77777777" w:rsidR="00A04D9F" w:rsidRDefault="002B3FDB">
            <w:pPr>
              <w:pStyle w:val="00Text"/>
              <w:spacing w:after="0" w:afterAutospacing="0"/>
              <w:cnfStyle w:val="000000000000" w:firstRow="0" w:lastRow="0" w:firstColumn="0" w:lastColumn="0" w:oddVBand="0" w:evenVBand="0" w:oddHBand="0" w:evenHBand="0" w:firstRowFirstColumn="0" w:firstRowLastColumn="0" w:lastRowFirstColumn="0" w:lastRowLastColumn="0"/>
            </w:pPr>
            <w:r>
              <w:t>R</w:t>
            </w:r>
            <w:r>
              <w:rPr>
                <w:rFonts w:hint="eastAsia"/>
              </w:rPr>
              <w:t>egarding the TP proposed in [12], we have the following comments:</w:t>
            </w:r>
          </w:p>
          <w:p w14:paraId="706DDC93"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C</w:t>
            </w:r>
            <w:r>
              <w:rPr>
                <w:rFonts w:hint="eastAsia"/>
              </w:rPr>
              <w:t xml:space="preserve">onsidering the fact that in scheme 3 and 4, </w:t>
            </w:r>
            <w:r>
              <w:rPr>
                <w:rFonts w:eastAsia="DengXian"/>
                <w:szCs w:val="20"/>
                <w:lang w:val="en-GB"/>
              </w:rPr>
              <w:t>DMRS ports associated with a PDSCH are QCL</w:t>
            </w:r>
            <w:r>
              <w:rPr>
                <w:rFonts w:eastAsia="DengXian" w:hint="eastAsia"/>
                <w:szCs w:val="20"/>
                <w:lang w:val="en-GB"/>
              </w:rPr>
              <w:t xml:space="preserve">-ed in each transmission occasion, </w:t>
            </w:r>
            <w:r>
              <w:rPr>
                <w:rFonts w:hint="eastAsia"/>
              </w:rPr>
              <w:t>the newly added condition proposed in [12] is still not precise enough.</w:t>
            </w:r>
          </w:p>
          <w:p w14:paraId="41B3DD20"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T</w:t>
            </w:r>
            <w:r>
              <w:rPr>
                <w:rFonts w:hint="eastAsia"/>
              </w:rPr>
              <w:t>o address the issue of inaccurate description of QCL in 211, two approaches can be considered.</w:t>
            </w:r>
          </w:p>
          <w:p w14:paraId="2C36F9DB"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 xml:space="preserve">lt-1: elaborate all the QCL cases </w:t>
            </w:r>
            <w:r>
              <w:t>as accurate as possible</w:t>
            </w:r>
            <w:r>
              <w:rPr>
                <w:rFonts w:hint="eastAsia"/>
              </w:rPr>
              <w:t xml:space="preserve"> in 211</w:t>
            </w:r>
          </w:p>
          <w:p w14:paraId="541C093E"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lt-2: for QCL related descriptions in 211, cite corresponding parts in 214</w:t>
            </w:r>
          </w:p>
          <w:p w14:paraId="529B82B0" w14:textId="77777777" w:rsidR="00A04D9F" w:rsidRDefault="002B3FDB">
            <w:pPr>
              <w:pStyle w:val="00Text"/>
              <w:spacing w:after="0" w:afterAutospacing="0"/>
              <w:ind w:left="420"/>
              <w:cnfStyle w:val="000000000000" w:firstRow="0" w:lastRow="0" w:firstColumn="0" w:lastColumn="0" w:oddVBand="0" w:evenVBand="0" w:oddHBand="0" w:evenHBand="0" w:firstRowFirstColumn="0" w:firstRowLastColumn="0" w:lastRowFirstColumn="0" w:lastRowLastColumn="0"/>
            </w:pPr>
            <w:r>
              <w:t>F</w:t>
            </w:r>
            <w:r>
              <w:rPr>
                <w:rFonts w:hint="eastAsia"/>
              </w:rPr>
              <w:t>or the above alternatives, alt-2 is preferred.</w:t>
            </w:r>
          </w:p>
        </w:tc>
      </w:tr>
      <w:tr w:rsidR="00A04D9F" w14:paraId="49DCE24C"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74FEBEEF" w14:textId="77777777" w:rsidR="00A04D9F" w:rsidRDefault="002B3FDB">
            <w:pPr>
              <w:pStyle w:val="00Text"/>
              <w:rPr>
                <w:b w:val="0"/>
                <w:bCs w:val="0"/>
              </w:rPr>
            </w:pPr>
            <w:r>
              <w:t>Apple</w:t>
            </w:r>
          </w:p>
        </w:tc>
        <w:tc>
          <w:tcPr>
            <w:tcW w:w="6660" w:type="dxa"/>
          </w:tcPr>
          <w:p w14:paraId="6BEFD6F3"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It looks Alt1 removed Rel-15 spec, but Alt2 fails to define similar behavior for </w:t>
            </w:r>
            <w:proofErr w:type="spellStart"/>
            <w:r>
              <w:t>mTRP</w:t>
            </w:r>
            <w:proofErr w:type="spellEnd"/>
            <w:r>
              <w:t xml:space="preserve">. We suggest the following change. </w:t>
            </w:r>
          </w:p>
          <w:p w14:paraId="6B16197E"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“The UE may assume that DMRS ports associated with a PDSCH </w:t>
            </w:r>
            <w:r>
              <w:rPr>
                <w:color w:val="FF0000"/>
                <w:highlight w:val="yellow"/>
              </w:rPr>
              <w:t>TCI state</w:t>
            </w:r>
            <w:r>
              <w:rPr>
                <w:color w:val="FF0000"/>
              </w:rPr>
              <w:t xml:space="preserve"> </w:t>
            </w:r>
            <w:r>
              <w:t>are QCL with QCL Type A, Type D (when applicable) and average gain.”</w:t>
            </w:r>
          </w:p>
        </w:tc>
      </w:tr>
      <w:tr w:rsidR="00A04D9F" w14:paraId="7F3CA528" w14:textId="77777777" w:rsidTr="00A04D9F">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39E24A43" w14:textId="77777777" w:rsidR="00A04D9F" w:rsidRDefault="002B3FDB">
            <w:pPr>
              <w:pStyle w:val="00Text"/>
              <w:rPr>
                <w:b w:val="0"/>
                <w:bCs w:val="0"/>
              </w:rPr>
            </w:pPr>
            <w:r>
              <w:rPr>
                <w:rFonts w:hint="eastAsia"/>
              </w:rPr>
              <w:t>OPPO</w:t>
            </w:r>
          </w:p>
        </w:tc>
        <w:tc>
          <w:tcPr>
            <w:tcW w:w="6660" w:type="dxa"/>
            <w:shd w:val="clear" w:color="auto" w:fill="D9E2F3" w:themeFill="accent1" w:themeFillTint="33"/>
          </w:tcPr>
          <w:p w14:paraId="3947BF36"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In Rel-15, the DMRS ports associated with a PDSCH may not be configured with any TCI state. Hence, we prefer the following wording to </w:t>
            </w:r>
            <w:r>
              <w:t>address</w:t>
            </w:r>
            <w:r>
              <w:rPr>
                <w:rFonts w:hint="eastAsia"/>
              </w:rPr>
              <w:t xml:space="preserve"> the comment from CATT (The PDSCH here is actually a PDSCH </w:t>
            </w:r>
            <w:r>
              <w:t>transmission</w:t>
            </w:r>
            <w:r>
              <w:rPr>
                <w:rFonts w:hint="eastAsia"/>
              </w:rPr>
              <w:t xml:space="preserve"> occasion):</w:t>
            </w:r>
          </w:p>
          <w:p w14:paraId="107F506A"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lastRenderedPageBreak/>
              <w:t>“</w:t>
            </w:r>
            <w:ins w:id="14" w:author="Author">
              <w:r>
                <w:rPr>
                  <w:rFonts w:eastAsia="DengXian" w:hint="eastAsia"/>
                  <w:szCs w:val="20"/>
                  <w:lang w:val="en-GB"/>
                </w:rPr>
                <w:t xml:space="preserve">Except for </w:t>
              </w:r>
              <w:r>
                <w:rPr>
                  <w:rFonts w:eastAsia="DengXian"/>
                  <w:szCs w:val="20"/>
                  <w:lang w:val="en-GB"/>
                </w:rPr>
                <w:t xml:space="preserve">a PDSCH </w:t>
              </w:r>
              <w:r>
                <w:rPr>
                  <w:rFonts w:eastAsia="DengXian" w:hint="eastAsia"/>
                  <w:color w:val="FF0000"/>
                  <w:szCs w:val="20"/>
                  <w:highlight w:val="yellow"/>
                  <w:lang w:val="en-GB"/>
                </w:rPr>
                <w:t>transmission</w:t>
              </w:r>
              <w:r>
                <w:rPr>
                  <w:rFonts w:eastAsia="DengXian" w:hint="eastAsia"/>
                  <w:color w:val="FF0000"/>
                  <w:szCs w:val="20"/>
                  <w:lang w:val="en-GB"/>
                </w:rPr>
                <w:t xml:space="preserve"> </w:t>
              </w:r>
              <w:r>
                <w:rPr>
                  <w:rFonts w:eastAsia="DengXian"/>
                  <w:szCs w:val="20"/>
                  <w:lang w:val="en-GB"/>
                </w:rPr>
                <w:t>associated with two TCI states</w:t>
              </w:r>
              <w:r>
                <w:rPr>
                  <w:rFonts w:eastAsiaTheme="minorEastAsia" w:hint="eastAsia"/>
                  <w:color w:val="000000"/>
                </w:rPr>
                <w:t>,</w:t>
              </w:r>
              <w:r>
                <w:rPr>
                  <w:rFonts w:eastAsiaTheme="minorEastAsia"/>
                  <w:color w:val="000000"/>
                </w:rPr>
                <w:t xml:space="preserve"> </w:t>
              </w:r>
              <w:r>
                <w:rPr>
                  <w:rFonts w:eastAsia="DengXian" w:hint="eastAsia"/>
                  <w:szCs w:val="20"/>
                  <w:lang w:val="en-GB"/>
                </w:rPr>
                <w:t>t</w:t>
              </w:r>
              <w:r>
                <w:rPr>
                  <w:rFonts w:eastAsia="DengXian"/>
                  <w:szCs w:val="20"/>
                  <w:lang w:val="en-GB"/>
                </w:rPr>
                <w:t xml:space="preserve">he </w:t>
              </w:r>
            </w:ins>
            <w:del w:id="15"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r>
              <w:t>”</w:t>
            </w:r>
          </w:p>
        </w:tc>
      </w:tr>
      <w:tr w:rsidR="00A04D9F" w14:paraId="6A7D5E43"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5498E7A4" w14:textId="77777777" w:rsidR="00A04D9F" w:rsidRDefault="002B3FDB">
            <w:pPr>
              <w:pStyle w:val="00Text"/>
              <w:rPr>
                <w:b w:val="0"/>
                <w:bCs w:val="0"/>
              </w:rPr>
            </w:pPr>
            <w:r>
              <w:rPr>
                <w:rFonts w:hint="eastAsia"/>
              </w:rPr>
              <w:lastRenderedPageBreak/>
              <w:t>ZTE</w:t>
            </w:r>
          </w:p>
        </w:tc>
        <w:tc>
          <w:tcPr>
            <w:tcW w:w="6660" w:type="dxa"/>
          </w:tcPr>
          <w:p w14:paraId="08FB5F04"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rPr>
                <w:rFonts w:hint="eastAsia"/>
              </w:rPr>
              <w:t>Similar view with Apple. Some wording changes are suggested as follows</w:t>
            </w:r>
          </w:p>
          <w:p w14:paraId="2E78C72A"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The UE may assume that DMRS ports associated with a PDSCH</w:t>
            </w:r>
            <w:ins w:id="16" w:author="Author" w:date="2020-05-25T15:20:00Z">
              <w:r>
                <w:rPr>
                  <w:rFonts w:hint="eastAsia"/>
                </w:rPr>
                <w:t xml:space="preserve"> and associated with the same TCI state</w:t>
              </w:r>
            </w:ins>
            <w:r>
              <w:t xml:space="preserve"> are QCL with QCL Type A, Type D (when applicable) and average gain</w:t>
            </w:r>
          </w:p>
        </w:tc>
      </w:tr>
      <w:tr w:rsidR="00CB0346" w14:paraId="69DC63D4"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66961F88" w14:textId="77777777" w:rsidR="00CB0346" w:rsidRPr="00892F28" w:rsidRDefault="00CB0346" w:rsidP="00CB0346">
            <w:pPr>
              <w:pStyle w:val="00Text"/>
            </w:pPr>
            <w:r w:rsidRPr="00892F28">
              <w:t>MediaTek</w:t>
            </w:r>
          </w:p>
        </w:tc>
        <w:tc>
          <w:tcPr>
            <w:tcW w:w="6660" w:type="dxa"/>
          </w:tcPr>
          <w:p w14:paraId="28449387" w14:textId="77777777" w:rsidR="00CB0346" w:rsidRPr="00B20E55" w:rsidRDefault="00CB0346" w:rsidP="00CB0346">
            <w:pPr>
              <w:pStyle w:val="00Text"/>
              <w:cnfStyle w:val="000000000000" w:firstRow="0" w:lastRow="0" w:firstColumn="0" w:lastColumn="0" w:oddVBand="0" w:evenVBand="0" w:oddHBand="0" w:evenHBand="0" w:firstRowFirstColumn="0" w:firstRowLastColumn="0" w:lastRowFirstColumn="0" w:lastRowLastColumn="0"/>
            </w:pPr>
            <w:r>
              <w:t xml:space="preserve">We prefer a modified Alt1: The UE may </w:t>
            </w:r>
            <w:r w:rsidRPr="00B1745D">
              <w:t xml:space="preserve">assume </w:t>
            </w:r>
            <w:r>
              <w:t xml:space="preserve">that </w:t>
            </w:r>
            <w:r w:rsidRPr="00B1745D">
              <w:t xml:space="preserve">the </w:t>
            </w:r>
            <w:r>
              <w:t xml:space="preserve">PDSCH </w:t>
            </w:r>
            <w:r w:rsidRPr="00B1745D">
              <w:t>DM</w:t>
            </w:r>
            <w:r>
              <w:t>-</w:t>
            </w:r>
            <w:r w:rsidRPr="00B1745D">
              <w:t xml:space="preserve">RS within the same CDM group are quasi co-located with respect to Doppler shift, Doppler spread, average delay, delay spread, </w:t>
            </w:r>
            <w:r w:rsidRPr="00D706BB">
              <w:rPr>
                <w:color w:val="FF0000"/>
              </w:rPr>
              <w:t>average gain</w:t>
            </w:r>
            <w:r>
              <w:t xml:space="preserve">, </w:t>
            </w:r>
            <w:r w:rsidRPr="00B1745D">
              <w:t>and spatial Rx</w:t>
            </w:r>
            <w:r>
              <w:t xml:space="preserve"> </w:t>
            </w:r>
            <w:r w:rsidRPr="00D706BB">
              <w:rPr>
                <w:rFonts w:eastAsiaTheme="minorEastAsia" w:hint="eastAsia"/>
                <w:color w:val="FF0000"/>
              </w:rPr>
              <w:t>(w</w:t>
            </w:r>
            <w:r w:rsidRPr="00D706BB">
              <w:rPr>
                <w:color w:val="FF0000"/>
              </w:rPr>
              <w:t>hen</w:t>
            </w:r>
            <w:r w:rsidRPr="00D706BB">
              <w:rPr>
                <w:rFonts w:hint="eastAsia"/>
                <w:color w:val="FF0000"/>
              </w:rPr>
              <w:t xml:space="preserve"> applicable</w:t>
            </w:r>
            <w:r w:rsidRPr="00D706BB">
              <w:rPr>
                <w:rFonts w:eastAsiaTheme="minorEastAsia" w:hint="eastAsia"/>
                <w:color w:val="FF0000"/>
              </w:rPr>
              <w:t>)</w:t>
            </w:r>
            <w:r w:rsidRPr="00B1745D">
              <w:t>.</w:t>
            </w:r>
            <w:r w:rsidRPr="001025E5">
              <w:t xml:space="preserve"> </w:t>
            </w:r>
            <w:del w:id="17" w:author="Author">
              <w:r w:rsidRPr="00271B31" w:rsidDel="00271B31">
                <w:delText>The UE may assume that DMRS ports associated with a PDSCH are QCL with QCL Type A, Type D (when applicable) and average gain</w:delText>
              </w:r>
            </w:del>
            <w:r>
              <w:t xml:space="preserve"> Given the current TCI framework specified in Clause 5.1.5 of TS 38.214, the original sentence seems to be redundant except the mention of “average gain”.</w:t>
            </w:r>
          </w:p>
        </w:tc>
      </w:tr>
      <w:tr w:rsidR="005F50A7" w14:paraId="04775FB3"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3AA321E2" w14:textId="58E65AEC" w:rsidR="005F50A7" w:rsidRPr="00892F28" w:rsidRDefault="005F50A7" w:rsidP="00CB0346">
            <w:pPr>
              <w:pStyle w:val="00Text"/>
            </w:pPr>
            <w:r>
              <w:t>QC</w:t>
            </w:r>
          </w:p>
        </w:tc>
        <w:tc>
          <w:tcPr>
            <w:tcW w:w="6660" w:type="dxa"/>
          </w:tcPr>
          <w:p w14:paraId="1F57C042" w14:textId="783BC9D2" w:rsidR="005F50A7" w:rsidRDefault="005F50A7" w:rsidP="00CB0346">
            <w:pPr>
              <w:pStyle w:val="00Text"/>
              <w:cnfStyle w:val="000000000000" w:firstRow="0" w:lastRow="0" w:firstColumn="0" w:lastColumn="0" w:oddVBand="0" w:evenVBand="0" w:oddHBand="0" w:evenHBand="0" w:firstRowFirstColumn="0" w:firstRowLastColumn="0" w:lastRowFirstColumn="0" w:lastRowLastColumn="0"/>
            </w:pPr>
            <w:r>
              <w:t xml:space="preserve">It seems the suggestions from Apple / ZTE is </w:t>
            </w:r>
            <w:r w:rsidR="00300629">
              <w:t>clearer</w:t>
            </w:r>
            <w:r>
              <w:t xml:space="preserve"> and more backward compatible. </w:t>
            </w:r>
          </w:p>
        </w:tc>
      </w:tr>
      <w:tr w:rsidR="002E41B0" w14:paraId="5788927E"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4BBD1644" w14:textId="2570BA31" w:rsidR="002E41B0" w:rsidRPr="002E41B0" w:rsidRDefault="002E41B0" w:rsidP="002E41B0">
            <w:pPr>
              <w:pStyle w:val="00Text"/>
              <w:rPr>
                <w:b w:val="0"/>
              </w:rPr>
            </w:pPr>
            <w:r>
              <w:t>HW</w:t>
            </w:r>
          </w:p>
        </w:tc>
        <w:tc>
          <w:tcPr>
            <w:tcW w:w="6660" w:type="dxa"/>
          </w:tcPr>
          <w:p w14:paraId="300C00D4" w14:textId="09C8CA57" w:rsidR="002E41B0" w:rsidRDefault="002E41B0" w:rsidP="002E41B0">
            <w:pPr>
              <w:pStyle w:val="00Text"/>
              <w:cnfStyle w:val="000000000000" w:firstRow="0" w:lastRow="0" w:firstColumn="0" w:lastColumn="0" w:oddVBand="0" w:evenVBand="0" w:oddHBand="0" w:evenHBand="0" w:firstRowFirstColumn="0" w:firstRowLastColumn="0" w:lastRowFirstColumn="0" w:lastRowLastColumn="0"/>
            </w:pPr>
            <w:r>
              <w:t>We prefer Alt 2, with clear enabling conditions of Rel-16 feature. Removing Rel-15 spec is too risky. Adding “a TCI state” or “same TCI state” seems to be same with “</w:t>
            </w:r>
            <w:r w:rsidRPr="00D315D9">
              <w:rPr>
                <w:rFonts w:eastAsia="DengXian" w:hint="eastAsia"/>
                <w:i/>
                <w:szCs w:val="20"/>
                <w:lang w:val="en-GB"/>
              </w:rPr>
              <w:t xml:space="preserve">Except for </w:t>
            </w:r>
            <w:r w:rsidRPr="00D315D9">
              <w:rPr>
                <w:rFonts w:eastAsia="DengXian"/>
                <w:i/>
                <w:szCs w:val="20"/>
                <w:lang w:val="en-GB"/>
              </w:rPr>
              <w:t>a PDSCH associated with two TCI states</w:t>
            </w:r>
            <w:r>
              <w:t xml:space="preserve">”? We don’t find too much difference among different updates, as long as one of them is used.  A PDSCH associated with two TCI states has been clarified in 38.214. </w:t>
            </w:r>
          </w:p>
        </w:tc>
      </w:tr>
      <w:tr w:rsidR="00EE603C" w14:paraId="47EE144C"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44EE8A4E" w14:textId="65D55EC1" w:rsidR="00EE603C" w:rsidRDefault="00EE603C" w:rsidP="002E41B0">
            <w:pPr>
              <w:pStyle w:val="00Text"/>
            </w:pPr>
            <w:r>
              <w:t>Nokia</w:t>
            </w:r>
          </w:p>
        </w:tc>
        <w:tc>
          <w:tcPr>
            <w:tcW w:w="6660" w:type="dxa"/>
          </w:tcPr>
          <w:p w14:paraId="6D19D52A" w14:textId="3E167398" w:rsidR="00EE603C" w:rsidRDefault="00EE603C" w:rsidP="002E41B0">
            <w:pPr>
              <w:pStyle w:val="00Text"/>
              <w:cnfStyle w:val="000000000000" w:firstRow="0" w:lastRow="0" w:firstColumn="0" w:lastColumn="0" w:oddVBand="0" w:evenVBand="0" w:oddHBand="0" w:evenHBand="0" w:firstRowFirstColumn="0" w:firstRowLastColumn="0" w:lastRowFirstColumn="0" w:lastRowLastColumn="0"/>
            </w:pPr>
            <w:r>
              <w:t xml:space="preserve">We think in the same direction in Alt.1.  It would be cleaner not to define different behaviors in 38.211 and 38.214. May be removing unnecessary text from 38.211 is more suitable. However, we do understand the changes of Rel-15 behavior by this. </w:t>
            </w:r>
          </w:p>
          <w:p w14:paraId="7E5D5BEA" w14:textId="24850A3C" w:rsidR="00EE603C" w:rsidRPr="00EE603C" w:rsidRDefault="00EE603C" w:rsidP="002E41B0">
            <w:pPr>
              <w:pStyle w:val="00Text"/>
              <w:cnfStyle w:val="000000000000" w:firstRow="0" w:lastRow="0" w:firstColumn="0" w:lastColumn="0" w:oddVBand="0" w:evenVBand="0" w:oddHBand="0" w:evenHBand="0" w:firstRowFirstColumn="0" w:firstRowLastColumn="0" w:lastRowFirstColumn="0" w:lastRowLastColumn="0"/>
            </w:pPr>
            <w:r>
              <w:rPr>
                <w:rFonts w:eastAsia="DengXian"/>
                <w:szCs w:val="20"/>
                <w:lang w:val="en-GB"/>
              </w:rPr>
              <w:t>In addition to the above discussion, the text “</w:t>
            </w:r>
            <w:r w:rsidRPr="00EE603C">
              <w:rPr>
                <w:rFonts w:eastAsia="DengXian"/>
                <w:i/>
                <w:iCs/>
                <w:color w:val="4472C4" w:themeColor="accent1"/>
                <w:szCs w:val="20"/>
                <w:lang w:val="en-GB"/>
              </w:rPr>
              <w:t xml:space="preserve">The UE may assume that the </w:t>
            </w:r>
            <w:r w:rsidRPr="00EE603C">
              <w:rPr>
                <w:rFonts w:eastAsia="DengXian"/>
                <w:i/>
                <w:iCs/>
                <w:color w:val="4472C4" w:themeColor="accent1"/>
                <w:szCs w:val="20"/>
                <w:highlight w:val="yellow"/>
                <w:lang w:val="en-GB"/>
              </w:rPr>
              <w:t>PDSCH DM-RS within the same CDM group are quasi co-located</w:t>
            </w:r>
            <w:r w:rsidRPr="00EE603C">
              <w:rPr>
                <w:rFonts w:eastAsia="DengXian"/>
                <w:i/>
                <w:iCs/>
                <w:color w:val="4472C4" w:themeColor="accent1"/>
                <w:szCs w:val="20"/>
                <w:lang w:val="en-GB"/>
              </w:rPr>
              <w:t xml:space="preserve"> with respect to Doppler shift, Doppler spread, average delay, delay spread, and spatial Rx</w:t>
            </w:r>
            <w:r>
              <w:rPr>
                <w:rFonts w:eastAsia="DengXian"/>
                <w:i/>
                <w:iCs/>
                <w:szCs w:val="20"/>
                <w:lang w:val="en-GB"/>
              </w:rPr>
              <w:t xml:space="preserve">” </w:t>
            </w:r>
            <w:r w:rsidRPr="00EE603C">
              <w:rPr>
                <w:rFonts w:eastAsia="DengXian"/>
                <w:szCs w:val="20"/>
                <w:lang w:val="en-GB"/>
              </w:rPr>
              <w:t>is not accurate considering Scheme 2b/3/4 as the PDSCH is actually multiple PDSCH transmission occasions</w:t>
            </w:r>
            <w:r>
              <w:rPr>
                <w:rFonts w:eastAsia="DengXian"/>
                <w:szCs w:val="20"/>
                <w:lang w:val="en-GB"/>
              </w:rPr>
              <w:t>, and they are not having same TCI state</w:t>
            </w:r>
            <w:r w:rsidRPr="00EE603C">
              <w:rPr>
                <w:rFonts w:eastAsia="DengXian"/>
                <w:szCs w:val="20"/>
                <w:lang w:val="en-GB"/>
              </w:rPr>
              <w:t xml:space="preserve">. </w:t>
            </w:r>
            <w:r w:rsidR="00A722E9">
              <w:rPr>
                <w:rFonts w:eastAsia="DengXian"/>
                <w:szCs w:val="20"/>
                <w:lang w:val="en-GB"/>
              </w:rPr>
              <w:t>However,</w:t>
            </w:r>
            <w:r>
              <w:rPr>
                <w:rFonts w:eastAsia="DengXian"/>
                <w:szCs w:val="20"/>
                <w:lang w:val="en-GB"/>
              </w:rPr>
              <w:t xml:space="preserve"> defining </w:t>
            </w:r>
            <w:r w:rsidR="00A722E9">
              <w:rPr>
                <w:rFonts w:eastAsia="DengXian"/>
                <w:szCs w:val="20"/>
                <w:lang w:val="en-GB"/>
              </w:rPr>
              <w:t>all details are</w:t>
            </w:r>
            <w:r>
              <w:rPr>
                <w:rFonts w:eastAsia="DengXian"/>
                <w:szCs w:val="20"/>
                <w:lang w:val="en-GB"/>
              </w:rPr>
              <w:t xml:space="preserve"> not essential here, as 38.214 discuss this in more details. </w:t>
            </w:r>
          </w:p>
          <w:p w14:paraId="0445601B" w14:textId="54E55786" w:rsidR="00EE603C" w:rsidRPr="00EE603C" w:rsidRDefault="00EE603C" w:rsidP="002E41B0">
            <w:pPr>
              <w:pStyle w:val="00Text"/>
              <w:cnfStyle w:val="000000000000" w:firstRow="0" w:lastRow="0" w:firstColumn="0" w:lastColumn="0" w:oddVBand="0" w:evenVBand="0" w:oddHBand="0" w:evenHBand="0" w:firstRowFirstColumn="0" w:firstRowLastColumn="0" w:lastRowFirstColumn="0" w:lastRowLastColumn="0"/>
              <w:rPr>
                <w:b/>
                <w:bCs/>
                <w:u w:val="single"/>
              </w:rPr>
            </w:pPr>
            <w:r w:rsidRPr="00EE603C">
              <w:rPr>
                <w:b/>
                <w:bCs/>
                <w:u w:val="single"/>
              </w:rPr>
              <w:t>Alt.3</w:t>
            </w:r>
          </w:p>
          <w:p w14:paraId="2D2C41C0" w14:textId="77777777" w:rsidR="00EE603C" w:rsidRDefault="00EE603C" w:rsidP="002E41B0">
            <w:pPr>
              <w:pStyle w:val="00Text"/>
              <w:cnfStyle w:val="000000000000" w:firstRow="0" w:lastRow="0" w:firstColumn="0" w:lastColumn="0" w:oddVBand="0" w:evenVBand="0" w:oddHBand="0" w:evenHBand="0" w:firstRowFirstColumn="0" w:firstRowLastColumn="0" w:lastRowFirstColumn="0" w:lastRowLastColumn="0"/>
              <w:rPr>
                <w:szCs w:val="20"/>
              </w:rPr>
            </w:pPr>
            <w:r>
              <w:rPr>
                <w:rFonts w:hint="eastAsia"/>
              </w:rPr>
              <w:t xml:space="preserve">In absence of CSI-RS configuration, and unless otherwise configured, the UE may assume PDSCH DM-RS and SS/PBCH block to be quasi co-located with respect to Doppler shift, Doppler spread, average delay, delay spread, and, when applicable, spatial Rx parameters. </w:t>
            </w:r>
            <w:r>
              <w:rPr>
                <w:rFonts w:hint="eastAsia"/>
                <w:color w:val="FF0000"/>
              </w:rPr>
              <w:t xml:space="preserve">Unless specified otherwise, </w:t>
            </w:r>
            <w:proofErr w:type="spellStart"/>
            <w:r>
              <w:rPr>
                <w:rFonts w:hint="eastAsia"/>
                <w:color w:val="FF0000"/>
              </w:rPr>
              <w:t>t</w:t>
            </w:r>
            <w:r>
              <w:rPr>
                <w:rFonts w:hint="eastAsia"/>
                <w:strike/>
                <w:color w:val="FF0000"/>
              </w:rPr>
              <w:t>T</w:t>
            </w:r>
            <w:r>
              <w:rPr>
                <w:rFonts w:hint="eastAsia"/>
              </w:rPr>
              <w:t>he</w:t>
            </w:r>
            <w:proofErr w:type="spellEnd"/>
            <w:r>
              <w:rPr>
                <w:rFonts w:hint="eastAsia"/>
              </w:rPr>
              <w:t xml:space="preserve"> UE may assume that the PDSCH DM-RS within the same CDM group are quasi co-located with respect to Doppler shift, Doppler spread, average delay, delay spread, and spatial Rx </w:t>
            </w:r>
            <w:r>
              <w:rPr>
                <w:rFonts w:hint="eastAsia"/>
                <w:color w:val="FF0000"/>
              </w:rPr>
              <w:t>(when applicable</w:t>
            </w:r>
            <w:r>
              <w:rPr>
                <w:rFonts w:hint="eastAsia"/>
                <w:strike/>
                <w:color w:val="FF0000"/>
              </w:rPr>
              <w:t xml:space="preserve">).  </w:t>
            </w:r>
            <w:r w:rsidRPr="00A722E9">
              <w:rPr>
                <w:rFonts w:hint="eastAsia"/>
              </w:rPr>
              <w:t xml:space="preserve">The UE may assume that DMRS ports associated with a </w:t>
            </w:r>
            <w:r w:rsidR="00A722E9" w:rsidRPr="00A722E9">
              <w:rPr>
                <w:color w:val="FF0000"/>
              </w:rPr>
              <w:t xml:space="preserve">TCI state </w:t>
            </w:r>
            <w:proofErr w:type="gramStart"/>
            <w:r w:rsidR="00A722E9">
              <w:rPr>
                <w:color w:val="FF0000"/>
              </w:rPr>
              <w:t xml:space="preserve">of  </w:t>
            </w:r>
            <w:r w:rsidRPr="00A722E9">
              <w:rPr>
                <w:rFonts w:hint="eastAsia"/>
              </w:rPr>
              <w:t>PDSCH</w:t>
            </w:r>
            <w:proofErr w:type="gramEnd"/>
            <w:r w:rsidRPr="00A722E9">
              <w:rPr>
                <w:rFonts w:hint="eastAsia"/>
              </w:rPr>
              <w:t xml:space="preserve"> are QCL with QCL Type A, Type D (when applicable) and average gain.</w:t>
            </w:r>
          </w:p>
          <w:p w14:paraId="0E3CA762" w14:textId="4CC498F1" w:rsidR="00A722E9" w:rsidRPr="00A722E9" w:rsidRDefault="00A722E9" w:rsidP="002E41B0">
            <w:pPr>
              <w:pStyle w:val="00Text"/>
              <w:cnfStyle w:val="000000000000" w:firstRow="0" w:lastRow="0" w:firstColumn="0" w:lastColumn="0" w:oddVBand="0" w:evenVBand="0" w:oddHBand="0" w:evenHBand="0" w:firstRowFirstColumn="0" w:firstRowLastColumn="0" w:lastRowFirstColumn="0" w:lastRowLastColumn="0"/>
              <w:rPr>
                <w:szCs w:val="20"/>
              </w:rPr>
            </w:pPr>
          </w:p>
        </w:tc>
      </w:tr>
      <w:tr w:rsidR="0039152C" w14:paraId="40F707F9"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142632A1" w14:textId="5FF9B2E6" w:rsidR="0039152C" w:rsidRPr="0039152C" w:rsidRDefault="0039152C" w:rsidP="002E41B0">
            <w:pPr>
              <w:pStyle w:val="00Text"/>
              <w:rPr>
                <w:rFonts w:eastAsia="Malgun Gothic"/>
                <w:lang w:eastAsia="ko-KR"/>
              </w:rPr>
            </w:pPr>
            <w:r>
              <w:rPr>
                <w:rFonts w:eastAsia="Malgun Gothic" w:hint="eastAsia"/>
                <w:lang w:eastAsia="ko-KR"/>
              </w:rPr>
              <w:t>LG</w:t>
            </w:r>
          </w:p>
        </w:tc>
        <w:tc>
          <w:tcPr>
            <w:tcW w:w="6660" w:type="dxa"/>
          </w:tcPr>
          <w:p w14:paraId="1870F86C" w14:textId="14D7F92F" w:rsidR="0039152C" w:rsidRPr="0039152C" w:rsidRDefault="0039152C" w:rsidP="0039152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Considering backward compatibility, we do not prefer removing Rel-15 sentence.  W</w:t>
            </w:r>
            <w:r>
              <w:rPr>
                <w:rFonts w:eastAsia="Malgun Gothic" w:hint="eastAsia"/>
                <w:lang w:eastAsia="ko-KR"/>
              </w:rPr>
              <w:t xml:space="preserve">e support </w:t>
            </w:r>
            <w:r>
              <w:rPr>
                <w:rFonts w:eastAsia="Malgun Gothic"/>
                <w:lang w:eastAsia="ko-KR"/>
              </w:rPr>
              <w:t xml:space="preserve">the suggestion from </w:t>
            </w:r>
            <w:r>
              <w:rPr>
                <w:rFonts w:eastAsia="Malgun Gothic" w:hint="eastAsia"/>
                <w:lang w:eastAsia="ko-KR"/>
              </w:rPr>
              <w:t>Apple or OPPO</w:t>
            </w:r>
            <w:r>
              <w:rPr>
                <w:rFonts w:eastAsia="Malgun Gothic"/>
                <w:lang w:eastAsia="ko-KR"/>
              </w:rPr>
              <w:t>, which is clear.</w:t>
            </w:r>
          </w:p>
        </w:tc>
      </w:tr>
      <w:tr w:rsidR="008A2C8C" w14:paraId="4172DFCB"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2AB11491" w14:textId="616B63CA" w:rsidR="008A2C8C" w:rsidRDefault="008A2C8C" w:rsidP="008A2C8C">
            <w:pPr>
              <w:pStyle w:val="00Text"/>
              <w:rPr>
                <w:rFonts w:eastAsia="Malgun Gothic"/>
                <w:lang w:eastAsia="ko-KR"/>
              </w:rPr>
            </w:pPr>
            <w:r>
              <w:rPr>
                <w:rFonts w:hint="eastAsia"/>
              </w:rPr>
              <w:t>N</w:t>
            </w:r>
            <w:r>
              <w:t>TT DOCOMO</w:t>
            </w:r>
          </w:p>
        </w:tc>
        <w:tc>
          <w:tcPr>
            <w:tcW w:w="6660" w:type="dxa"/>
          </w:tcPr>
          <w:p w14:paraId="666EBDC3" w14:textId="6324E76B" w:rsidR="008A2C8C" w:rsidRDefault="008A2C8C" w:rsidP="008A2C8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Agree with LG that </w:t>
            </w:r>
            <w:r w:rsidR="00A020FC">
              <w:t>Rel.15 sentence should be kept</w:t>
            </w:r>
            <w:r>
              <w:t xml:space="preserve"> and OPPO’s version looks fine to us.</w:t>
            </w:r>
          </w:p>
        </w:tc>
      </w:tr>
      <w:tr w:rsidR="00056EB5" w14:paraId="5466C494"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7A861BFA" w14:textId="1BB9E712" w:rsidR="00056EB5" w:rsidRDefault="00056EB5" w:rsidP="00056EB5">
            <w:pPr>
              <w:pStyle w:val="00Text"/>
            </w:pPr>
            <w:r>
              <w:rPr>
                <w:rFonts w:eastAsia="Malgun Gothic" w:hint="eastAsia"/>
                <w:lang w:eastAsia="ko-KR"/>
              </w:rPr>
              <w:t>S</w:t>
            </w:r>
            <w:r>
              <w:rPr>
                <w:rFonts w:eastAsia="Malgun Gothic"/>
                <w:lang w:eastAsia="ko-KR"/>
              </w:rPr>
              <w:t>amsung</w:t>
            </w:r>
          </w:p>
        </w:tc>
        <w:tc>
          <w:tcPr>
            <w:tcW w:w="6660" w:type="dxa"/>
          </w:tcPr>
          <w:p w14:paraId="45E25A28" w14:textId="77777777" w:rsidR="00056EB5" w:rsidRDefault="00056EB5" w:rsidP="00056E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For Alt1, </w:t>
            </w:r>
            <w:r>
              <w:rPr>
                <w:rFonts w:eastAsia="Malgun Gothic"/>
                <w:lang w:eastAsia="ko-KR"/>
              </w:rPr>
              <w:t>we agree to add “(when applicable)” after</w:t>
            </w:r>
            <w:proofErr w:type="gramStart"/>
            <w:r>
              <w:rPr>
                <w:rFonts w:eastAsia="Malgun Gothic"/>
                <w:lang w:eastAsia="ko-KR"/>
              </w:rPr>
              <w:t xml:space="preserve"> ..</w:t>
            </w:r>
            <w:proofErr w:type="gramEnd"/>
            <w:r>
              <w:rPr>
                <w:rFonts w:eastAsia="Malgun Gothic"/>
                <w:lang w:eastAsia="ko-KR"/>
              </w:rPr>
              <w:t>spatial Rx. We don’t agree to delete the existing sentence for Rel-15 UEs.</w:t>
            </w:r>
          </w:p>
          <w:p w14:paraId="17A9885A" w14:textId="77777777" w:rsidR="00056EB5" w:rsidRDefault="00056EB5" w:rsidP="00056E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lastRenderedPageBreak/>
              <w:t xml:space="preserve">For Alt2, behavior for two TCI states has to </w:t>
            </w:r>
            <w:r>
              <w:rPr>
                <w:rFonts w:eastAsia="Malgun Gothic"/>
                <w:lang w:eastAsia="ko-KR"/>
              </w:rPr>
              <w:t xml:space="preserve">be </w:t>
            </w:r>
            <w:r>
              <w:rPr>
                <w:rFonts w:eastAsia="Malgun Gothic" w:hint="eastAsia"/>
                <w:lang w:eastAsia="ko-KR"/>
              </w:rPr>
              <w:t>specified.</w:t>
            </w:r>
            <w:r>
              <w:rPr>
                <w:rFonts w:eastAsia="Malgun Gothic"/>
                <w:lang w:eastAsia="ko-KR"/>
              </w:rPr>
              <w:t xml:space="preserve"> As such behavior is already specified in TS 38.214 clause 5.1.6.2 (DMRS reception procedure), we can refer it. The clause also contains association between DMRS ports and PDSCH so that it can be removed from 211.</w:t>
            </w:r>
          </w:p>
          <w:p w14:paraId="5DE093AD" w14:textId="77777777" w:rsidR="00056EB5" w:rsidRDefault="00056EB5" w:rsidP="00056E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rPr>
                <w:rFonts w:eastAsia="Malgun Gothic"/>
                <w:lang w:eastAsia="ko-KR"/>
              </w:rPr>
              <w:t>Hence</w:t>
            </w:r>
            <w:proofErr w:type="gramEnd"/>
            <w:r>
              <w:rPr>
                <w:rFonts w:eastAsia="Malgun Gothic"/>
                <w:lang w:eastAsia="ko-KR"/>
              </w:rPr>
              <w:t xml:space="preserve"> we suggest the following change:</w:t>
            </w:r>
          </w:p>
          <w:tbl>
            <w:tblPr>
              <w:tblStyle w:val="TableGrid"/>
              <w:tblW w:w="0" w:type="auto"/>
              <w:tblLayout w:type="fixed"/>
              <w:tblLook w:val="04A0" w:firstRow="1" w:lastRow="0" w:firstColumn="1" w:lastColumn="0" w:noHBand="0" w:noVBand="1"/>
            </w:tblPr>
            <w:tblGrid>
              <w:gridCol w:w="6267"/>
            </w:tblGrid>
            <w:tr w:rsidR="00056EB5" w14:paraId="67D7B1FB" w14:textId="77777777" w:rsidTr="0008110C">
              <w:tc>
                <w:tcPr>
                  <w:tcW w:w="6267" w:type="dxa"/>
                </w:tcPr>
                <w:p w14:paraId="0B8E296B" w14:textId="77777777" w:rsidR="00056EB5" w:rsidRDefault="00056EB5" w:rsidP="00056EB5">
                  <w:pPr>
                    <w:pStyle w:val="00Text"/>
                    <w:rPr>
                      <w:rFonts w:eastAsia="Malgun Gothic"/>
                      <w:lang w:eastAsia="ko-KR"/>
                    </w:rPr>
                  </w:pPr>
                  <w:r w:rsidRPr="00FE31C7">
                    <w:rPr>
                      <w:rFonts w:eastAsia="Malgun Gothic"/>
                      <w:lang w:eastAsia="ko-KR"/>
                    </w:rPr>
                    <w:t>The UE may assume that the PDSCH DM-RS within the same CDM group are quasi co-located with respect to Doppler shift, Doppler spread, average delay, delay spread, and spatial Rx</w:t>
                  </w:r>
                  <w:ins w:id="18" w:author="Author">
                    <w:r>
                      <w:rPr>
                        <w:rFonts w:eastAsia="Malgun Gothic"/>
                        <w:lang w:eastAsia="ko-KR"/>
                      </w:rPr>
                      <w:t xml:space="preserve"> (when applicable</w:t>
                    </w:r>
                  </w:ins>
                  <w:r w:rsidRPr="00FE31C7">
                    <w:rPr>
                      <w:rFonts w:eastAsia="Malgun Gothic"/>
                      <w:lang w:eastAsia="ko-KR"/>
                    </w:rPr>
                    <w:t>.</w:t>
                  </w:r>
                  <w:ins w:id="19" w:author="Author">
                    <w:r>
                      <w:rPr>
                        <w:rFonts w:eastAsia="Malgun Gothic"/>
                        <w:lang w:eastAsia="ko-KR"/>
                      </w:rPr>
                      <w:t>)</w:t>
                    </w:r>
                  </w:ins>
                  <w:r w:rsidRPr="00FE31C7">
                    <w:rPr>
                      <w:rFonts w:eastAsia="Malgun Gothic"/>
                      <w:lang w:eastAsia="ko-KR"/>
                    </w:rPr>
                    <w:t xml:space="preserve"> The UE may assume that DMRS ports associated with a </w:t>
                  </w:r>
                  <w:ins w:id="20" w:author="Author">
                    <w:r>
                      <w:rPr>
                        <w:rFonts w:eastAsia="Malgun Gothic"/>
                        <w:lang w:eastAsia="ko-KR"/>
                      </w:rPr>
                      <w:t>TCI state as described in clause 5.1.6.2 of [6, TS 38.214]</w:t>
                    </w:r>
                  </w:ins>
                  <w:del w:id="21" w:author="Author">
                    <w:r w:rsidRPr="00FE31C7" w:rsidDel="004D2EDD">
                      <w:rPr>
                        <w:rFonts w:eastAsia="Malgun Gothic"/>
                        <w:lang w:eastAsia="ko-KR"/>
                      </w:rPr>
                      <w:delText>PDSCH</w:delText>
                    </w:r>
                  </w:del>
                  <w:r w:rsidRPr="00FE31C7">
                    <w:rPr>
                      <w:rFonts w:eastAsia="Malgun Gothic"/>
                      <w:lang w:eastAsia="ko-KR"/>
                    </w:rPr>
                    <w:t xml:space="preserve"> are QCL with QCL Type A, Type D (when applicable) and average gain.</w:t>
                  </w:r>
                </w:p>
              </w:tc>
            </w:tr>
          </w:tbl>
          <w:p w14:paraId="05EC46DA" w14:textId="77777777" w:rsidR="00056EB5" w:rsidRDefault="00056EB5" w:rsidP="00056EB5">
            <w:pPr>
              <w:pStyle w:val="00Text"/>
              <w:cnfStyle w:val="000000000000" w:firstRow="0" w:lastRow="0" w:firstColumn="0" w:lastColumn="0" w:oddVBand="0" w:evenVBand="0" w:oddHBand="0" w:evenHBand="0" w:firstRowFirstColumn="0" w:firstRowLastColumn="0" w:lastRowFirstColumn="0" w:lastRowLastColumn="0"/>
            </w:pPr>
          </w:p>
        </w:tc>
      </w:tr>
      <w:tr w:rsidR="00E826AE" w14:paraId="70683F87"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77683769" w14:textId="71EA886F" w:rsidR="00E826AE" w:rsidRDefault="00E826AE" w:rsidP="00E826AE">
            <w:pPr>
              <w:pStyle w:val="00Text"/>
              <w:rPr>
                <w:rFonts w:eastAsia="Malgun Gothic"/>
                <w:lang w:eastAsia="ko-KR"/>
              </w:rPr>
            </w:pPr>
            <w:r>
              <w:lastRenderedPageBreak/>
              <w:t>Ericsson</w:t>
            </w:r>
          </w:p>
        </w:tc>
        <w:tc>
          <w:tcPr>
            <w:tcW w:w="6660" w:type="dxa"/>
          </w:tcPr>
          <w:p w14:paraId="4D80EE0E" w14:textId="77777777" w:rsidR="00E826AE" w:rsidRDefault="00E826AE" w:rsidP="00E826AE">
            <w:pPr>
              <w:pStyle w:val="00Text"/>
              <w:cnfStyle w:val="000000000000" w:firstRow="0" w:lastRow="0" w:firstColumn="0" w:lastColumn="0" w:oddVBand="0" w:evenVBand="0" w:oddHBand="0" w:evenHBand="0" w:firstRowFirstColumn="0" w:firstRowLastColumn="0" w:lastRowFirstColumn="0" w:lastRowLastColumn="0"/>
            </w:pPr>
            <w:r>
              <w:t xml:space="preserve">We also do not prefer to remove the Rel-15 sentence.   We support revised version from </w:t>
            </w:r>
            <w:proofErr w:type="spellStart"/>
            <w:r>
              <w:t>Oppo</w:t>
            </w:r>
            <w:proofErr w:type="spellEnd"/>
            <w:r>
              <w:t>:</w:t>
            </w:r>
          </w:p>
          <w:p w14:paraId="66395FEE" w14:textId="77777777" w:rsidR="00E826AE" w:rsidRDefault="00E826AE" w:rsidP="00E826AE">
            <w:pPr>
              <w:pStyle w:val="00Text"/>
              <w:cnfStyle w:val="000000000000" w:firstRow="0" w:lastRow="0" w:firstColumn="0" w:lastColumn="0" w:oddVBand="0" w:evenVBand="0" w:oddHBand="0" w:evenHBand="0" w:firstRowFirstColumn="0" w:firstRowLastColumn="0" w:lastRowFirstColumn="0" w:lastRowLastColumn="0"/>
            </w:pPr>
            <w:r>
              <w:t>“</w:t>
            </w:r>
            <w:ins w:id="22" w:author="Author">
              <w:r>
                <w:rPr>
                  <w:rFonts w:eastAsia="DengXian" w:hint="eastAsia"/>
                  <w:szCs w:val="20"/>
                  <w:lang w:val="en-GB"/>
                </w:rPr>
                <w:t xml:space="preserve">Except for </w:t>
              </w:r>
              <w:r>
                <w:rPr>
                  <w:rFonts w:eastAsia="DengXian"/>
                  <w:szCs w:val="20"/>
                  <w:lang w:val="en-GB"/>
                </w:rPr>
                <w:t xml:space="preserve">a PDSCH </w:t>
              </w:r>
              <w:r>
                <w:rPr>
                  <w:rFonts w:eastAsia="DengXian" w:hint="eastAsia"/>
                  <w:color w:val="FF0000"/>
                  <w:szCs w:val="20"/>
                  <w:highlight w:val="yellow"/>
                  <w:lang w:val="en-GB"/>
                </w:rPr>
                <w:t>transmission</w:t>
              </w:r>
              <w:r>
                <w:rPr>
                  <w:rFonts w:eastAsia="DengXian" w:hint="eastAsia"/>
                  <w:color w:val="FF0000"/>
                  <w:szCs w:val="20"/>
                  <w:lang w:val="en-GB"/>
                </w:rPr>
                <w:t xml:space="preserve"> </w:t>
              </w:r>
              <w:r>
                <w:rPr>
                  <w:rFonts w:eastAsia="DengXian"/>
                  <w:szCs w:val="20"/>
                  <w:lang w:val="en-GB"/>
                </w:rPr>
                <w:t>associated with two TCI states</w:t>
              </w:r>
              <w:r>
                <w:rPr>
                  <w:rFonts w:eastAsiaTheme="minorEastAsia" w:hint="eastAsia"/>
                  <w:color w:val="000000"/>
                </w:rPr>
                <w:t>,</w:t>
              </w:r>
              <w:r>
                <w:rPr>
                  <w:rFonts w:eastAsiaTheme="minorEastAsia"/>
                  <w:color w:val="000000"/>
                </w:rPr>
                <w:t xml:space="preserve"> </w:t>
              </w:r>
              <w:r>
                <w:rPr>
                  <w:rFonts w:eastAsia="DengXian" w:hint="eastAsia"/>
                  <w:szCs w:val="20"/>
                  <w:lang w:val="en-GB"/>
                </w:rPr>
                <w:t>t</w:t>
              </w:r>
              <w:r>
                <w:rPr>
                  <w:rFonts w:eastAsia="DengXian"/>
                  <w:szCs w:val="20"/>
                  <w:lang w:val="en-GB"/>
                </w:rPr>
                <w:t xml:space="preserve">he </w:t>
              </w:r>
            </w:ins>
            <w:del w:id="23"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r>
              <w:t>”</w:t>
            </w:r>
          </w:p>
          <w:p w14:paraId="7422A6DC" w14:textId="57B75C17" w:rsidR="00E826AE" w:rsidRDefault="00E826AE" w:rsidP="001A6A84">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As pointed out by others above, the behavior for a PDSCH associated with two TCI states is defined in 38.214.  </w:t>
            </w:r>
            <w:proofErr w:type="gramStart"/>
            <w:r>
              <w:t>So</w:t>
            </w:r>
            <w:proofErr w:type="gramEnd"/>
            <w:r>
              <w:t xml:space="preserve"> no need to repeat that in 38.211.</w:t>
            </w:r>
          </w:p>
        </w:tc>
      </w:tr>
      <w:tr w:rsidR="0008110C" w14:paraId="5B6BBE5F"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6519ADF9" w14:textId="5621B4F7" w:rsidR="0008110C" w:rsidRDefault="0008110C" w:rsidP="00E826AE">
            <w:pPr>
              <w:pStyle w:val="00Text"/>
            </w:pPr>
            <w:r>
              <w:rPr>
                <w:rFonts w:hint="eastAsia"/>
              </w:rPr>
              <w:t>L</w:t>
            </w:r>
            <w:r>
              <w:t>enovo/MOT</w:t>
            </w:r>
          </w:p>
        </w:tc>
        <w:tc>
          <w:tcPr>
            <w:tcW w:w="6660" w:type="dxa"/>
          </w:tcPr>
          <w:p w14:paraId="47EA6C06" w14:textId="16578EF9" w:rsidR="001A6A84" w:rsidRDefault="001A6A84" w:rsidP="00E826AE">
            <w:pPr>
              <w:pStyle w:val="00Text"/>
              <w:cnfStyle w:val="000000000000" w:firstRow="0" w:lastRow="0" w:firstColumn="0" w:lastColumn="0" w:oddVBand="0" w:evenVBand="0" w:oddHBand="0" w:evenHBand="0" w:firstRowFirstColumn="0" w:firstRowLastColumn="0" w:lastRowFirstColumn="0" w:lastRowLastColumn="0"/>
            </w:pPr>
            <w:r>
              <w:t xml:space="preserve">We also prefer that the Rel-15 sentence </w:t>
            </w:r>
            <w:proofErr w:type="spellStart"/>
            <w:r>
              <w:t>can not</w:t>
            </w:r>
            <w:proofErr w:type="spellEnd"/>
            <w:r>
              <w:t xml:space="preserve"> be removed and fine with add “</w:t>
            </w:r>
            <w:r>
              <w:rPr>
                <w:rFonts w:eastAsia="Malgun Gothic"/>
                <w:lang w:eastAsia="ko-KR"/>
              </w:rPr>
              <w:t>(when applicable)</w:t>
            </w:r>
            <w:r>
              <w:t>”.</w:t>
            </w:r>
            <w:r>
              <w:rPr>
                <w:rFonts w:hint="eastAsia"/>
              </w:rPr>
              <w:t xml:space="preserve"> </w:t>
            </w:r>
            <w:r>
              <w:t xml:space="preserve"> We support Samsung’s version:</w:t>
            </w:r>
          </w:p>
          <w:p w14:paraId="25341DE6" w14:textId="4AE6E121" w:rsidR="001A6A84" w:rsidRDefault="001A6A84" w:rsidP="00E826AE">
            <w:pPr>
              <w:pStyle w:val="00Text"/>
              <w:cnfStyle w:val="000000000000" w:firstRow="0" w:lastRow="0" w:firstColumn="0" w:lastColumn="0" w:oddVBand="0" w:evenVBand="0" w:oddHBand="0" w:evenHBand="0" w:firstRowFirstColumn="0" w:firstRowLastColumn="0" w:lastRowFirstColumn="0" w:lastRowLastColumn="0"/>
            </w:pPr>
            <w:r w:rsidRPr="00FE31C7">
              <w:rPr>
                <w:rFonts w:eastAsia="Malgun Gothic"/>
                <w:lang w:eastAsia="ko-KR"/>
              </w:rPr>
              <w:t>The UE may assume that the PDSCH DM-RS within the same CDM group are quasi co-located with respect to Doppler shift, Doppler spread, average delay, delay spread, and spatial Rx</w:t>
            </w:r>
            <w:ins w:id="24" w:author="Author">
              <w:r>
                <w:rPr>
                  <w:rFonts w:eastAsia="Malgun Gothic"/>
                  <w:lang w:eastAsia="ko-KR"/>
                </w:rPr>
                <w:t xml:space="preserve"> (when applicable</w:t>
              </w:r>
            </w:ins>
            <w:r w:rsidRPr="00FE31C7">
              <w:rPr>
                <w:rFonts w:eastAsia="Malgun Gothic"/>
                <w:lang w:eastAsia="ko-KR"/>
              </w:rPr>
              <w:t>.</w:t>
            </w:r>
            <w:ins w:id="25" w:author="Author">
              <w:r>
                <w:rPr>
                  <w:rFonts w:eastAsia="Malgun Gothic"/>
                  <w:lang w:eastAsia="ko-KR"/>
                </w:rPr>
                <w:t>)</w:t>
              </w:r>
            </w:ins>
            <w:r w:rsidRPr="00FE31C7">
              <w:rPr>
                <w:rFonts w:eastAsia="Malgun Gothic"/>
                <w:lang w:eastAsia="ko-KR"/>
              </w:rPr>
              <w:t xml:space="preserve"> The UE may assume that DMRS ports associated with a </w:t>
            </w:r>
            <w:ins w:id="26" w:author="Author">
              <w:r>
                <w:rPr>
                  <w:rFonts w:eastAsia="Malgun Gothic"/>
                  <w:lang w:eastAsia="ko-KR"/>
                </w:rPr>
                <w:t>TCI state as described in clause 5.1.6.2 of [6, TS 38.214]</w:t>
              </w:r>
            </w:ins>
            <w:del w:id="27" w:author="Author">
              <w:r w:rsidRPr="00FE31C7" w:rsidDel="004D2EDD">
                <w:rPr>
                  <w:rFonts w:eastAsia="Malgun Gothic"/>
                  <w:lang w:eastAsia="ko-KR"/>
                </w:rPr>
                <w:delText>PDSCH</w:delText>
              </w:r>
            </w:del>
            <w:r w:rsidRPr="00FE31C7">
              <w:rPr>
                <w:rFonts w:eastAsia="Malgun Gothic"/>
                <w:lang w:eastAsia="ko-KR"/>
              </w:rPr>
              <w:t xml:space="preserve"> are QCL with QCL Type A, Type D (when applicable) and average gain.</w:t>
            </w:r>
          </w:p>
        </w:tc>
      </w:tr>
      <w:tr w:rsidR="00001F8B" w14:paraId="475A23EB"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17B8693C" w14:textId="01BD3AC3" w:rsidR="00001F8B" w:rsidRDefault="00001F8B" w:rsidP="00001F8B">
            <w:pPr>
              <w:pStyle w:val="00Text"/>
            </w:pPr>
            <w:proofErr w:type="spellStart"/>
            <w:r>
              <w:t>Convida</w:t>
            </w:r>
            <w:proofErr w:type="spellEnd"/>
            <w:r>
              <w:t xml:space="preserve"> Wireless</w:t>
            </w:r>
          </w:p>
        </w:tc>
        <w:tc>
          <w:tcPr>
            <w:tcW w:w="6660" w:type="dxa"/>
          </w:tcPr>
          <w:p w14:paraId="18A9DB98" w14:textId="555AA103" w:rsidR="00001F8B" w:rsidRDefault="00001F8B" w:rsidP="00001F8B">
            <w:pPr>
              <w:pStyle w:val="00Text"/>
              <w:cnfStyle w:val="000000000000" w:firstRow="0" w:lastRow="0" w:firstColumn="0" w:lastColumn="0" w:oddVBand="0" w:evenVBand="0" w:oddHBand="0" w:evenHBand="0" w:firstRowFirstColumn="0" w:firstRowLastColumn="0" w:lastRowFirstColumn="0" w:lastRowLastColumn="0"/>
            </w:pPr>
            <w:r>
              <w:t>Prefer a modified Alt 2, e.g. according to the proposal from ZTE or OPPO.</w:t>
            </w:r>
          </w:p>
        </w:tc>
      </w:tr>
    </w:tbl>
    <w:p w14:paraId="46EEA849" w14:textId="77777777" w:rsidR="00A04D9F" w:rsidRDefault="00A04D9F">
      <w:pPr>
        <w:pStyle w:val="00Text"/>
      </w:pPr>
    </w:p>
    <w:p w14:paraId="4CBAE46A" w14:textId="09BBBA48" w:rsidR="00A04D9F" w:rsidRDefault="00F31A5F">
      <w:pPr>
        <w:pStyle w:val="01"/>
        <w:numPr>
          <w:ilvl w:val="0"/>
          <w:numId w:val="1"/>
        </w:numPr>
        <w:ind w:left="562" w:hanging="562"/>
      </w:pPr>
      <w:r>
        <w:t>Updated Proposal</w:t>
      </w:r>
    </w:p>
    <w:p w14:paraId="01E601D9" w14:textId="025F5BDB" w:rsidR="00F31A5F" w:rsidRDefault="00F31A5F" w:rsidP="00F31A5F">
      <w:pPr>
        <w:pStyle w:val="00Text"/>
      </w:pPr>
    </w:p>
    <w:p w14:paraId="1F539071" w14:textId="3FE6BF8C" w:rsidR="00F31A5F" w:rsidRPr="002705E4" w:rsidRDefault="00F31A5F" w:rsidP="00F31A5F">
      <w:pPr>
        <w:pStyle w:val="00Text"/>
        <w:rPr>
          <w:b/>
          <w:bCs/>
        </w:rPr>
      </w:pPr>
      <w:r w:rsidRPr="002705E4">
        <w:rPr>
          <w:b/>
          <w:bCs/>
        </w:rPr>
        <w:t>Proposal: adopt the following TP for TS 38.211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F31A5F" w14:paraId="49803B5F" w14:textId="77777777" w:rsidTr="00741FC8">
        <w:tc>
          <w:tcPr>
            <w:tcW w:w="9288" w:type="dxa"/>
            <w:shd w:val="clear" w:color="auto" w:fill="auto"/>
          </w:tcPr>
          <w:p w14:paraId="5E9B00A4" w14:textId="77777777" w:rsidR="00F31A5F" w:rsidRDefault="00F31A5F" w:rsidP="00741FC8">
            <w:pPr>
              <w:keepNext/>
              <w:keepLines/>
              <w:spacing w:before="120" w:after="180"/>
              <w:ind w:left="1701" w:hanging="1701"/>
              <w:outlineLvl w:val="4"/>
              <w:rPr>
                <w:rFonts w:ascii="Arial" w:eastAsia="DengXian" w:hAnsi="Arial"/>
                <w:sz w:val="22"/>
                <w:szCs w:val="20"/>
                <w:lang w:val="en-GB"/>
              </w:rPr>
            </w:pPr>
            <w:r>
              <w:rPr>
                <w:rFonts w:ascii="Arial" w:eastAsia="DengXian" w:hAnsi="Arial"/>
                <w:sz w:val="22"/>
                <w:szCs w:val="20"/>
                <w:lang w:val="en-GB"/>
              </w:rPr>
              <w:t>7.4.1.1.2</w:t>
            </w:r>
            <w:r>
              <w:rPr>
                <w:rFonts w:ascii="Arial" w:eastAsia="DengXian" w:hAnsi="Arial"/>
                <w:sz w:val="22"/>
                <w:szCs w:val="20"/>
                <w:lang w:val="en-GB"/>
              </w:rPr>
              <w:tab/>
              <w:t>Mapping to physical resources</w:t>
            </w:r>
          </w:p>
          <w:p w14:paraId="7B7486E4" w14:textId="77777777" w:rsidR="00F31A5F" w:rsidRDefault="00F31A5F" w:rsidP="00741FC8">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4067C793" w14:textId="77777777" w:rsidR="00F31A5F" w:rsidRDefault="00F31A5F" w:rsidP="00741FC8">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w:t>
            </w:r>
            <w:ins w:id="28" w:author="Author" w:date="2020-05-26T21:49:00Z">
              <w:r>
                <w:rPr>
                  <w:rFonts w:hint="eastAsia"/>
                  <w:color w:val="FF0000"/>
                </w:rPr>
                <w:t xml:space="preserve">Unless specified otherwise, </w:t>
              </w:r>
            </w:ins>
            <w:del w:id="29" w:author="Author" w:date="2020-05-26T21:49:00Z">
              <w:r w:rsidDel="00D60F93">
                <w:rPr>
                  <w:rFonts w:eastAsia="DengXian"/>
                  <w:szCs w:val="20"/>
                  <w:lang w:val="en-GB"/>
                </w:rPr>
                <w:delText xml:space="preserve">The </w:delText>
              </w:r>
            </w:del>
            <w:ins w:id="30" w:author="Author" w:date="2020-05-26T21:49:00Z">
              <w:r>
                <w:rPr>
                  <w:rFonts w:eastAsia="DengXian"/>
                  <w:szCs w:val="20"/>
                  <w:lang w:val="en-GB"/>
                </w:rPr>
                <w:t>t</w:t>
              </w:r>
              <w:r>
                <w:rPr>
                  <w:rFonts w:eastAsia="DengXian"/>
                  <w:szCs w:val="20"/>
                  <w:lang w:val="en-GB"/>
                </w:rPr>
                <w:t xml:space="preserve">he </w:t>
              </w:r>
            </w:ins>
            <w:r>
              <w:rPr>
                <w:rFonts w:eastAsia="DengXian"/>
                <w:szCs w:val="20"/>
                <w:lang w:val="en-GB"/>
              </w:rPr>
              <w:t>UE may assume that the PDSCH DM-RS within the same CDM group are quasi co-located with respect to Doppler shift, Doppler spread, average delay, delay spread, and spatial Rx</w:t>
            </w:r>
            <w:ins w:id="31" w:author="Author" w:date="2020-05-26T21:44:00Z">
              <w:r>
                <w:rPr>
                  <w:rFonts w:eastAsia="DengXian"/>
                  <w:szCs w:val="20"/>
                  <w:lang w:val="en-GB"/>
                </w:rPr>
                <w:t xml:space="preserve"> (</w:t>
              </w:r>
              <w:r>
                <w:rPr>
                  <w:rFonts w:eastAsiaTheme="minorEastAsia" w:hint="eastAsia"/>
                </w:rPr>
                <w:t>w</w:t>
              </w:r>
              <w:r>
                <w:t>hen</w:t>
              </w:r>
              <w:r>
                <w:rPr>
                  <w:rFonts w:hint="eastAsia"/>
                </w:rPr>
                <w:t xml:space="preserve"> applicable</w:t>
              </w:r>
              <w:r>
                <w:rPr>
                  <w:rFonts w:eastAsia="DengXian"/>
                  <w:szCs w:val="20"/>
                  <w:lang w:val="en-GB"/>
                </w:rPr>
                <w:t>)</w:t>
              </w:r>
            </w:ins>
            <w:r>
              <w:rPr>
                <w:rFonts w:eastAsia="DengXian"/>
                <w:szCs w:val="20"/>
                <w:lang w:val="en-GB"/>
              </w:rPr>
              <w:t xml:space="preserve">. UE may assume that DMRS ports associated with a </w:t>
            </w:r>
            <w:ins w:id="32" w:author="Author" w:date="2020-05-26T21:44:00Z">
              <w:r>
                <w:rPr>
                  <w:rFonts w:eastAsia="DengXian"/>
                  <w:szCs w:val="20"/>
                  <w:lang w:val="en-GB"/>
                </w:rPr>
                <w:t xml:space="preserve">TCI state </w:t>
              </w:r>
            </w:ins>
            <w:ins w:id="33" w:author="Author" w:date="2020-05-26T21:46:00Z">
              <w:r>
                <w:rPr>
                  <w:rFonts w:eastAsia="Malgun Gothic"/>
                  <w:lang w:eastAsia="ko-KR"/>
                </w:rPr>
                <w:t>as described in clause 5.1.6.2 of [6, TS 38.214]</w:t>
              </w:r>
            </w:ins>
            <w:del w:id="34" w:author="Author" w:date="2020-05-26T21:45:00Z">
              <w:r w:rsidDel="00D60F93">
                <w:rPr>
                  <w:rFonts w:eastAsia="DengXian"/>
                  <w:szCs w:val="20"/>
                  <w:lang w:val="en-GB"/>
                </w:rPr>
                <w:delText xml:space="preserve">PDSCH </w:delText>
              </w:r>
            </w:del>
            <w:r>
              <w:rPr>
                <w:rFonts w:eastAsia="DengXian"/>
                <w:szCs w:val="20"/>
                <w:lang w:val="en-GB"/>
              </w:rPr>
              <w:t>are QCL with QCL Type A, Type D (when applicable) and average gain.</w:t>
            </w:r>
          </w:p>
          <w:p w14:paraId="686017DC" w14:textId="77777777" w:rsidR="00F31A5F" w:rsidRDefault="00F31A5F" w:rsidP="00741FC8">
            <w:pPr>
              <w:spacing w:after="180"/>
              <w:rPr>
                <w:rFonts w:eastAsia="DengXian"/>
                <w:szCs w:val="20"/>
                <w:lang w:val="en-GB" w:eastAsia="zh-CN"/>
              </w:rPr>
            </w:pPr>
            <w:r>
              <w:rPr>
                <w:rFonts w:eastAsia="DengXian"/>
                <w:szCs w:val="20"/>
                <w:lang w:val="en-GB"/>
              </w:rPr>
              <w:t>The UE may assume that no DM-RS collides with the SS/PBCH block.</w:t>
            </w:r>
          </w:p>
        </w:tc>
      </w:tr>
    </w:tbl>
    <w:p w14:paraId="5E64E027" w14:textId="41CF38E5" w:rsidR="00F31A5F" w:rsidRDefault="00F31A5F" w:rsidP="00F31A5F">
      <w:pPr>
        <w:pStyle w:val="00Text"/>
      </w:pPr>
    </w:p>
    <w:tbl>
      <w:tblPr>
        <w:tblStyle w:val="GridTable4-Accent11"/>
        <w:tblW w:w="9288" w:type="dxa"/>
        <w:tblLayout w:type="fixed"/>
        <w:tblLook w:val="04A0" w:firstRow="1" w:lastRow="0" w:firstColumn="1" w:lastColumn="0" w:noHBand="0" w:noVBand="1"/>
      </w:tblPr>
      <w:tblGrid>
        <w:gridCol w:w="2628"/>
        <w:gridCol w:w="6660"/>
      </w:tblGrid>
      <w:tr w:rsidR="002705E4" w14:paraId="3CF924A3" w14:textId="77777777" w:rsidTr="00741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98133E4" w14:textId="77777777" w:rsidR="002705E4" w:rsidRDefault="002705E4" w:rsidP="00741FC8">
            <w:pPr>
              <w:pStyle w:val="00Text"/>
              <w:jc w:val="center"/>
              <w:rPr>
                <w:b w:val="0"/>
                <w:bCs w:val="0"/>
              </w:rPr>
            </w:pPr>
            <w:r>
              <w:lastRenderedPageBreak/>
              <w:t>Company</w:t>
            </w:r>
          </w:p>
        </w:tc>
        <w:tc>
          <w:tcPr>
            <w:tcW w:w="6660" w:type="dxa"/>
          </w:tcPr>
          <w:p w14:paraId="1CB092B6" w14:textId="77777777" w:rsidR="002705E4" w:rsidRDefault="002705E4" w:rsidP="00741FC8">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2705E4" w14:paraId="05037C1B" w14:textId="77777777" w:rsidTr="00741FC8">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3CFF56DC" w14:textId="09B6EEA0" w:rsidR="002705E4" w:rsidRDefault="002705E4" w:rsidP="00741FC8">
            <w:pPr>
              <w:pStyle w:val="00Text"/>
              <w:rPr>
                <w:b w:val="0"/>
                <w:bCs w:val="0"/>
              </w:rPr>
            </w:pPr>
          </w:p>
        </w:tc>
        <w:tc>
          <w:tcPr>
            <w:tcW w:w="6660" w:type="dxa"/>
            <w:shd w:val="clear" w:color="auto" w:fill="D9E2F3" w:themeFill="accent1" w:themeFillTint="33"/>
          </w:tcPr>
          <w:p w14:paraId="247A5B0B" w14:textId="446C4C46" w:rsidR="002705E4" w:rsidRDefault="002705E4" w:rsidP="00741FC8">
            <w:pPr>
              <w:pStyle w:val="00Text"/>
              <w:spacing w:after="0" w:afterAutospacing="0"/>
              <w:ind w:left="420"/>
              <w:cnfStyle w:val="000000000000" w:firstRow="0" w:lastRow="0" w:firstColumn="0" w:lastColumn="0" w:oddVBand="0" w:evenVBand="0" w:oddHBand="0" w:evenHBand="0" w:firstRowFirstColumn="0" w:firstRowLastColumn="0" w:lastRowFirstColumn="0" w:lastRowLastColumn="0"/>
            </w:pPr>
          </w:p>
        </w:tc>
      </w:tr>
      <w:tr w:rsidR="002705E4" w14:paraId="0364931C" w14:textId="77777777" w:rsidTr="00741FC8">
        <w:tc>
          <w:tcPr>
            <w:cnfStyle w:val="001000000000" w:firstRow="0" w:lastRow="0" w:firstColumn="1" w:lastColumn="0" w:oddVBand="0" w:evenVBand="0" w:oddHBand="0" w:evenHBand="0" w:firstRowFirstColumn="0" w:firstRowLastColumn="0" w:lastRowFirstColumn="0" w:lastRowLastColumn="0"/>
            <w:tcW w:w="2628" w:type="dxa"/>
          </w:tcPr>
          <w:p w14:paraId="71BCD9BE" w14:textId="2C80D9D4" w:rsidR="002705E4" w:rsidRDefault="002705E4" w:rsidP="00741FC8">
            <w:pPr>
              <w:pStyle w:val="00Text"/>
              <w:rPr>
                <w:b w:val="0"/>
                <w:bCs w:val="0"/>
              </w:rPr>
            </w:pPr>
          </w:p>
        </w:tc>
        <w:tc>
          <w:tcPr>
            <w:tcW w:w="6660" w:type="dxa"/>
          </w:tcPr>
          <w:p w14:paraId="40B1E32A" w14:textId="49ED37C2" w:rsidR="002705E4" w:rsidRDefault="002705E4" w:rsidP="00741FC8">
            <w:pPr>
              <w:pStyle w:val="00Text"/>
              <w:cnfStyle w:val="000000000000" w:firstRow="0" w:lastRow="0" w:firstColumn="0" w:lastColumn="0" w:oddVBand="0" w:evenVBand="0" w:oddHBand="0" w:evenHBand="0" w:firstRowFirstColumn="0" w:firstRowLastColumn="0" w:lastRowFirstColumn="0" w:lastRowLastColumn="0"/>
            </w:pPr>
          </w:p>
        </w:tc>
      </w:tr>
    </w:tbl>
    <w:p w14:paraId="45C674F2" w14:textId="77777777" w:rsidR="002705E4" w:rsidRDefault="002705E4" w:rsidP="00F31A5F">
      <w:pPr>
        <w:pStyle w:val="00Text"/>
      </w:pPr>
    </w:p>
    <w:p w14:paraId="6F55F732" w14:textId="77777777" w:rsidR="00F31A5F" w:rsidRDefault="00F31A5F" w:rsidP="00F31A5F">
      <w:pPr>
        <w:pStyle w:val="00Text"/>
      </w:pPr>
    </w:p>
    <w:p w14:paraId="04E8F342" w14:textId="77777777" w:rsidR="00F31A5F" w:rsidRDefault="00F31A5F" w:rsidP="00F31A5F">
      <w:pPr>
        <w:pStyle w:val="01"/>
        <w:numPr>
          <w:ilvl w:val="0"/>
          <w:numId w:val="1"/>
        </w:numPr>
        <w:ind w:left="562" w:hanging="562"/>
      </w:pPr>
      <w:r>
        <w:t>Reference</w:t>
      </w:r>
    </w:p>
    <w:p w14:paraId="38D9A5ED" w14:textId="77777777" w:rsidR="00A04D9F" w:rsidRDefault="002B3FDB">
      <w:pPr>
        <w:pStyle w:val="00Text"/>
        <w:numPr>
          <w:ilvl w:val="0"/>
          <w:numId w:val="11"/>
        </w:numPr>
        <w:spacing w:before="120" w:after="120" w:afterAutospacing="0"/>
      </w:pPr>
      <w:r>
        <w:t>R1-2003397</w:t>
      </w:r>
      <w:r>
        <w:tab/>
        <w:t>On remaining issues on M-TRP</w:t>
      </w:r>
      <w:r>
        <w:tab/>
        <w:t>vivo</w:t>
      </w:r>
    </w:p>
    <w:p w14:paraId="10BF52C3" w14:textId="77777777" w:rsidR="00A04D9F" w:rsidRDefault="002B3FDB">
      <w:pPr>
        <w:pStyle w:val="00Text"/>
        <w:numPr>
          <w:ilvl w:val="0"/>
          <w:numId w:val="11"/>
        </w:numPr>
        <w:spacing w:before="120" w:after="120" w:afterAutospacing="0"/>
      </w:pPr>
      <w:r>
        <w:t>R1-2003469</w:t>
      </w:r>
      <w:r>
        <w:tab/>
        <w:t>Maintenance of multi-TRP enhancements</w:t>
      </w:r>
      <w:r>
        <w:tab/>
        <w:t>ZTE</w:t>
      </w:r>
    </w:p>
    <w:p w14:paraId="16D6B844" w14:textId="77777777" w:rsidR="00A04D9F" w:rsidRDefault="002B3FDB">
      <w:pPr>
        <w:pStyle w:val="00Text"/>
        <w:numPr>
          <w:ilvl w:val="0"/>
          <w:numId w:val="11"/>
        </w:numPr>
        <w:spacing w:before="120" w:after="120" w:afterAutospacing="0"/>
      </w:pPr>
      <w:r>
        <w:t>R1-2003531</w:t>
      </w:r>
      <w:r>
        <w:tab/>
        <w:t>Remaining issues on multi-TRP in R16</w:t>
      </w:r>
      <w:r>
        <w:tab/>
        <w:t xml:space="preserve">Huawei, </w:t>
      </w:r>
      <w:proofErr w:type="spellStart"/>
      <w:r>
        <w:t>HiSilicon</w:t>
      </w:r>
      <w:proofErr w:type="spellEnd"/>
    </w:p>
    <w:p w14:paraId="4667CFBC" w14:textId="77777777" w:rsidR="00A04D9F" w:rsidRDefault="002B3FDB">
      <w:pPr>
        <w:pStyle w:val="00Text"/>
        <w:numPr>
          <w:ilvl w:val="0"/>
          <w:numId w:val="11"/>
        </w:numPr>
        <w:spacing w:before="120" w:after="120" w:afterAutospacing="0"/>
      </w:pPr>
      <w:r>
        <w:t>R1-2003627</w:t>
      </w:r>
      <w:r>
        <w:tab/>
        <w:t>Discussion on remaining issues of multi-TRP/panel transmission</w:t>
      </w:r>
      <w:r>
        <w:tab/>
        <w:t>CATT</w:t>
      </w:r>
    </w:p>
    <w:p w14:paraId="179940A2" w14:textId="77777777" w:rsidR="00A04D9F" w:rsidRDefault="002B3FDB">
      <w:pPr>
        <w:pStyle w:val="00Text"/>
        <w:numPr>
          <w:ilvl w:val="0"/>
          <w:numId w:val="11"/>
        </w:numPr>
        <w:spacing w:before="120" w:after="120" w:afterAutospacing="0"/>
      </w:pPr>
      <w:r>
        <w:t>R1-2003660</w:t>
      </w:r>
      <w:r>
        <w:tab/>
        <w:t>Remaining issues on multi-TRP transmission</w:t>
      </w:r>
      <w:r>
        <w:tab/>
        <w:t>MediaTek Inc.</w:t>
      </w:r>
    </w:p>
    <w:p w14:paraId="6D513874" w14:textId="77777777" w:rsidR="00A04D9F" w:rsidRDefault="002B3FDB">
      <w:pPr>
        <w:pStyle w:val="00Text"/>
        <w:numPr>
          <w:ilvl w:val="0"/>
          <w:numId w:val="11"/>
        </w:numPr>
        <w:spacing w:before="120" w:after="120" w:afterAutospacing="0"/>
      </w:pPr>
      <w:r>
        <w:t>R1-2003742</w:t>
      </w:r>
      <w:r>
        <w:tab/>
        <w:t>Corrections to multi-TRP</w:t>
      </w:r>
      <w:r>
        <w:tab/>
        <w:t>Intel Corporation</w:t>
      </w:r>
    </w:p>
    <w:p w14:paraId="5FEF9D6B" w14:textId="77777777" w:rsidR="00A04D9F" w:rsidRDefault="002B3FDB">
      <w:pPr>
        <w:pStyle w:val="00Text"/>
        <w:numPr>
          <w:ilvl w:val="0"/>
          <w:numId w:val="11"/>
        </w:numPr>
        <w:spacing w:before="120" w:after="120" w:afterAutospacing="0"/>
      </w:pPr>
      <w:r>
        <w:t>R1-2003819</w:t>
      </w:r>
      <w:r>
        <w:tab/>
        <w:t>Remaining issues on multi-TRP/panel transmission</w:t>
      </w:r>
      <w:r>
        <w:tab/>
        <w:t>Lenovo, Motorola Mobility</w:t>
      </w:r>
    </w:p>
    <w:p w14:paraId="067705A4" w14:textId="77777777" w:rsidR="00A04D9F" w:rsidRDefault="002B3FDB">
      <w:pPr>
        <w:pStyle w:val="00Text"/>
        <w:numPr>
          <w:ilvl w:val="0"/>
          <w:numId w:val="11"/>
        </w:numPr>
        <w:spacing w:before="120" w:after="120" w:afterAutospacing="0"/>
      </w:pPr>
      <w:r>
        <w:t>R1-2003881</w:t>
      </w:r>
      <w:r>
        <w:tab/>
        <w:t>On Rel.16 multi-TRP/panel transmission</w:t>
      </w:r>
      <w:r>
        <w:tab/>
        <w:t>Samsung</w:t>
      </w:r>
    </w:p>
    <w:p w14:paraId="1F200A0B" w14:textId="77777777" w:rsidR="00A04D9F" w:rsidRDefault="002B3FDB">
      <w:pPr>
        <w:pStyle w:val="00Text"/>
        <w:numPr>
          <w:ilvl w:val="0"/>
          <w:numId w:val="11"/>
        </w:numPr>
        <w:spacing w:before="120" w:after="120" w:afterAutospacing="0"/>
      </w:pPr>
      <w:r>
        <w:t>R1-2003928</w:t>
      </w:r>
      <w:r>
        <w:tab/>
        <w:t>Text proposals on enhancements on multi-TRP/panel transmission</w:t>
      </w:r>
      <w:r>
        <w:tab/>
        <w:t>LG Electronics</w:t>
      </w:r>
    </w:p>
    <w:p w14:paraId="2B2E1AF1" w14:textId="77777777" w:rsidR="00A04D9F" w:rsidRDefault="002B3FDB">
      <w:pPr>
        <w:pStyle w:val="00Text"/>
        <w:numPr>
          <w:ilvl w:val="0"/>
          <w:numId w:val="11"/>
        </w:numPr>
        <w:spacing w:before="120" w:after="120" w:afterAutospacing="0"/>
      </w:pPr>
      <w:r>
        <w:t>R1-2003954</w:t>
      </w:r>
      <w:r>
        <w:tab/>
        <w:t>Remaining issues on multi-TRP/panel transmission</w:t>
      </w:r>
      <w:r>
        <w:tab/>
        <w:t>CMCC</w:t>
      </w:r>
    </w:p>
    <w:p w14:paraId="22CC6C50" w14:textId="77777777" w:rsidR="00A04D9F" w:rsidRDefault="002B3FDB">
      <w:pPr>
        <w:pStyle w:val="00Text"/>
        <w:numPr>
          <w:ilvl w:val="0"/>
          <w:numId w:val="11"/>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17640DF6" w14:textId="77777777" w:rsidR="00A04D9F" w:rsidRDefault="002B3FDB">
      <w:pPr>
        <w:pStyle w:val="00Text"/>
        <w:numPr>
          <w:ilvl w:val="0"/>
          <w:numId w:val="11"/>
        </w:numPr>
        <w:spacing w:before="120" w:after="120" w:afterAutospacing="0"/>
      </w:pPr>
      <w:r>
        <w:t>R1-2004047</w:t>
      </w:r>
      <w:r>
        <w:tab/>
        <w:t>Text proposals for enhancements on multi-TRP and panel Transmission</w:t>
      </w:r>
      <w:r>
        <w:tab/>
        <w:t>OPPO</w:t>
      </w:r>
    </w:p>
    <w:p w14:paraId="7478421F" w14:textId="77777777" w:rsidR="00A04D9F" w:rsidRDefault="002B3FDB">
      <w:pPr>
        <w:pStyle w:val="00Text"/>
        <w:numPr>
          <w:ilvl w:val="0"/>
          <w:numId w:val="11"/>
        </w:numPr>
        <w:spacing w:before="120" w:after="120" w:afterAutospacing="0"/>
      </w:pPr>
      <w:r>
        <w:t>R1-2004229</w:t>
      </w:r>
      <w:r>
        <w:tab/>
        <w:t>Remaining issues for Multi-TRP enhancement</w:t>
      </w:r>
      <w:r>
        <w:tab/>
        <w:t>Apple</w:t>
      </w:r>
    </w:p>
    <w:p w14:paraId="448DA276" w14:textId="77777777" w:rsidR="00A04D9F" w:rsidRDefault="002B3FDB">
      <w:pPr>
        <w:pStyle w:val="00Text"/>
        <w:numPr>
          <w:ilvl w:val="0"/>
          <w:numId w:val="11"/>
        </w:numPr>
        <w:spacing w:before="120" w:after="120" w:afterAutospacing="0"/>
      </w:pPr>
      <w:r>
        <w:t>R1-2004265</w:t>
      </w:r>
      <w:r>
        <w:tab/>
        <w:t>Maintenance of Rel-16 Multi-TRP operation</w:t>
      </w:r>
      <w:r>
        <w:tab/>
        <w:t>Nokia, Nokia Shanghai Bell</w:t>
      </w:r>
    </w:p>
    <w:p w14:paraId="089E64CF" w14:textId="77777777" w:rsidR="00A04D9F" w:rsidRDefault="002B3FDB">
      <w:pPr>
        <w:pStyle w:val="00Text"/>
        <w:numPr>
          <w:ilvl w:val="0"/>
          <w:numId w:val="11"/>
        </w:numPr>
        <w:spacing w:before="120" w:after="120" w:afterAutospacing="0"/>
      </w:pPr>
      <w:r>
        <w:t>R1-2004311</w:t>
      </w:r>
      <w:r>
        <w:tab/>
        <w:t>Remaining issues on multi-TRP transmission</w:t>
      </w:r>
      <w:r>
        <w:tab/>
        <w:t>NEC</w:t>
      </w:r>
    </w:p>
    <w:p w14:paraId="3F8E07CE" w14:textId="77777777" w:rsidR="00A04D9F" w:rsidRDefault="002B3FDB">
      <w:pPr>
        <w:pStyle w:val="00Text"/>
        <w:numPr>
          <w:ilvl w:val="0"/>
          <w:numId w:val="11"/>
        </w:numPr>
        <w:spacing w:before="120" w:after="120" w:afterAutospacing="0"/>
      </w:pPr>
      <w:r>
        <w:t>R1-2004395</w:t>
      </w:r>
      <w:r>
        <w:tab/>
        <w:t>Remaining issues on multi-TRP/panel transmission</w:t>
      </w:r>
      <w:r>
        <w:tab/>
        <w:t>NTT DOCOMO, INC</w:t>
      </w:r>
    </w:p>
    <w:p w14:paraId="46CE42ED" w14:textId="77777777" w:rsidR="00A04D9F" w:rsidRDefault="002B3FDB">
      <w:pPr>
        <w:pStyle w:val="00Text"/>
        <w:numPr>
          <w:ilvl w:val="0"/>
          <w:numId w:val="11"/>
        </w:numPr>
        <w:spacing w:before="120" w:after="120" w:afterAutospacing="0"/>
      </w:pPr>
      <w:r>
        <w:t>R1-2004432</w:t>
      </w:r>
      <w:r>
        <w:tab/>
        <w:t>Remaining issues on Multi-TRP/Panel Transmission</w:t>
      </w:r>
      <w:r>
        <w:tab/>
        <w:t>Ericsson</w:t>
      </w:r>
    </w:p>
    <w:p w14:paraId="71EA56CF" w14:textId="77777777" w:rsidR="00A04D9F" w:rsidRDefault="002B3FDB">
      <w:pPr>
        <w:pStyle w:val="00Text"/>
        <w:numPr>
          <w:ilvl w:val="0"/>
          <w:numId w:val="11"/>
        </w:numPr>
        <w:spacing w:before="120" w:after="120" w:afterAutospacing="0"/>
      </w:pPr>
      <w:r>
        <w:t>R1-2004463</w:t>
      </w:r>
      <w:r>
        <w:tab/>
        <w:t>Multi-TRP Enhancements</w:t>
      </w:r>
      <w:r>
        <w:tab/>
        <w:t>Qualcomm Incorporated</w:t>
      </w:r>
    </w:p>
    <w:p w14:paraId="461145CD" w14:textId="77777777" w:rsidR="00A04D9F" w:rsidRDefault="002B3FDB">
      <w:pPr>
        <w:pStyle w:val="00Text"/>
        <w:numPr>
          <w:ilvl w:val="0"/>
          <w:numId w:val="11"/>
        </w:numPr>
        <w:spacing w:before="120" w:after="120" w:afterAutospacing="0"/>
      </w:pPr>
      <w:r>
        <w:t>R1-2004592</w:t>
      </w:r>
      <w:r>
        <w:tab/>
        <w:t>Clarification on Multi-TRP URLLC Scheme 4</w:t>
      </w:r>
      <w:r>
        <w:tab/>
      </w:r>
      <w:proofErr w:type="spellStart"/>
      <w:r>
        <w:t>Convida</w:t>
      </w:r>
      <w:proofErr w:type="spellEnd"/>
      <w:r>
        <w:t xml:space="preserve"> Wireless</w:t>
      </w:r>
    </w:p>
    <w:p w14:paraId="1FAF9407" w14:textId="77777777" w:rsidR="00A04D9F" w:rsidRDefault="002B3FDB">
      <w:pPr>
        <w:pStyle w:val="00Text"/>
        <w:numPr>
          <w:ilvl w:val="0"/>
          <w:numId w:val="11"/>
        </w:numPr>
      </w:pPr>
      <w:r>
        <w:rPr>
          <w:sz w:val="22"/>
        </w:rPr>
        <w:t>R1-</w:t>
      </w:r>
      <w:proofErr w:type="gramStart"/>
      <w:r>
        <w:rPr>
          <w:sz w:val="22"/>
        </w:rPr>
        <w:t>2004719  FL</w:t>
      </w:r>
      <w:proofErr w:type="gramEnd"/>
      <w:r>
        <w:rPr>
          <w:sz w:val="22"/>
        </w:rPr>
        <w:t xml:space="preserve"> summary #2 for Multi-TRP/Panel Transmission Moderator(OPPO)</w:t>
      </w:r>
    </w:p>
    <w:sectPr w:rsidR="00A04D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CA37" w14:textId="77777777" w:rsidR="00753079" w:rsidRDefault="00753079">
      <w:r>
        <w:separator/>
      </w:r>
    </w:p>
  </w:endnote>
  <w:endnote w:type="continuationSeparator" w:id="0">
    <w:p w14:paraId="7DF9BD9D" w14:textId="77777777" w:rsidR="00753079" w:rsidRDefault="0075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206E7" w14:textId="77777777" w:rsidR="00753079" w:rsidRDefault="00753079">
      <w:r>
        <w:separator/>
      </w:r>
    </w:p>
  </w:footnote>
  <w:footnote w:type="continuationSeparator" w:id="0">
    <w:p w14:paraId="7E371576" w14:textId="77777777" w:rsidR="00753079" w:rsidRDefault="0075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01E7" w14:textId="77777777" w:rsidR="0008110C" w:rsidRDefault="0008110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B11CE0"/>
    <w:multiLevelType w:val="multilevel"/>
    <w:tmpl w:val="0CB11CE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78F1919"/>
    <w:multiLevelType w:val="multilevel"/>
    <w:tmpl w:val="378F19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CA1FB1"/>
    <w:multiLevelType w:val="multilevel"/>
    <w:tmpl w:val="4CCA1FB1"/>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800299"/>
    <w:multiLevelType w:val="multilevel"/>
    <w:tmpl w:val="63800299"/>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0"/>
  </w:num>
  <w:num w:numId="2">
    <w:abstractNumId w:val="8"/>
  </w:num>
  <w:num w:numId="3">
    <w:abstractNumId w:val="4"/>
  </w:num>
  <w:num w:numId="4">
    <w:abstractNumId w:val="6"/>
  </w:num>
  <w:num w:numId="5">
    <w:abstractNumId w:val="0"/>
  </w:num>
  <w:num w:numId="6">
    <w:abstractNumId w:val="3"/>
  </w:num>
  <w:num w:numId="7">
    <w:abstractNumId w:val="7"/>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AwMjAyMTIyMDdT0lEKTi0uzszPAykwrAUABOsw+ywAAAA="/>
  </w:docVars>
  <w:rsids>
    <w:rsidRoot w:val="002328B0"/>
    <w:rsid w:val="00001F8B"/>
    <w:rsid w:val="0000722B"/>
    <w:rsid w:val="00007D18"/>
    <w:rsid w:val="00014144"/>
    <w:rsid w:val="00016189"/>
    <w:rsid w:val="0002330E"/>
    <w:rsid w:val="00024012"/>
    <w:rsid w:val="00026E5C"/>
    <w:rsid w:val="00036C04"/>
    <w:rsid w:val="000400D2"/>
    <w:rsid w:val="0005135B"/>
    <w:rsid w:val="00052A3E"/>
    <w:rsid w:val="00056EB5"/>
    <w:rsid w:val="0005746C"/>
    <w:rsid w:val="000776CE"/>
    <w:rsid w:val="0008110C"/>
    <w:rsid w:val="000847B3"/>
    <w:rsid w:val="00084935"/>
    <w:rsid w:val="00085AAA"/>
    <w:rsid w:val="000939D7"/>
    <w:rsid w:val="00094421"/>
    <w:rsid w:val="000A144B"/>
    <w:rsid w:val="000B2456"/>
    <w:rsid w:val="000B3E0D"/>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A6A84"/>
    <w:rsid w:val="001B0B07"/>
    <w:rsid w:val="001B1C8F"/>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05E4"/>
    <w:rsid w:val="00274CE7"/>
    <w:rsid w:val="00276093"/>
    <w:rsid w:val="0028007C"/>
    <w:rsid w:val="0028021D"/>
    <w:rsid w:val="00280641"/>
    <w:rsid w:val="00282C00"/>
    <w:rsid w:val="00296967"/>
    <w:rsid w:val="002A0248"/>
    <w:rsid w:val="002A0F68"/>
    <w:rsid w:val="002B3FDB"/>
    <w:rsid w:val="002C09FA"/>
    <w:rsid w:val="002C16AA"/>
    <w:rsid w:val="002C745F"/>
    <w:rsid w:val="002C7757"/>
    <w:rsid w:val="002D5626"/>
    <w:rsid w:val="002D6635"/>
    <w:rsid w:val="002E2F47"/>
    <w:rsid w:val="002E41B0"/>
    <w:rsid w:val="002E5D5A"/>
    <w:rsid w:val="002F34F6"/>
    <w:rsid w:val="002F5E03"/>
    <w:rsid w:val="00300629"/>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371"/>
    <w:rsid w:val="00342F25"/>
    <w:rsid w:val="00345366"/>
    <w:rsid w:val="00347B24"/>
    <w:rsid w:val="0035718F"/>
    <w:rsid w:val="00362A0C"/>
    <w:rsid w:val="00362A94"/>
    <w:rsid w:val="003845A5"/>
    <w:rsid w:val="00384FCE"/>
    <w:rsid w:val="00387C81"/>
    <w:rsid w:val="00390681"/>
    <w:rsid w:val="0039152C"/>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5AB"/>
    <w:rsid w:val="003D3867"/>
    <w:rsid w:val="003E11C2"/>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108"/>
    <w:rsid w:val="00450CEA"/>
    <w:rsid w:val="00454029"/>
    <w:rsid w:val="00461818"/>
    <w:rsid w:val="00462140"/>
    <w:rsid w:val="00465D84"/>
    <w:rsid w:val="00465DF8"/>
    <w:rsid w:val="0046632F"/>
    <w:rsid w:val="00467C15"/>
    <w:rsid w:val="00470D36"/>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8716F"/>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5F50A7"/>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54DA9"/>
    <w:rsid w:val="006602F0"/>
    <w:rsid w:val="00671A22"/>
    <w:rsid w:val="0067298F"/>
    <w:rsid w:val="00683FA4"/>
    <w:rsid w:val="00687F6E"/>
    <w:rsid w:val="00692CAC"/>
    <w:rsid w:val="006A197D"/>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68C2"/>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3079"/>
    <w:rsid w:val="00754921"/>
    <w:rsid w:val="007564D2"/>
    <w:rsid w:val="00756687"/>
    <w:rsid w:val="0076228A"/>
    <w:rsid w:val="007647D1"/>
    <w:rsid w:val="007704E0"/>
    <w:rsid w:val="007801E0"/>
    <w:rsid w:val="0078463D"/>
    <w:rsid w:val="007956B0"/>
    <w:rsid w:val="00796425"/>
    <w:rsid w:val="007A02A4"/>
    <w:rsid w:val="007A192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0482"/>
    <w:rsid w:val="0089631D"/>
    <w:rsid w:val="008A12C9"/>
    <w:rsid w:val="008A2C8C"/>
    <w:rsid w:val="008A4777"/>
    <w:rsid w:val="008A5261"/>
    <w:rsid w:val="008A55AF"/>
    <w:rsid w:val="008A61DB"/>
    <w:rsid w:val="008D0BCA"/>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03BC"/>
    <w:rsid w:val="009678A0"/>
    <w:rsid w:val="00970422"/>
    <w:rsid w:val="009704E1"/>
    <w:rsid w:val="0097688F"/>
    <w:rsid w:val="00976E4E"/>
    <w:rsid w:val="0097729C"/>
    <w:rsid w:val="00985803"/>
    <w:rsid w:val="00992B04"/>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20FC"/>
    <w:rsid w:val="00A04D9F"/>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47E34"/>
    <w:rsid w:val="00A50090"/>
    <w:rsid w:val="00A52817"/>
    <w:rsid w:val="00A64700"/>
    <w:rsid w:val="00A70430"/>
    <w:rsid w:val="00A722E9"/>
    <w:rsid w:val="00A72987"/>
    <w:rsid w:val="00A72B75"/>
    <w:rsid w:val="00A7420B"/>
    <w:rsid w:val="00A763A4"/>
    <w:rsid w:val="00A77025"/>
    <w:rsid w:val="00A810FB"/>
    <w:rsid w:val="00A81411"/>
    <w:rsid w:val="00A91019"/>
    <w:rsid w:val="00A91A17"/>
    <w:rsid w:val="00A959DD"/>
    <w:rsid w:val="00A96017"/>
    <w:rsid w:val="00A970F6"/>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4B20"/>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453A"/>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46ADE"/>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346"/>
    <w:rsid w:val="00CB0817"/>
    <w:rsid w:val="00CB1F4D"/>
    <w:rsid w:val="00CB2B01"/>
    <w:rsid w:val="00CB6604"/>
    <w:rsid w:val="00CB73A9"/>
    <w:rsid w:val="00CB7679"/>
    <w:rsid w:val="00CC2696"/>
    <w:rsid w:val="00CC6044"/>
    <w:rsid w:val="00CE1355"/>
    <w:rsid w:val="00CE31B7"/>
    <w:rsid w:val="00CE57E9"/>
    <w:rsid w:val="00CF0FC7"/>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E338D"/>
    <w:rsid w:val="00DF4F8F"/>
    <w:rsid w:val="00DF5223"/>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335F"/>
    <w:rsid w:val="00E77780"/>
    <w:rsid w:val="00E807DA"/>
    <w:rsid w:val="00E826AE"/>
    <w:rsid w:val="00E93604"/>
    <w:rsid w:val="00E94059"/>
    <w:rsid w:val="00EA1C0F"/>
    <w:rsid w:val="00EA50D3"/>
    <w:rsid w:val="00EB0830"/>
    <w:rsid w:val="00EB5A6A"/>
    <w:rsid w:val="00EB733D"/>
    <w:rsid w:val="00EC0756"/>
    <w:rsid w:val="00EC7E89"/>
    <w:rsid w:val="00EC7FF1"/>
    <w:rsid w:val="00ED1CDD"/>
    <w:rsid w:val="00EE5F78"/>
    <w:rsid w:val="00EE603C"/>
    <w:rsid w:val="00EF0463"/>
    <w:rsid w:val="00EF20D4"/>
    <w:rsid w:val="00EF5D1E"/>
    <w:rsid w:val="00F01C02"/>
    <w:rsid w:val="00F01E27"/>
    <w:rsid w:val="00F03AA2"/>
    <w:rsid w:val="00F05227"/>
    <w:rsid w:val="00F06AF7"/>
    <w:rsid w:val="00F107E2"/>
    <w:rsid w:val="00F12921"/>
    <w:rsid w:val="00F12AA3"/>
    <w:rsid w:val="00F15C70"/>
    <w:rsid w:val="00F201B7"/>
    <w:rsid w:val="00F2335E"/>
    <w:rsid w:val="00F261DA"/>
    <w:rsid w:val="00F2742D"/>
    <w:rsid w:val="00F31A5F"/>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B1E82"/>
    <w:rsid w:val="00FB49FE"/>
    <w:rsid w:val="00FC7320"/>
    <w:rsid w:val="00FD0EA2"/>
    <w:rsid w:val="00FD5020"/>
    <w:rsid w:val="00FD5FD5"/>
    <w:rsid w:val="00FE195E"/>
    <w:rsid w:val="00FE2448"/>
    <w:rsid w:val="00FE5E75"/>
    <w:rsid w:val="00FE68FC"/>
    <w:rsid w:val="00FE7DEC"/>
    <w:rsid w:val="00FF4E81"/>
    <w:rsid w:val="00FF6C9B"/>
    <w:rsid w:val="22320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9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2020-05-27T02:53:00Z</dcterms:created>
  <dcterms:modified xsi:type="dcterms:W3CDTF">2020-05-27T02:53:00Z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1590434571</vt:lpwstr>
  </property>
</Properties>
</file>