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  <w:t>NR_unlic-core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>E-mail Address: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7A0685BC" w14:textId="5A410631" w:rsidR="009466F1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t is mandatory for the UEs to </w:t>
      </w:r>
      <w:r w:rsidR="003F3C82">
        <w:rPr>
          <w:rFonts w:ascii="Arial" w:hAnsi="Arial" w:cs="Arial"/>
        </w:rPr>
        <w:t>monitor all SS/PBCH blocks with candidate indexes corresponding to the same SS/PBCH block index within a given discovery burst transmission window</w:t>
      </w:r>
      <w:r w:rsidR="009466F1">
        <w:rPr>
          <w:rFonts w:ascii="Arial" w:hAnsi="Arial" w:cs="Arial"/>
        </w:rPr>
        <w:t>; it can be up to UE’s implementation to stop SS/PBCH block monitoring for a given SS/PBCH block index in the case the UE has already detected a SS/PBCH block with the same index for a given discovery burst transmission window.</w:t>
      </w:r>
    </w:p>
    <w:p w14:paraId="0B89A718" w14:textId="0532C316" w:rsidR="000C2A93" w:rsidRDefault="009466F1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It is RAN1 understanding that any deviation to this requirement will lead to degraded performances for both RRM and RLM/BFD/CBD measurements.</w:t>
      </w:r>
    </w:p>
    <w:p w14:paraId="0772D9C5" w14:textId="5C190593" w:rsidR="009466F1" w:rsidRDefault="009466F1" w:rsidP="000C2A93">
      <w:pPr>
        <w:spacing w:after="0"/>
        <w:jc w:val="both"/>
        <w:rPr>
          <w:rFonts w:ascii="Arial" w:hAnsi="Arial" w:cs="Arial"/>
        </w:rPr>
      </w:pPr>
    </w:p>
    <w:p w14:paraId="46F7BC48" w14:textId="49328C8A" w:rsidR="009466F1" w:rsidRDefault="009466F1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RAN1 would also like to provide RAN4 with the following </w:t>
      </w:r>
      <w:r w:rsidR="00853566">
        <w:rPr>
          <w:rFonts w:ascii="Arial" w:hAnsi="Arial" w:cs="Arial"/>
        </w:rPr>
        <w:t>additional remarks</w:t>
      </w:r>
      <w:r>
        <w:rPr>
          <w:rFonts w:ascii="Arial" w:hAnsi="Arial" w:cs="Arial"/>
        </w:rPr>
        <w:t>:</w:t>
      </w:r>
    </w:p>
    <w:p w14:paraId="2FB81476" w14:textId="0449C86D" w:rsidR="00E4651A" w:rsidRDefault="00E4651A" w:rsidP="00E4651A">
      <w:pPr>
        <w:pStyle w:val="ListParagraph"/>
        <w:numPr>
          <w:ilvl w:val="0"/>
          <w:numId w:val="37"/>
        </w:numPr>
        <w:spacing w:after="0"/>
        <w:ind w:leftChars="0" w:left="426" w:hanging="426"/>
        <w:jc w:val="both"/>
        <w:rPr>
          <w:rFonts w:ascii="Arial" w:hAnsi="Arial" w:cs="Arial"/>
        </w:rPr>
      </w:pPr>
      <w:r w:rsidRPr="00E4651A">
        <w:rPr>
          <w:rFonts w:ascii="Arial" w:hAnsi="Arial" w:cs="Arial"/>
        </w:rPr>
        <w:t xml:space="preserve">It is expected that the discovery burst transmission window duration will be configured depending in particular from the spectrum load, e.g. for a NR-U network operating in low spectrum load condition the discovery burst transmission window duration is expected to be shorter than 5ms, which should help to reduce </w:t>
      </w:r>
      <w:r w:rsidR="00853566">
        <w:rPr>
          <w:rFonts w:ascii="Arial" w:hAnsi="Arial" w:cs="Arial"/>
        </w:rPr>
        <w:t xml:space="preserve">the </w:t>
      </w:r>
      <w:r w:rsidRPr="00E4651A">
        <w:rPr>
          <w:rFonts w:ascii="Arial" w:hAnsi="Arial" w:cs="Arial"/>
        </w:rPr>
        <w:t>UE power consumption.</w:t>
      </w:r>
    </w:p>
    <w:p w14:paraId="23C21FF6" w14:textId="08A91793" w:rsidR="00E4651A" w:rsidRPr="00E4651A" w:rsidRDefault="00E4651A" w:rsidP="00E4651A">
      <w:pPr>
        <w:pStyle w:val="ListParagraph"/>
        <w:numPr>
          <w:ilvl w:val="0"/>
          <w:numId w:val="37"/>
        </w:numPr>
        <w:spacing w:after="0"/>
        <w:ind w:leftChars="0"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For FBE mode and for a given discovery burst transmission window</w:t>
      </w:r>
      <w:r w:rsidR="008535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network </w:t>
      </w:r>
      <w:r w:rsidR="009A034C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not expected to transmit SS/PBCH blocks beyond the 8 first candidate SS/PBCH block indexes</w:t>
      </w:r>
      <w:r w:rsidR="009A034C">
        <w:rPr>
          <w:rFonts w:ascii="Arial" w:hAnsi="Arial" w:cs="Arial"/>
        </w:rPr>
        <w:t xml:space="preserve">, </w:t>
      </w:r>
      <w:r w:rsidR="009A034C" w:rsidRPr="00E4651A">
        <w:rPr>
          <w:rFonts w:ascii="Arial" w:hAnsi="Arial" w:cs="Arial"/>
        </w:rPr>
        <w:t xml:space="preserve">which should </w:t>
      </w:r>
      <w:r w:rsidR="009A034C">
        <w:rPr>
          <w:rFonts w:ascii="Arial" w:hAnsi="Arial" w:cs="Arial"/>
        </w:rPr>
        <w:t xml:space="preserve">also </w:t>
      </w:r>
      <w:r w:rsidR="009A034C" w:rsidRPr="00E4651A">
        <w:rPr>
          <w:rFonts w:ascii="Arial" w:hAnsi="Arial" w:cs="Arial"/>
        </w:rPr>
        <w:t xml:space="preserve">help to reduce </w:t>
      </w:r>
      <w:r w:rsidR="00853566">
        <w:rPr>
          <w:rFonts w:ascii="Arial" w:hAnsi="Arial" w:cs="Arial"/>
        </w:rPr>
        <w:t xml:space="preserve">the </w:t>
      </w:r>
      <w:r w:rsidR="009A034C" w:rsidRPr="00E4651A">
        <w:rPr>
          <w:rFonts w:ascii="Arial" w:hAnsi="Arial" w:cs="Arial"/>
        </w:rPr>
        <w:t>UE power consumption.</w:t>
      </w:r>
    </w:p>
    <w:p w14:paraId="39EDECE8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07B9F4CF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N1 and N2 are not applicable</w:t>
      </w:r>
      <w:r w:rsidR="009A034C">
        <w:rPr>
          <w:rFonts w:ascii="Arial" w:hAnsi="Arial" w:cs="Arial"/>
        </w:rPr>
        <w:t xml:space="preserve"> (see answer to question 1)</w:t>
      </w:r>
      <w:r>
        <w:rPr>
          <w:rFonts w:ascii="Arial" w:hAnsi="Arial" w:cs="Arial"/>
        </w:rPr>
        <w:t>.</w:t>
      </w:r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0B977CDE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8466AF">
        <w:rPr>
          <w:rFonts w:ascii="Arial" w:hAnsi="Arial" w:cs="Arial"/>
        </w:rPr>
        <w:t>As N1 and N2 are not applicable (see answer to question 1), t</w:t>
      </w:r>
      <w:r>
        <w:rPr>
          <w:rFonts w:ascii="Arial" w:hAnsi="Arial" w:cs="Arial"/>
        </w:rPr>
        <w:t xml:space="preserve">here is no need to differentiate </w:t>
      </w:r>
      <w:r w:rsidRPr="000C2A93">
        <w:rPr>
          <w:rFonts w:ascii="Arial" w:hAnsi="Arial" w:cs="Arial"/>
        </w:rPr>
        <w:t>UEs operating in FBE and LBE modes</w:t>
      </w:r>
      <w:r>
        <w:rPr>
          <w:rFonts w:ascii="Arial" w:hAnsi="Arial" w:cs="Arial"/>
        </w:rPr>
        <w:t xml:space="preserve">.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lastRenderedPageBreak/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  <w:bookmarkStart w:id="2" w:name="_GoBack"/>
      <w:bookmarkEnd w:id="2"/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D193D" w14:textId="77777777" w:rsidR="00021089" w:rsidRDefault="00021089" w:rsidP="00083046">
      <w:r>
        <w:separator/>
      </w:r>
    </w:p>
  </w:endnote>
  <w:endnote w:type="continuationSeparator" w:id="0">
    <w:p w14:paraId="42FD2368" w14:textId="77777777" w:rsidR="00021089" w:rsidRDefault="00021089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61797" w14:textId="77777777" w:rsidR="00021089" w:rsidRDefault="00021089" w:rsidP="00083046">
      <w:r>
        <w:separator/>
      </w:r>
    </w:p>
  </w:footnote>
  <w:footnote w:type="continuationSeparator" w:id="0">
    <w:p w14:paraId="6501DD35" w14:textId="77777777" w:rsidR="00021089" w:rsidRDefault="00021089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2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4"/>
  </w:num>
  <w:num w:numId="4">
    <w:abstractNumId w:val="32"/>
  </w:num>
  <w:num w:numId="5">
    <w:abstractNumId w:val="22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  <w:num w:numId="11">
    <w:abstractNumId w:val="1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2"/>
  </w:num>
  <w:num w:numId="15">
    <w:abstractNumId w:val="34"/>
  </w:num>
  <w:num w:numId="16">
    <w:abstractNumId w:val="27"/>
  </w:num>
  <w:num w:numId="17">
    <w:abstractNumId w:val="1"/>
  </w:num>
  <w:num w:numId="18">
    <w:abstractNumId w:val="14"/>
  </w:num>
  <w:num w:numId="19">
    <w:abstractNumId w:val="25"/>
  </w:num>
  <w:num w:numId="20">
    <w:abstractNumId w:val="23"/>
  </w:num>
  <w:num w:numId="21">
    <w:abstractNumId w:val="15"/>
  </w:num>
  <w:num w:numId="22">
    <w:abstractNumId w:val="17"/>
  </w:num>
  <w:num w:numId="23">
    <w:abstractNumId w:val="26"/>
  </w:num>
  <w:num w:numId="24">
    <w:abstractNumId w:val="10"/>
  </w:num>
  <w:num w:numId="25">
    <w:abstractNumId w:val="2"/>
  </w:num>
  <w:num w:numId="26">
    <w:abstractNumId w:val="30"/>
  </w:num>
  <w:num w:numId="27">
    <w:abstractNumId w:val="28"/>
  </w:num>
  <w:num w:numId="28">
    <w:abstractNumId w:val="19"/>
  </w:num>
  <w:num w:numId="29">
    <w:abstractNumId w:val="31"/>
  </w:num>
  <w:num w:numId="30">
    <w:abstractNumId w:val="33"/>
  </w:num>
  <w:num w:numId="31">
    <w:abstractNumId w:val="35"/>
  </w:num>
  <w:num w:numId="32">
    <w:abstractNumId w:val="13"/>
  </w:num>
  <w:num w:numId="33">
    <w:abstractNumId w:val="16"/>
  </w:num>
  <w:num w:numId="34">
    <w:abstractNumId w:val="21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0"/>
  </w:num>
  <w:num w:numId="3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B16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AF70A-3C4A-49FC-803E-B0F697AD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Robert, Michel (Nokia - FR/Paris-Saclay)</cp:lastModifiedBy>
  <cp:revision>24</cp:revision>
  <cp:lastPrinted>2020-05-22T15:56:00Z</cp:lastPrinted>
  <dcterms:created xsi:type="dcterms:W3CDTF">2020-04-29T02:05:00Z</dcterms:created>
  <dcterms:modified xsi:type="dcterms:W3CDTF">2020-05-26T08:33:00Z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