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5E4C8B0B" w:rsidR="00522F4F" w:rsidRPr="00965597" w:rsidRDefault="00522F4F" w:rsidP="00522F4F">
      <w:pPr>
        <w:pStyle w:val="3GPPHeader"/>
        <w:spacing w:after="0"/>
        <w:jc w:val="both"/>
        <w:rPr>
          <w:sz w:val="32"/>
          <w:szCs w:val="32"/>
          <w:highlight w:val="yellow"/>
        </w:rPr>
      </w:pPr>
      <w:r w:rsidRPr="009405FE">
        <w:rPr>
          <w:sz w:val="28"/>
        </w:rPr>
        <w:t>3GPP TSG-RAN WG1 Meeting #10</w:t>
      </w:r>
      <w:r w:rsidR="000C2E0C">
        <w:rPr>
          <w:sz w:val="28"/>
        </w:rPr>
        <w:t>1</w:t>
      </w:r>
      <w:r w:rsidRPr="00965597">
        <w:tab/>
      </w:r>
      <w:r w:rsidR="00C81571">
        <w:t xml:space="preserve">  </w:t>
      </w:r>
      <w:r w:rsidR="002F634C">
        <w:t xml:space="preserve">           </w:t>
      </w:r>
      <w:r w:rsidR="00265C43">
        <w:t xml:space="preserve">  </w:t>
      </w:r>
      <w:r w:rsidRPr="00965597">
        <w:rPr>
          <w:sz w:val="32"/>
          <w:szCs w:val="32"/>
        </w:rPr>
        <w:t>R1-</w:t>
      </w:r>
      <w:r>
        <w:rPr>
          <w:sz w:val="32"/>
          <w:szCs w:val="32"/>
        </w:rPr>
        <w:t>20</w:t>
      </w:r>
      <w:r w:rsidR="00F35F47">
        <w:rPr>
          <w:sz w:val="32"/>
          <w:szCs w:val="32"/>
        </w:rPr>
        <w:t>0</w:t>
      </w:r>
      <w:r w:rsidR="000C2E0C">
        <w:rPr>
          <w:sz w:val="32"/>
          <w:szCs w:val="32"/>
        </w:rPr>
        <w:t>4280</w:t>
      </w:r>
    </w:p>
    <w:p w14:paraId="7101F9DF" w14:textId="7D0975CD" w:rsidR="00522F4F" w:rsidRPr="009405FE" w:rsidRDefault="00522F4F" w:rsidP="00522F4F">
      <w:pPr>
        <w:pStyle w:val="3GPPHeader"/>
        <w:jc w:val="both"/>
        <w:rPr>
          <w:sz w:val="28"/>
        </w:rPr>
      </w:pPr>
      <w:r w:rsidRPr="005A5812">
        <w:rPr>
          <w:sz w:val="28"/>
        </w:rPr>
        <w:t xml:space="preserve">e-Meeting, </w:t>
      </w:r>
      <w:r w:rsidR="000C2E0C">
        <w:rPr>
          <w:sz w:val="28"/>
        </w:rPr>
        <w:t>May</w:t>
      </w:r>
      <w:r w:rsidRPr="005A5812">
        <w:rPr>
          <w:sz w:val="28"/>
        </w:rPr>
        <w:t xml:space="preserve"> 2</w:t>
      </w:r>
      <w:r w:rsidR="000C2E0C">
        <w:rPr>
          <w:sz w:val="28"/>
        </w:rPr>
        <w:t>5</w:t>
      </w:r>
      <w:r w:rsidRPr="005A5812">
        <w:rPr>
          <w:sz w:val="28"/>
          <w:vertAlign w:val="superscript"/>
        </w:rPr>
        <w:t>th</w:t>
      </w:r>
      <w:r w:rsidRPr="005A5812">
        <w:rPr>
          <w:sz w:val="28"/>
        </w:rPr>
        <w:t xml:space="preserve"> – </w:t>
      </w:r>
      <w:r w:rsidR="000C2E0C">
        <w:rPr>
          <w:sz w:val="28"/>
        </w:rPr>
        <w:t>June 5</w:t>
      </w:r>
      <w:r w:rsidRPr="005A5812">
        <w:rPr>
          <w:sz w:val="28"/>
          <w:vertAlign w:val="superscript"/>
        </w:rPr>
        <w:t>th</w:t>
      </w:r>
      <w:r w:rsidRPr="005A5812">
        <w:rPr>
          <w:sz w:val="28"/>
        </w:rPr>
        <w:t>, 2020</w:t>
      </w:r>
    </w:p>
    <w:p w14:paraId="0A262637" w14:textId="547D7801" w:rsidR="0060603E" w:rsidRPr="008E37FD" w:rsidRDefault="0060603E" w:rsidP="00A537B2">
      <w:pPr>
        <w:ind w:left="1800" w:hanging="1800"/>
        <w:rPr>
          <w:rFonts w:ascii="Calibri" w:eastAsia="Calibri" w:hAnsi="Calibri"/>
          <w:b/>
          <w:bCs/>
          <w:sz w:val="22"/>
          <w:szCs w:val="22"/>
        </w:rPr>
      </w:pPr>
      <w:r w:rsidRPr="008E37FD">
        <w:rPr>
          <w:rFonts w:ascii="Calibri" w:eastAsia="Calibri" w:hAnsi="Calibri"/>
          <w:b/>
          <w:bCs/>
          <w:sz w:val="22"/>
          <w:szCs w:val="22"/>
        </w:rPr>
        <w:t>Agenda Item:</w:t>
      </w:r>
      <w:r w:rsidRPr="008E37FD">
        <w:rPr>
          <w:rFonts w:ascii="Calibri" w:eastAsia="Calibri" w:hAnsi="Calibri"/>
          <w:b/>
          <w:bCs/>
          <w:sz w:val="22"/>
          <w:szCs w:val="22"/>
        </w:rPr>
        <w:tab/>
      </w:r>
      <w:bookmarkStart w:id="0" w:name="Source"/>
      <w:bookmarkEnd w:id="0"/>
      <w:r w:rsidR="000C21D0" w:rsidRPr="008E37FD">
        <w:rPr>
          <w:rFonts w:ascii="Calibri" w:eastAsia="Calibri" w:hAnsi="Calibri"/>
          <w:b/>
          <w:bCs/>
          <w:sz w:val="22"/>
          <w:szCs w:val="22"/>
        </w:rPr>
        <w:t>7</w:t>
      </w:r>
      <w:r w:rsidR="00885004" w:rsidRPr="008E37FD">
        <w:rPr>
          <w:rFonts w:ascii="Calibri" w:eastAsia="Calibri" w:hAnsi="Calibri"/>
          <w:b/>
          <w:bCs/>
          <w:sz w:val="22"/>
          <w:szCs w:val="22"/>
        </w:rPr>
        <w:t>.</w:t>
      </w:r>
      <w:r w:rsidR="00660BEF" w:rsidRPr="008E37FD">
        <w:rPr>
          <w:rFonts w:ascii="Calibri" w:eastAsia="Calibri" w:hAnsi="Calibri"/>
          <w:b/>
          <w:bCs/>
          <w:sz w:val="22"/>
          <w:szCs w:val="22"/>
        </w:rPr>
        <w:t>2.3</w:t>
      </w:r>
      <w:r w:rsidR="00C724F1" w:rsidRPr="008E37FD">
        <w:rPr>
          <w:rFonts w:ascii="Calibri" w:eastAsia="Calibri" w:hAnsi="Calibri"/>
          <w:b/>
          <w:bCs/>
          <w:sz w:val="22"/>
          <w:szCs w:val="22"/>
        </w:rPr>
        <w:t>.</w:t>
      </w:r>
      <w:r w:rsidR="00522F4F" w:rsidRPr="008E37FD">
        <w:rPr>
          <w:rFonts w:ascii="Calibri" w:eastAsia="Calibri" w:hAnsi="Calibri"/>
          <w:b/>
          <w:bCs/>
          <w:sz w:val="22"/>
          <w:szCs w:val="22"/>
        </w:rPr>
        <w:t>3</w:t>
      </w:r>
    </w:p>
    <w:p w14:paraId="7494BB2F" w14:textId="65162EF8" w:rsidR="00CE0C9D" w:rsidRPr="008E37FD" w:rsidRDefault="0060603E" w:rsidP="002D479B">
      <w:pPr>
        <w:ind w:left="1800" w:hanging="1800"/>
        <w:rPr>
          <w:rFonts w:ascii="Calibri" w:eastAsia="Calibri" w:hAnsi="Calibri"/>
          <w:b/>
          <w:bCs/>
          <w:sz w:val="22"/>
          <w:szCs w:val="22"/>
        </w:rPr>
      </w:pPr>
      <w:r w:rsidRPr="008E37FD">
        <w:rPr>
          <w:rFonts w:ascii="Calibri" w:eastAsia="Calibri" w:hAnsi="Calibri"/>
          <w:b/>
          <w:bCs/>
          <w:sz w:val="22"/>
          <w:szCs w:val="22"/>
        </w:rPr>
        <w:t>Source:</w:t>
      </w:r>
      <w:r w:rsidRPr="008E37FD">
        <w:rPr>
          <w:rFonts w:ascii="Calibri" w:eastAsia="Calibri" w:hAnsi="Calibri"/>
          <w:b/>
          <w:bCs/>
          <w:sz w:val="22"/>
          <w:szCs w:val="22"/>
        </w:rPr>
        <w:tab/>
      </w:r>
      <w:r w:rsidR="00AB7FC6" w:rsidRPr="008E37FD">
        <w:rPr>
          <w:rFonts w:ascii="Calibri" w:eastAsia="Calibri" w:hAnsi="Calibri"/>
          <w:b/>
          <w:bCs/>
          <w:sz w:val="22"/>
          <w:szCs w:val="22"/>
        </w:rPr>
        <w:t>AT&amp;T</w:t>
      </w:r>
    </w:p>
    <w:p w14:paraId="08DDE48D" w14:textId="267C3EAD" w:rsidR="007A0780" w:rsidRPr="008E37FD" w:rsidRDefault="0060603E" w:rsidP="00326FF6">
      <w:pPr>
        <w:ind w:left="1800" w:hanging="1800"/>
        <w:rPr>
          <w:rFonts w:ascii="Calibri" w:eastAsia="Calibri" w:hAnsi="Calibri"/>
          <w:b/>
          <w:bCs/>
          <w:sz w:val="22"/>
          <w:szCs w:val="22"/>
        </w:rPr>
      </w:pPr>
      <w:r w:rsidRPr="008E37FD">
        <w:rPr>
          <w:rFonts w:ascii="Calibri" w:eastAsia="Calibri" w:hAnsi="Calibri"/>
          <w:b/>
          <w:bCs/>
          <w:sz w:val="22"/>
          <w:szCs w:val="22"/>
        </w:rPr>
        <w:t>Title:</w:t>
      </w:r>
      <w:r w:rsidR="002D479B" w:rsidRPr="008E37FD">
        <w:rPr>
          <w:rFonts w:ascii="Calibri" w:eastAsia="Calibri" w:hAnsi="Calibri"/>
          <w:b/>
          <w:bCs/>
          <w:sz w:val="22"/>
          <w:szCs w:val="22"/>
        </w:rPr>
        <w:tab/>
      </w:r>
      <w:r w:rsidR="002A49E4" w:rsidRPr="008E37FD">
        <w:rPr>
          <w:rFonts w:ascii="Calibri" w:eastAsia="Calibri" w:hAnsi="Calibri"/>
          <w:b/>
          <w:bCs/>
          <w:sz w:val="22"/>
          <w:szCs w:val="22"/>
        </w:rPr>
        <w:t>Remaining maintenance issues for IAB resource multiplexing</w:t>
      </w:r>
    </w:p>
    <w:p w14:paraId="4395AD0B" w14:textId="77777777" w:rsidR="002D479B" w:rsidRPr="008E37FD" w:rsidRDefault="0060603E" w:rsidP="00326FF6">
      <w:pPr>
        <w:ind w:left="1800" w:hanging="1800"/>
        <w:rPr>
          <w:rFonts w:ascii="Calibri" w:eastAsia="Calibri" w:hAnsi="Calibri"/>
          <w:b/>
          <w:bCs/>
          <w:sz w:val="22"/>
          <w:szCs w:val="22"/>
        </w:rPr>
      </w:pPr>
      <w:r w:rsidRPr="008E37FD">
        <w:rPr>
          <w:rFonts w:ascii="Calibri" w:eastAsia="Calibri" w:hAnsi="Calibri"/>
          <w:b/>
          <w:bCs/>
          <w:sz w:val="22"/>
          <w:szCs w:val="22"/>
        </w:rPr>
        <w:t>Document for:</w:t>
      </w:r>
      <w:r w:rsidRPr="008E37FD">
        <w:rPr>
          <w:rFonts w:ascii="Calibri" w:eastAsia="Calibri" w:hAnsi="Calibri"/>
          <w:b/>
          <w:bCs/>
          <w:sz w:val="22"/>
          <w:szCs w:val="22"/>
        </w:rPr>
        <w:tab/>
      </w:r>
      <w:bookmarkStart w:id="1" w:name="DocumentFor"/>
      <w:bookmarkEnd w:id="1"/>
      <w:r w:rsidR="000052FF" w:rsidRPr="008E37FD">
        <w:rPr>
          <w:rFonts w:ascii="Calibri" w:eastAsia="Calibri" w:hAnsi="Calibri"/>
          <w:b/>
          <w:bCs/>
          <w:sz w:val="22"/>
          <w:szCs w:val="22"/>
        </w:rPr>
        <w:t>Discussion/</w:t>
      </w:r>
      <w:r w:rsidRPr="008E37FD">
        <w:rPr>
          <w:rFonts w:ascii="Calibri" w:eastAsia="Calibri" w:hAnsi="Calibri"/>
          <w:b/>
          <w:bCs/>
          <w:sz w:val="22"/>
          <w:szCs w:val="22"/>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3CB3D93D" w14:textId="4ED40E53" w:rsidR="00DE0E10" w:rsidRPr="00CF59CC" w:rsidRDefault="003327F3" w:rsidP="00CF59CC">
      <w:pPr>
        <w:pStyle w:val="BodyText"/>
      </w:pPr>
      <w:r>
        <w:t xml:space="preserve">This contribution </w:t>
      </w:r>
      <w:r w:rsidR="008D7B30">
        <w:t xml:space="preserve">discusses remaining </w:t>
      </w:r>
      <w:r w:rsidR="00522F4F">
        <w:t>maintenance</w:t>
      </w:r>
      <w:r w:rsidR="008D7B30">
        <w:t xml:space="preserve"> issues</w:t>
      </w:r>
      <w:r w:rsidR="00522F4F">
        <w:t xml:space="preserve"> for specifications</w:t>
      </w:r>
      <w:r>
        <w:t xml:space="preserve"> support</w:t>
      </w:r>
      <w:r w:rsidR="00522F4F">
        <w:t>ing</w:t>
      </w:r>
      <w:r>
        <w:t xml:space="preserve"> </w:t>
      </w:r>
      <w:r w:rsidR="007A0780">
        <w:t>multiplexing of access and backhaul links</w:t>
      </w:r>
      <w:r w:rsidR="00522F4F">
        <w:t>.</w:t>
      </w:r>
    </w:p>
    <w:p w14:paraId="5AA1BF4B" w14:textId="47440B53" w:rsidR="003327F3" w:rsidRPr="00172743" w:rsidRDefault="004B2424" w:rsidP="003327F3">
      <w:pPr>
        <w:pStyle w:val="Heading1"/>
      </w:pPr>
      <w:r>
        <w:t xml:space="preserve">Guard Symbols MAC CE </w:t>
      </w:r>
    </w:p>
    <w:p w14:paraId="613E9A1D" w14:textId="3D6C50C2" w:rsidR="00080B65" w:rsidRDefault="004B2424" w:rsidP="00080B65">
      <w:pPr>
        <w:rPr>
          <w:rFonts w:ascii="Calibri" w:eastAsia="Calibri" w:hAnsi="Calibri"/>
          <w:sz w:val="22"/>
          <w:szCs w:val="22"/>
        </w:rPr>
      </w:pPr>
      <w:r>
        <w:rPr>
          <w:rFonts w:ascii="Calibri" w:eastAsia="Calibri" w:hAnsi="Calibri"/>
          <w:sz w:val="22"/>
          <w:szCs w:val="22"/>
        </w:rPr>
        <w:t>During</w:t>
      </w:r>
      <w:r w:rsidR="00080B65" w:rsidRPr="00080B65">
        <w:rPr>
          <w:rFonts w:ascii="Calibri" w:eastAsia="Calibri" w:hAnsi="Calibri"/>
          <w:sz w:val="22"/>
          <w:szCs w:val="22"/>
        </w:rPr>
        <w:t xml:space="preserve"> </w:t>
      </w:r>
      <w:r>
        <w:rPr>
          <w:rFonts w:ascii="Calibri" w:eastAsia="Calibri" w:hAnsi="Calibri"/>
          <w:sz w:val="22"/>
          <w:szCs w:val="22"/>
        </w:rPr>
        <w:t>RAN2#109bis-e a LS was sent to RAN1 regarding the following RAN1 and RAN2 agreements:</w:t>
      </w:r>
    </w:p>
    <w:p w14:paraId="45B4B370" w14:textId="4054B8D0" w:rsidR="004B2424" w:rsidRDefault="004B2424" w:rsidP="00080B65">
      <w:pPr>
        <w:rPr>
          <w:rFonts w:ascii="Calibri" w:eastAsia="Calibri" w:hAnsi="Calibri"/>
          <w:sz w:val="22"/>
          <w:szCs w:val="22"/>
        </w:rPr>
      </w:pPr>
    </w:p>
    <w:p w14:paraId="584BB490" w14:textId="35004AA4" w:rsidR="004B2424" w:rsidRDefault="004B2424" w:rsidP="004B2424">
      <w:pPr>
        <w:pStyle w:val="Header"/>
        <w:rPr>
          <w:rFonts w:cs="Arial"/>
        </w:rPr>
      </w:pPr>
      <w:r>
        <w:rPr>
          <w:rFonts w:cs="Arial"/>
        </w:rPr>
        <w:t xml:space="preserve">     RAN1#99 agreement:</w:t>
      </w:r>
    </w:p>
    <w:p w14:paraId="6B5AEC99" w14:textId="77777777" w:rsidR="004B2424" w:rsidRDefault="004B2424" w:rsidP="004B2424">
      <w:pPr>
        <w:pStyle w:val="Header"/>
        <w:rPr>
          <w:rFonts w:cs="Arial"/>
        </w:rPr>
      </w:pPr>
    </w:p>
    <w:p w14:paraId="1A33A631" w14:textId="0CB8C364" w:rsidR="004B2424" w:rsidRPr="001A151A" w:rsidRDefault="004B2424" w:rsidP="004B2424">
      <w:pPr>
        <w:rPr>
          <w:rFonts w:ascii="Times" w:eastAsia="Batang" w:hAnsi="Times"/>
          <w:lang w:eastAsia="x-none"/>
        </w:rPr>
      </w:pPr>
      <w:r w:rsidRPr="004B2424">
        <w:rPr>
          <w:rFonts w:ascii="Times" w:eastAsia="Batang" w:hAnsi="Times"/>
          <w:lang w:eastAsia="x-none"/>
        </w:rPr>
        <w:t xml:space="preserve">    </w:t>
      </w:r>
      <w:r>
        <w:rPr>
          <w:rFonts w:ascii="Times" w:eastAsia="Batang" w:hAnsi="Times"/>
          <w:highlight w:val="green"/>
          <w:lang w:eastAsia="x-none"/>
        </w:rPr>
        <w:t xml:space="preserve"> </w:t>
      </w:r>
      <w:r w:rsidRPr="001A151A">
        <w:rPr>
          <w:rFonts w:ascii="Times" w:eastAsia="Batang" w:hAnsi="Times"/>
          <w:highlight w:val="green"/>
          <w:lang w:eastAsia="x-none"/>
        </w:rPr>
        <w:t>Agreements</w:t>
      </w:r>
      <w:r w:rsidRPr="001A151A">
        <w:rPr>
          <w:rFonts w:ascii="Times" w:eastAsia="Batang" w:hAnsi="Times"/>
          <w:lang w:eastAsia="x-none"/>
        </w:rPr>
        <w:t>:</w:t>
      </w:r>
    </w:p>
    <w:p w14:paraId="4A7B5BF9" w14:textId="77777777" w:rsidR="004B2424" w:rsidRPr="001A151A" w:rsidRDefault="004B2424" w:rsidP="004B2424">
      <w:pPr>
        <w:ind w:left="360"/>
        <w:rPr>
          <w:rFonts w:ascii="Times" w:eastAsia="Batang" w:hAnsi="Times"/>
          <w:bCs/>
        </w:rPr>
      </w:pPr>
      <w:r w:rsidRPr="001A151A">
        <w:rPr>
          <w:rFonts w:ascii="Times" w:eastAsia="Batang" w:hAnsi="Times"/>
          <w:bCs/>
          <w:i/>
          <w:iCs/>
        </w:rPr>
        <w:t xml:space="preserve">Desired Guard </w:t>
      </w:r>
      <w:r w:rsidRPr="001A151A">
        <w:rPr>
          <w:rFonts w:ascii="Times" w:eastAsia="Batang" w:hAnsi="Times"/>
          <w:bCs/>
        </w:rPr>
        <w:t>Symbols and</w:t>
      </w:r>
      <w:r w:rsidRPr="001A151A">
        <w:rPr>
          <w:rFonts w:ascii="Times" w:eastAsia="Batang" w:hAnsi="Times"/>
          <w:bCs/>
          <w:i/>
          <w:iCs/>
        </w:rPr>
        <w:t xml:space="preserve"> Provided Guard Symbols </w:t>
      </w:r>
      <w:r w:rsidRPr="001A151A">
        <w:rPr>
          <w:rFonts w:ascii="Times" w:eastAsia="Batang" w:hAnsi="Times"/>
          <w:bCs/>
        </w:rPr>
        <w:t>are provided per cell and use 3 bits for each of the 8 transitions to indicate the number of guard symbols.</w:t>
      </w:r>
    </w:p>
    <w:p w14:paraId="798445CE" w14:textId="77777777" w:rsidR="004B2424" w:rsidRPr="001A151A" w:rsidRDefault="004B2424" w:rsidP="004B2424">
      <w:pPr>
        <w:numPr>
          <w:ilvl w:val="0"/>
          <w:numId w:val="12"/>
        </w:numPr>
        <w:contextualSpacing/>
        <w:rPr>
          <w:bCs/>
          <w:lang w:eastAsia="ja-JP"/>
        </w:rPr>
      </w:pPr>
      <w:r w:rsidRPr="001A151A">
        <w:rPr>
          <w:bCs/>
          <w:lang w:eastAsia="ja-JP"/>
        </w:rPr>
        <w:t>In Rel-16, a range of 0-4 symbols are supported for each transition. Additional entries are reserved for future use</w:t>
      </w:r>
    </w:p>
    <w:p w14:paraId="6276F4AF" w14:textId="77777777" w:rsidR="004B2424" w:rsidRPr="001A151A" w:rsidRDefault="004B2424" w:rsidP="004B2424">
      <w:pPr>
        <w:numPr>
          <w:ilvl w:val="0"/>
          <w:numId w:val="12"/>
        </w:numPr>
        <w:contextualSpacing/>
        <w:rPr>
          <w:bCs/>
          <w:lang w:eastAsia="ja-JP"/>
        </w:rPr>
      </w:pPr>
      <w:r w:rsidRPr="001A151A">
        <w:rPr>
          <w:bCs/>
          <w:lang w:eastAsia="ja-JP"/>
        </w:rPr>
        <w:t xml:space="preserve">A new parameter </w:t>
      </w:r>
      <w:proofErr w:type="spellStart"/>
      <w:r w:rsidRPr="001A151A">
        <w:rPr>
          <w:bCs/>
          <w:i/>
          <w:iCs/>
          <w:lang w:eastAsia="ja-JP"/>
        </w:rPr>
        <w:t>GuardSymbol</w:t>
      </w:r>
      <w:proofErr w:type="spellEnd"/>
      <w:r w:rsidRPr="001A151A">
        <w:rPr>
          <w:bCs/>
          <w:i/>
          <w:iCs/>
          <w:lang w:eastAsia="ja-JP"/>
        </w:rPr>
        <w:t>-SCS</w:t>
      </w:r>
      <w:r w:rsidRPr="001A151A">
        <w:rPr>
          <w:bCs/>
          <w:lang w:eastAsia="ja-JP"/>
        </w:rPr>
        <w:t xml:space="preserve"> is also provided which indicates the reference SCS (FR1: {15kHz, 30kHz, 60kHz}, FR2: {60kHz, 120kHz}) to be used for the guard symbols.</w:t>
      </w:r>
    </w:p>
    <w:p w14:paraId="0895B95D" w14:textId="77777777" w:rsidR="004B2424" w:rsidRDefault="004B2424" w:rsidP="004B2424">
      <w:pPr>
        <w:pStyle w:val="Header"/>
        <w:rPr>
          <w:rFonts w:cs="Arial"/>
        </w:rPr>
      </w:pPr>
    </w:p>
    <w:p w14:paraId="72F4EBD0" w14:textId="77777777" w:rsidR="004B2424" w:rsidRDefault="004B2424" w:rsidP="004B2424">
      <w:pPr>
        <w:pStyle w:val="Header"/>
        <w:rPr>
          <w:rFonts w:cs="Arial"/>
        </w:rPr>
      </w:pPr>
    </w:p>
    <w:p w14:paraId="39079242" w14:textId="433DA7B8" w:rsidR="004B2424" w:rsidRDefault="004B2424" w:rsidP="004B2424">
      <w:pPr>
        <w:pStyle w:val="Header"/>
        <w:rPr>
          <w:rFonts w:cs="Arial"/>
        </w:rPr>
      </w:pPr>
      <w:r>
        <w:rPr>
          <w:rFonts w:cs="Arial"/>
        </w:rPr>
        <w:t xml:space="preserve">      </w:t>
      </w:r>
      <w:r w:rsidRPr="003151A8">
        <w:rPr>
          <w:rFonts w:cs="Arial"/>
        </w:rPr>
        <w:t xml:space="preserve">RAN2#109-e </w:t>
      </w:r>
      <w:r>
        <w:rPr>
          <w:rFonts w:cs="Arial"/>
        </w:rPr>
        <w:t>agreement:</w:t>
      </w:r>
    </w:p>
    <w:p w14:paraId="7282C604" w14:textId="77777777" w:rsidR="004B2424" w:rsidRDefault="004B2424" w:rsidP="004B2424">
      <w:pPr>
        <w:pStyle w:val="Header"/>
        <w:rPr>
          <w:rFonts w:cs="Arial"/>
        </w:rPr>
      </w:pPr>
    </w:p>
    <w:p w14:paraId="0D42D756" w14:textId="073F4633" w:rsidR="004B2424" w:rsidRPr="00A56032" w:rsidRDefault="004B2424" w:rsidP="00080B65">
      <w:pPr>
        <w:pStyle w:val="Agreement"/>
        <w:pBdr>
          <w:top w:val="single" w:sz="4" w:space="1" w:color="auto"/>
          <w:left w:val="single" w:sz="4" w:space="4" w:color="auto"/>
          <w:bottom w:val="single" w:sz="4" w:space="1" w:color="auto"/>
          <w:right w:val="single" w:sz="4" w:space="4" w:color="auto"/>
        </w:pBdr>
      </w:pPr>
      <w:r>
        <w:t>RAN2 will design one single fixed-length Guard Symbols MAC CE, containing values (or indices mapped thereto) of all 8 parameters introduced by RAN1.</w:t>
      </w:r>
    </w:p>
    <w:p w14:paraId="6CF7A58E" w14:textId="7265623A" w:rsidR="004B2424" w:rsidRDefault="004B2424" w:rsidP="00080B65">
      <w:pPr>
        <w:rPr>
          <w:rFonts w:ascii="Calibri" w:eastAsia="Calibri" w:hAnsi="Calibri"/>
          <w:sz w:val="22"/>
          <w:szCs w:val="22"/>
        </w:rPr>
      </w:pPr>
    </w:p>
    <w:p w14:paraId="36763D0A" w14:textId="30B17F88" w:rsidR="004B2424" w:rsidRDefault="004B2424" w:rsidP="00080B65">
      <w:pPr>
        <w:rPr>
          <w:rFonts w:ascii="Calibri" w:eastAsia="Calibri" w:hAnsi="Calibri"/>
          <w:sz w:val="22"/>
          <w:szCs w:val="22"/>
        </w:rPr>
      </w:pPr>
      <w:r>
        <w:rPr>
          <w:rFonts w:ascii="Calibri" w:eastAsia="Calibri" w:hAnsi="Calibri"/>
          <w:sz w:val="22"/>
          <w:szCs w:val="22"/>
        </w:rPr>
        <w:t>with the following action for RAN1:</w:t>
      </w:r>
    </w:p>
    <w:p w14:paraId="278BE8BD" w14:textId="77777777" w:rsidR="004B2424" w:rsidRDefault="004B2424" w:rsidP="00080B65">
      <w:pPr>
        <w:rPr>
          <w:rFonts w:ascii="Calibri" w:eastAsia="Calibri" w:hAnsi="Calibri"/>
          <w:sz w:val="22"/>
          <w:szCs w:val="22"/>
        </w:rPr>
      </w:pPr>
    </w:p>
    <w:p w14:paraId="0FC121D1" w14:textId="77777777" w:rsidR="004B2424" w:rsidRDefault="004B2424" w:rsidP="004B2424">
      <w:pPr>
        <w:pStyle w:val="Header"/>
        <w:rPr>
          <w:rFonts w:cs="Arial"/>
        </w:rPr>
      </w:pPr>
      <w:r>
        <w:rPr>
          <w:rFonts w:cs="Arial"/>
        </w:rPr>
        <w:t>RAN2 would very much appreciate it if RAN1 could inform RAN2 at their earliest convenience whether there is a requirement that Number of Guard Symbols should be</w:t>
      </w:r>
      <w:r w:rsidRPr="002D3401">
        <w:rPr>
          <w:rFonts w:cs="Arial"/>
        </w:rPr>
        <w:t xml:space="preserve"> </w:t>
      </w:r>
      <w:r>
        <w:rPr>
          <w:rFonts w:cs="Arial"/>
        </w:rPr>
        <w:t>applied</w:t>
      </w:r>
      <w:r w:rsidRPr="002D3401">
        <w:rPr>
          <w:rFonts w:cs="Arial"/>
        </w:rPr>
        <w:t xml:space="preserve"> to </w:t>
      </w:r>
      <w:r>
        <w:rPr>
          <w:rFonts w:cs="Arial"/>
        </w:rPr>
        <w:t xml:space="preserve">a specific </w:t>
      </w:r>
      <w:r w:rsidRPr="002D3401">
        <w:rPr>
          <w:rFonts w:cs="Arial"/>
        </w:rPr>
        <w:t>cell</w:t>
      </w:r>
      <w:r>
        <w:rPr>
          <w:rFonts w:cs="Arial"/>
        </w:rPr>
        <w:t>, or if the Number of Guard Symbols applies across all the cells in the cell group.</w:t>
      </w:r>
    </w:p>
    <w:p w14:paraId="73225429" w14:textId="77777777" w:rsidR="004B2424" w:rsidRDefault="004B2424" w:rsidP="00080B65">
      <w:pPr>
        <w:rPr>
          <w:rFonts w:ascii="Calibri" w:eastAsia="Calibri" w:hAnsi="Calibri"/>
          <w:sz w:val="22"/>
          <w:szCs w:val="22"/>
        </w:rPr>
      </w:pPr>
    </w:p>
    <w:p w14:paraId="271F221A" w14:textId="2F2DCC99" w:rsidR="00080B65" w:rsidRDefault="00A56032" w:rsidP="00080B65">
      <w:pPr>
        <w:rPr>
          <w:rFonts w:ascii="Calibri" w:eastAsia="Calibri" w:hAnsi="Calibri"/>
          <w:sz w:val="22"/>
          <w:szCs w:val="22"/>
        </w:rPr>
      </w:pPr>
      <w:r>
        <w:rPr>
          <w:rFonts w:ascii="Calibri" w:eastAsia="Calibri" w:hAnsi="Calibri"/>
          <w:sz w:val="22"/>
          <w:szCs w:val="22"/>
        </w:rPr>
        <w:t>While the RAN1 agreement states that the Number of Guard Symbols is provided per cell, in case of CA, multiple cells could in theory share a common value and thus reduce the signaling overhead of multiple MAC CEs. However, if the access UEs connected to the IAB-DU of the IAB-node are not using the same cells as the IAB-MT of the IAB-node (for example due to inter-band CA), fewer Guard Symbols may be needed on some cells rather than others. Additional scenarios where there are differences across cells may be observed in Rel-17 when SDM/Full-Duplex operation is supported. Given that the Number of Guard Symbols is not expected to change very frequently, it seems preferable to keep the flexibility of applying the Number of Guard Symbols to a specific cell instead of the all cells of a cell group.</w:t>
      </w:r>
    </w:p>
    <w:p w14:paraId="1747021F" w14:textId="77777777" w:rsidR="00A56032" w:rsidRDefault="00A56032" w:rsidP="00080B65">
      <w:pPr>
        <w:rPr>
          <w:rFonts w:ascii="Calibri" w:eastAsia="Calibri" w:hAnsi="Calibri"/>
          <w:sz w:val="22"/>
          <w:szCs w:val="22"/>
        </w:rPr>
      </w:pPr>
    </w:p>
    <w:p w14:paraId="415A30D4" w14:textId="2174D717" w:rsidR="006F6165" w:rsidRPr="00A56032" w:rsidRDefault="00080B65" w:rsidP="00CF59CC">
      <w:pPr>
        <w:rPr>
          <w:rFonts w:ascii="Calibri" w:eastAsia="Calibri" w:hAnsi="Calibri"/>
          <w:b/>
          <w:bCs/>
          <w:sz w:val="22"/>
          <w:szCs w:val="22"/>
        </w:rPr>
      </w:pPr>
      <w:r>
        <w:rPr>
          <w:rFonts w:ascii="Calibri" w:eastAsia="Calibri" w:hAnsi="Calibri"/>
          <w:b/>
          <w:bCs/>
          <w:sz w:val="22"/>
          <w:szCs w:val="22"/>
        </w:rPr>
        <w:t xml:space="preserve">Proposal 1: </w:t>
      </w:r>
      <w:r w:rsidR="004B2424">
        <w:rPr>
          <w:rFonts w:ascii="Calibri" w:eastAsia="Calibri" w:hAnsi="Calibri"/>
          <w:b/>
          <w:bCs/>
          <w:sz w:val="22"/>
          <w:szCs w:val="22"/>
        </w:rPr>
        <w:t xml:space="preserve">Inform </w:t>
      </w:r>
      <w:r w:rsidR="00A56032">
        <w:rPr>
          <w:rFonts w:ascii="Calibri" w:eastAsia="Calibri" w:hAnsi="Calibri"/>
          <w:b/>
          <w:bCs/>
          <w:sz w:val="22"/>
          <w:szCs w:val="22"/>
        </w:rPr>
        <w:t>RAN2 that the Number of Guard Symbols should be applied to a specific cell and not all the cells in the cell group.</w:t>
      </w:r>
    </w:p>
    <w:p w14:paraId="55A2CBBE" w14:textId="3DC039C6" w:rsidR="00CF59CC" w:rsidRPr="00172743" w:rsidRDefault="00CF59CC" w:rsidP="00CF59CC">
      <w:pPr>
        <w:pStyle w:val="Heading1"/>
      </w:pPr>
      <w:r>
        <w:lastRenderedPageBreak/>
        <w:t>IAB</w:t>
      </w:r>
      <w:r w:rsidR="007708DD">
        <w:t xml:space="preserve"> Terminology Update</w:t>
      </w:r>
    </w:p>
    <w:p w14:paraId="0041D3DF" w14:textId="2483B5DA" w:rsidR="00CF59CC" w:rsidRDefault="00CF59CC" w:rsidP="00CF59CC">
      <w:pPr>
        <w:rPr>
          <w:rFonts w:ascii="Calibri" w:eastAsia="Calibri" w:hAnsi="Calibri"/>
          <w:sz w:val="22"/>
          <w:szCs w:val="22"/>
        </w:rPr>
      </w:pPr>
      <w:r w:rsidRPr="00080B65">
        <w:rPr>
          <w:rFonts w:ascii="Calibri" w:eastAsia="Calibri" w:hAnsi="Calibri"/>
          <w:sz w:val="22"/>
          <w:szCs w:val="22"/>
        </w:rPr>
        <w:t xml:space="preserve">In the </w:t>
      </w:r>
      <w:r>
        <w:rPr>
          <w:rFonts w:ascii="Calibri" w:eastAsia="Calibri" w:hAnsi="Calibri"/>
          <w:sz w:val="22"/>
          <w:szCs w:val="22"/>
        </w:rPr>
        <w:t xml:space="preserve">latest version of </w:t>
      </w:r>
      <w:r w:rsidR="007708DD">
        <w:rPr>
          <w:rFonts w:ascii="Calibri" w:eastAsia="Calibri" w:hAnsi="Calibri"/>
          <w:sz w:val="22"/>
          <w:szCs w:val="22"/>
        </w:rPr>
        <w:t xml:space="preserve">TS </w:t>
      </w:r>
      <w:r>
        <w:rPr>
          <w:rFonts w:ascii="Calibri" w:eastAsia="Calibri" w:hAnsi="Calibri"/>
          <w:sz w:val="22"/>
          <w:szCs w:val="22"/>
        </w:rPr>
        <w:t>38.3</w:t>
      </w:r>
      <w:r w:rsidR="007708DD">
        <w:rPr>
          <w:rFonts w:ascii="Calibri" w:eastAsia="Calibri" w:hAnsi="Calibri"/>
          <w:sz w:val="22"/>
          <w:szCs w:val="22"/>
        </w:rPr>
        <w:t>00 the following definitions for IAB have been agreed:</w:t>
      </w:r>
    </w:p>
    <w:p w14:paraId="6BE4401D" w14:textId="2E7C8329" w:rsidR="007708DD" w:rsidRDefault="007708DD" w:rsidP="00CF59CC">
      <w:pPr>
        <w:rPr>
          <w:rFonts w:ascii="Calibri" w:eastAsia="Calibri" w:hAnsi="Calibri"/>
          <w:sz w:val="22"/>
          <w:szCs w:val="22"/>
        </w:rPr>
      </w:pPr>
    </w:p>
    <w:p w14:paraId="693AC1A0" w14:textId="77777777" w:rsidR="007708DD" w:rsidRDefault="007708DD" w:rsidP="007708DD">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E230EF0" w14:textId="77777777" w:rsidR="007708DD" w:rsidRPr="0063283C" w:rsidRDefault="007708DD" w:rsidP="007708DD">
      <w:pPr>
        <w:overflowPunct w:val="0"/>
        <w:autoSpaceDE w:val="0"/>
        <w:autoSpaceDN w:val="0"/>
        <w:adjustRightInd w:val="0"/>
        <w:textAlignment w:val="baseline"/>
        <w:rPr>
          <w:lang w:eastAsia="ja-JP"/>
        </w:rPr>
      </w:pPr>
      <w:r w:rsidRPr="0063283C">
        <w:rPr>
          <w:b/>
          <w:lang w:eastAsia="ja-JP"/>
        </w:rPr>
        <w:t>IAB-</w:t>
      </w:r>
      <w:r>
        <w:rPr>
          <w:b/>
          <w:lang w:eastAsia="ja-JP"/>
        </w:rPr>
        <w:t>donor-CU</w:t>
      </w:r>
      <w:r w:rsidRPr="0063283C">
        <w:rPr>
          <w:lang w:eastAsia="ja-JP"/>
        </w:rPr>
        <w:t>:</w:t>
      </w:r>
      <w:r>
        <w:rPr>
          <w:lang w:eastAsia="ja-JP"/>
        </w:rPr>
        <w:t xml:space="preserve"> </w:t>
      </w:r>
      <w:r w:rsidRPr="0063283C">
        <w:rPr>
          <w:lang w:eastAsia="ja-JP"/>
        </w:rPr>
        <w:t>a</w:t>
      </w:r>
      <w:r>
        <w:rPr>
          <w:lang w:eastAsia="ja-JP"/>
        </w:rPr>
        <w:t>s defined in TS 38.401 [4].</w:t>
      </w:r>
    </w:p>
    <w:p w14:paraId="7200D1AB" w14:textId="77777777" w:rsidR="007708DD" w:rsidRDefault="007708DD" w:rsidP="007708DD">
      <w:pPr>
        <w:overflowPunct w:val="0"/>
        <w:autoSpaceDE w:val="0"/>
        <w:autoSpaceDN w:val="0"/>
        <w:adjustRightInd w:val="0"/>
        <w:textAlignment w:val="baseline"/>
        <w:rPr>
          <w:lang w:eastAsia="ja-JP"/>
        </w:rPr>
      </w:pPr>
      <w:r w:rsidRPr="0063283C">
        <w:rPr>
          <w:b/>
          <w:lang w:eastAsia="ja-JP"/>
        </w:rPr>
        <w:t>IAB-</w:t>
      </w:r>
      <w:r>
        <w:rPr>
          <w:b/>
          <w:lang w:eastAsia="ja-JP"/>
        </w:rPr>
        <w:t>d</w:t>
      </w:r>
      <w:r w:rsidRPr="0063283C">
        <w:rPr>
          <w:b/>
          <w:lang w:eastAsia="ja-JP"/>
        </w:rPr>
        <w:t>onor</w:t>
      </w:r>
      <w:r>
        <w:rPr>
          <w:b/>
          <w:lang w:eastAsia="ja-JP"/>
        </w:rPr>
        <w:t>-DU</w:t>
      </w:r>
      <w:r w:rsidRPr="009502EB">
        <w:rPr>
          <w:lang w:eastAsia="ja-JP"/>
        </w:rPr>
        <w:t>:</w:t>
      </w:r>
      <w:r>
        <w:rPr>
          <w:b/>
          <w:lang w:eastAsia="ja-JP"/>
        </w:rPr>
        <w:t xml:space="preserve"> </w:t>
      </w:r>
      <w:r>
        <w:rPr>
          <w:lang w:eastAsia="ja-JP"/>
        </w:rPr>
        <w:t>as defined in TS 38.401 [4].</w:t>
      </w:r>
      <w:r w:rsidDel="00E94389">
        <w:rPr>
          <w:lang w:eastAsia="ja-JP"/>
        </w:rPr>
        <w:t xml:space="preserve"> </w:t>
      </w:r>
    </w:p>
    <w:p w14:paraId="24788E13" w14:textId="77777777" w:rsidR="007708DD" w:rsidRDefault="007708DD" w:rsidP="007708DD">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FEF399B" w14:textId="77777777" w:rsidR="007708DD" w:rsidRDefault="007708DD" w:rsidP="007708DD">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w:t>
      </w:r>
      <w:proofErr w:type="spellStart"/>
      <w:r>
        <w:t>behaviours</w:t>
      </w:r>
      <w:proofErr w:type="spellEnd"/>
      <w:r>
        <w:t xml:space="preserve"> specified for UEs unless stated otherwise. IAB-MT function used in 38series of 3GPP Specifications corresponds to IAB-UE function defined in TS 23.501 [3].</w:t>
      </w:r>
    </w:p>
    <w:p w14:paraId="5781CCD1" w14:textId="77777777" w:rsidR="007708DD" w:rsidRDefault="007708DD" w:rsidP="007708DD">
      <w:r>
        <w:rPr>
          <w:b/>
          <w:bCs/>
        </w:rPr>
        <w:t>IAB-node</w:t>
      </w:r>
      <w:r>
        <w:t>: RAN node that supports NR access links to UEs and NR backhaul links to parent nodes and child nodes. The IAB-node does not support backhauling via LTE.</w:t>
      </w:r>
    </w:p>
    <w:p w14:paraId="79C081A6" w14:textId="0FA45F06" w:rsidR="007708DD" w:rsidRDefault="007708DD" w:rsidP="00CF59CC">
      <w:pPr>
        <w:rPr>
          <w:rFonts w:ascii="Calibri" w:eastAsia="Calibri" w:hAnsi="Calibri"/>
          <w:sz w:val="22"/>
          <w:szCs w:val="22"/>
        </w:rPr>
      </w:pPr>
    </w:p>
    <w:p w14:paraId="2FDE24D3" w14:textId="4816F16B" w:rsidR="007708DD" w:rsidRPr="00CF59CC" w:rsidRDefault="007708DD" w:rsidP="00CF59CC">
      <w:pPr>
        <w:rPr>
          <w:rFonts w:ascii="Calibri" w:eastAsia="Calibri" w:hAnsi="Calibri"/>
          <w:sz w:val="22"/>
          <w:szCs w:val="22"/>
        </w:rPr>
      </w:pPr>
      <w:r>
        <w:rPr>
          <w:rFonts w:ascii="Calibri" w:eastAsia="Calibri" w:hAnsi="Calibri"/>
          <w:sz w:val="22"/>
          <w:szCs w:val="22"/>
        </w:rPr>
        <w:t>As a result, there is no longer a notion of a IAB-node DU or IAB-node MT, rather an IAB-node contains IAB-DU and IAB-MT functionality.</w:t>
      </w:r>
    </w:p>
    <w:p w14:paraId="7D74984C" w14:textId="77777777" w:rsidR="00CF59CC" w:rsidRDefault="00CF59CC" w:rsidP="00CF59CC">
      <w:pPr>
        <w:rPr>
          <w:rFonts w:ascii="Calibri" w:eastAsia="Calibri" w:hAnsi="Calibri"/>
          <w:sz w:val="22"/>
          <w:szCs w:val="22"/>
        </w:rPr>
      </w:pPr>
    </w:p>
    <w:p w14:paraId="7D03A074" w14:textId="158EB210" w:rsidR="00CF59CC" w:rsidRPr="00080B65" w:rsidRDefault="00CF59CC" w:rsidP="00CF59CC">
      <w:pPr>
        <w:rPr>
          <w:rFonts w:ascii="Calibri" w:eastAsia="Calibri" w:hAnsi="Calibri"/>
          <w:b/>
          <w:bCs/>
          <w:sz w:val="22"/>
          <w:szCs w:val="22"/>
        </w:rPr>
      </w:pPr>
      <w:r>
        <w:rPr>
          <w:rFonts w:ascii="Calibri" w:eastAsia="Calibri" w:hAnsi="Calibri"/>
          <w:b/>
          <w:bCs/>
          <w:sz w:val="22"/>
          <w:szCs w:val="22"/>
        </w:rPr>
        <w:t xml:space="preserve">Proposal 2: </w:t>
      </w:r>
      <w:r w:rsidR="007708DD">
        <w:rPr>
          <w:rFonts w:ascii="Calibri" w:eastAsia="Calibri" w:hAnsi="Calibri"/>
          <w:b/>
          <w:bCs/>
          <w:sz w:val="22"/>
          <w:szCs w:val="22"/>
        </w:rPr>
        <w:t>All instances of IAB-node DU should be replaced with IAB-DU and all instances of IAB-node MT should be replaced with IAB-MT in TS 38.213.</w:t>
      </w:r>
    </w:p>
    <w:p w14:paraId="3733C6F1" w14:textId="77777777" w:rsidR="00D13035" w:rsidRDefault="00D13035" w:rsidP="006F6165">
      <w:pPr>
        <w:jc w:val="center"/>
        <w:rPr>
          <w:b/>
          <w:i/>
          <w:sz w:val="28"/>
        </w:rPr>
      </w:pPr>
    </w:p>
    <w:p w14:paraId="09D241DB" w14:textId="29A00EF5" w:rsidR="008E37FD" w:rsidRPr="00172743" w:rsidRDefault="008E37FD" w:rsidP="008E37FD">
      <w:pPr>
        <w:pStyle w:val="Heading1"/>
      </w:pPr>
      <w:r>
        <w:t>Conclusion</w:t>
      </w:r>
    </w:p>
    <w:p w14:paraId="62352F25" w14:textId="67394701" w:rsidR="008E37FD" w:rsidRDefault="008E37FD" w:rsidP="008E37FD">
      <w:pPr>
        <w:rPr>
          <w:rFonts w:ascii="Calibri" w:eastAsia="Calibri" w:hAnsi="Calibri"/>
          <w:sz w:val="22"/>
          <w:szCs w:val="22"/>
        </w:rPr>
      </w:pPr>
      <w:r>
        <w:rPr>
          <w:rFonts w:ascii="Calibri" w:eastAsia="Calibri" w:hAnsi="Calibri"/>
          <w:sz w:val="22"/>
          <w:szCs w:val="22"/>
        </w:rPr>
        <w:t xml:space="preserve">The following proposals were made: </w:t>
      </w:r>
    </w:p>
    <w:p w14:paraId="1B65E7D4" w14:textId="77777777" w:rsidR="008E37FD" w:rsidRPr="00CF59CC" w:rsidRDefault="008E37FD" w:rsidP="008E37FD">
      <w:pPr>
        <w:rPr>
          <w:rFonts w:ascii="Calibri" w:eastAsia="Calibri" w:hAnsi="Calibri"/>
          <w:sz w:val="22"/>
          <w:szCs w:val="22"/>
        </w:rPr>
      </w:pPr>
    </w:p>
    <w:p w14:paraId="5E78D4D1" w14:textId="272F6F42" w:rsidR="00A56032" w:rsidRDefault="00A56032" w:rsidP="00A56032">
      <w:pPr>
        <w:rPr>
          <w:rFonts w:ascii="Calibri" w:eastAsia="Calibri" w:hAnsi="Calibri"/>
          <w:b/>
          <w:bCs/>
          <w:sz w:val="22"/>
          <w:szCs w:val="22"/>
        </w:rPr>
      </w:pPr>
      <w:r>
        <w:rPr>
          <w:rFonts w:ascii="Calibri" w:eastAsia="Calibri" w:hAnsi="Calibri"/>
          <w:b/>
          <w:bCs/>
          <w:sz w:val="22"/>
          <w:szCs w:val="22"/>
        </w:rPr>
        <w:t>Proposal 1: Inform RAN2 that the Number of Guard Symbols should be applied to a specific cell and not all the cells in the cell group.</w:t>
      </w:r>
    </w:p>
    <w:p w14:paraId="61CBF46B" w14:textId="686C849C" w:rsidR="00A56032" w:rsidRDefault="00A56032" w:rsidP="00A56032">
      <w:pPr>
        <w:rPr>
          <w:rFonts w:ascii="Calibri" w:eastAsia="Calibri" w:hAnsi="Calibri"/>
          <w:b/>
          <w:bCs/>
          <w:sz w:val="22"/>
          <w:szCs w:val="22"/>
        </w:rPr>
      </w:pPr>
    </w:p>
    <w:p w14:paraId="72951AD5" w14:textId="77777777" w:rsidR="00A56032" w:rsidRPr="00080B65" w:rsidRDefault="00A56032" w:rsidP="00A56032">
      <w:pPr>
        <w:rPr>
          <w:rFonts w:ascii="Calibri" w:eastAsia="Calibri" w:hAnsi="Calibri"/>
          <w:b/>
          <w:bCs/>
          <w:sz w:val="22"/>
          <w:szCs w:val="22"/>
        </w:rPr>
      </w:pPr>
      <w:r>
        <w:rPr>
          <w:rFonts w:ascii="Calibri" w:eastAsia="Calibri" w:hAnsi="Calibri"/>
          <w:b/>
          <w:bCs/>
          <w:sz w:val="22"/>
          <w:szCs w:val="22"/>
        </w:rPr>
        <w:t>Proposal 2: All instances of IAB-node DU should be replaced with IAB-DU and all instances of IAB-node MT should be replaced with IAB-MT in TS 38.213.</w:t>
      </w:r>
    </w:p>
    <w:p w14:paraId="26284969" w14:textId="77777777" w:rsidR="00A56032" w:rsidRPr="00CF59CC" w:rsidRDefault="00A56032" w:rsidP="00A56032">
      <w:pPr>
        <w:rPr>
          <w:rFonts w:ascii="Calibri" w:eastAsia="Calibri" w:hAnsi="Calibri"/>
          <w:b/>
          <w:bCs/>
          <w:sz w:val="22"/>
          <w:szCs w:val="22"/>
        </w:rPr>
      </w:pPr>
    </w:p>
    <w:p w14:paraId="69895FDD" w14:textId="20677B30" w:rsidR="00A607BD" w:rsidRDefault="00A607BD" w:rsidP="008E37FD">
      <w:pPr>
        <w:rPr>
          <w:rFonts w:asciiTheme="minorHAnsi" w:hAnsiTheme="minorHAnsi" w:cstheme="minorHAnsi"/>
          <w:b/>
          <w:highlight w:val="yellow"/>
          <w:lang w:val="en-GB"/>
        </w:rPr>
      </w:pPr>
    </w:p>
    <w:p w14:paraId="638B52CA" w14:textId="77777777" w:rsidR="00A607BD" w:rsidRPr="00033FC1" w:rsidRDefault="00A607BD" w:rsidP="005C6208"/>
    <w:sectPr w:rsidR="00A607BD" w:rsidRPr="00033F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E469E" w14:textId="77777777" w:rsidR="00C91098" w:rsidRDefault="00C91098" w:rsidP="00424124">
      <w:r>
        <w:separator/>
      </w:r>
    </w:p>
  </w:endnote>
  <w:endnote w:type="continuationSeparator" w:id="0">
    <w:p w14:paraId="74A7236E" w14:textId="77777777" w:rsidR="00C91098" w:rsidRDefault="00C91098" w:rsidP="00424124">
      <w:r>
        <w:continuationSeparator/>
      </w:r>
    </w:p>
  </w:endnote>
  <w:endnote w:type="continuationNotice" w:id="1">
    <w:p w14:paraId="6D8AAC47" w14:textId="77777777" w:rsidR="00C91098" w:rsidRDefault="00C91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0D466" w14:textId="77777777" w:rsidR="00C91098" w:rsidRDefault="00C91098" w:rsidP="00424124">
      <w:r>
        <w:separator/>
      </w:r>
    </w:p>
  </w:footnote>
  <w:footnote w:type="continuationSeparator" w:id="0">
    <w:p w14:paraId="645D5FAD" w14:textId="77777777" w:rsidR="00C91098" w:rsidRDefault="00C91098" w:rsidP="00424124">
      <w:r>
        <w:continuationSeparator/>
      </w:r>
    </w:p>
  </w:footnote>
  <w:footnote w:type="continuationNotice" w:id="1">
    <w:p w14:paraId="5C1B7CAC" w14:textId="77777777" w:rsidR="00C91098" w:rsidRDefault="00C91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3"/>
  </w:num>
  <w:num w:numId="4">
    <w:abstractNumId w:val="12"/>
  </w:num>
  <w:num w:numId="5">
    <w:abstractNumId w:val="21"/>
  </w:num>
  <w:num w:numId="6">
    <w:abstractNumId w:val="31"/>
  </w:num>
  <w:num w:numId="7">
    <w:abstractNumId w:val="18"/>
  </w:num>
  <w:num w:numId="8">
    <w:abstractNumId w:val="0"/>
  </w:num>
  <w:num w:numId="9">
    <w:abstractNumId w:val="32"/>
  </w:num>
  <w:num w:numId="10">
    <w:abstractNumId w:val="2"/>
  </w:num>
  <w:num w:numId="11">
    <w:abstractNumId w:val="26"/>
  </w:num>
  <w:num w:numId="12">
    <w:abstractNumId w:val="16"/>
  </w:num>
  <w:num w:numId="13">
    <w:abstractNumId w:val="1"/>
  </w:num>
  <w:num w:numId="14">
    <w:abstractNumId w:val="20"/>
  </w:num>
  <w:num w:numId="15">
    <w:abstractNumId w:val="34"/>
  </w:num>
  <w:num w:numId="16">
    <w:abstractNumId w:val="33"/>
  </w:num>
  <w:num w:numId="17">
    <w:abstractNumId w:val="29"/>
  </w:num>
  <w:num w:numId="18">
    <w:abstractNumId w:val="6"/>
  </w:num>
  <w:num w:numId="19">
    <w:abstractNumId w:val="36"/>
  </w:num>
  <w:num w:numId="20">
    <w:abstractNumId w:val="10"/>
  </w:num>
  <w:num w:numId="21">
    <w:abstractNumId w:val="30"/>
  </w:num>
  <w:num w:numId="22">
    <w:abstractNumId w:val="28"/>
  </w:num>
  <w:num w:numId="23">
    <w:abstractNumId w:val="8"/>
  </w:num>
  <w:num w:numId="24">
    <w:abstractNumId w:val="8"/>
  </w:num>
  <w:num w:numId="25">
    <w:abstractNumId w:val="22"/>
  </w:num>
  <w:num w:numId="26">
    <w:abstractNumId w:val="5"/>
  </w:num>
  <w:num w:numId="27">
    <w:abstractNumId w:val="4"/>
  </w:num>
  <w:num w:numId="28">
    <w:abstractNumId w:val="11"/>
  </w:num>
  <w:num w:numId="29">
    <w:abstractNumId w:val="26"/>
  </w:num>
  <w:num w:numId="30">
    <w:abstractNumId w:val="3"/>
  </w:num>
  <w:num w:numId="31">
    <w:abstractNumId w:val="35"/>
  </w:num>
  <w:num w:numId="32">
    <w:abstractNumId w:val="13"/>
  </w:num>
  <w:num w:numId="33">
    <w:abstractNumId w:val="19"/>
  </w:num>
  <w:num w:numId="34">
    <w:abstractNumId w:val="14"/>
  </w:num>
  <w:num w:numId="35">
    <w:abstractNumId w:val="25"/>
  </w:num>
  <w:num w:numId="36">
    <w:abstractNumId w:val="24"/>
  </w:num>
  <w:num w:numId="37">
    <w:abstractNumId w:val="9"/>
  </w:num>
  <w:num w:numId="38">
    <w:abstractNumId w:val="17"/>
  </w:num>
  <w:num w:numId="3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1E50"/>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0B65"/>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7BC"/>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2E0C"/>
    <w:rsid w:val="000C3426"/>
    <w:rsid w:val="000C57B9"/>
    <w:rsid w:val="000C5ADA"/>
    <w:rsid w:val="000C5B23"/>
    <w:rsid w:val="000C5D6D"/>
    <w:rsid w:val="000C708A"/>
    <w:rsid w:val="000D3338"/>
    <w:rsid w:val="000D389B"/>
    <w:rsid w:val="000D38DC"/>
    <w:rsid w:val="000D45A2"/>
    <w:rsid w:val="000D4D20"/>
    <w:rsid w:val="000E1E45"/>
    <w:rsid w:val="000E29D8"/>
    <w:rsid w:val="000E4A80"/>
    <w:rsid w:val="000E53A4"/>
    <w:rsid w:val="000E5458"/>
    <w:rsid w:val="000E74C8"/>
    <w:rsid w:val="000E7902"/>
    <w:rsid w:val="000E7AA8"/>
    <w:rsid w:val="000F2634"/>
    <w:rsid w:val="000F29FE"/>
    <w:rsid w:val="000F485E"/>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49E4"/>
    <w:rsid w:val="002A6AD9"/>
    <w:rsid w:val="002B1BDB"/>
    <w:rsid w:val="002B1D48"/>
    <w:rsid w:val="002B4B1E"/>
    <w:rsid w:val="002B59FC"/>
    <w:rsid w:val="002C0488"/>
    <w:rsid w:val="002C213D"/>
    <w:rsid w:val="002C2C78"/>
    <w:rsid w:val="002C36D6"/>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A3FCE"/>
    <w:rsid w:val="004A5ABE"/>
    <w:rsid w:val="004A6424"/>
    <w:rsid w:val="004A69D0"/>
    <w:rsid w:val="004A6A82"/>
    <w:rsid w:val="004A7B4E"/>
    <w:rsid w:val="004B12B1"/>
    <w:rsid w:val="004B2424"/>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350E"/>
    <w:rsid w:val="00584BF8"/>
    <w:rsid w:val="00585761"/>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35E06"/>
    <w:rsid w:val="00640EBC"/>
    <w:rsid w:val="006411D6"/>
    <w:rsid w:val="006415C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17122"/>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44F"/>
    <w:rsid w:val="00763B17"/>
    <w:rsid w:val="00764A8B"/>
    <w:rsid w:val="00766714"/>
    <w:rsid w:val="0076772F"/>
    <w:rsid w:val="007708DD"/>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7A3E"/>
    <w:rsid w:val="00811A1B"/>
    <w:rsid w:val="00814815"/>
    <w:rsid w:val="0081645E"/>
    <w:rsid w:val="0081658C"/>
    <w:rsid w:val="00820774"/>
    <w:rsid w:val="00820CC0"/>
    <w:rsid w:val="00822405"/>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D7B30"/>
    <w:rsid w:val="008E258C"/>
    <w:rsid w:val="008E2ED7"/>
    <w:rsid w:val="008E37FD"/>
    <w:rsid w:val="008E48C2"/>
    <w:rsid w:val="008E51A2"/>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DF4"/>
    <w:rsid w:val="00A00F3F"/>
    <w:rsid w:val="00A014FB"/>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56032"/>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D028B"/>
    <w:rsid w:val="00BD0FEA"/>
    <w:rsid w:val="00BD34B4"/>
    <w:rsid w:val="00BE18C4"/>
    <w:rsid w:val="00BE193F"/>
    <w:rsid w:val="00BE4ACC"/>
    <w:rsid w:val="00BE6C72"/>
    <w:rsid w:val="00BE7DAA"/>
    <w:rsid w:val="00BF1CB9"/>
    <w:rsid w:val="00BF2C5D"/>
    <w:rsid w:val="00BF2FC7"/>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098"/>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59CC"/>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5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67BA7"/>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5F47"/>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Agreement">
    <w:name w:val="Agreement"/>
    <w:basedOn w:val="Normal"/>
    <w:next w:val="Doc-text2"/>
    <w:qFormat/>
    <w:rsid w:val="004B2424"/>
    <w:pPr>
      <w:numPr>
        <w:numId w:val="39"/>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2789928">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2EFF-16F8-3E43-AD49-67024410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4</cp:revision>
  <cp:lastPrinted>2016-02-23T10:51:00Z</cp:lastPrinted>
  <dcterms:created xsi:type="dcterms:W3CDTF">2020-05-15T18:26:00Z</dcterms:created>
  <dcterms:modified xsi:type="dcterms:W3CDTF">2020-05-15T19:13:00Z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