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rsidR="000D01FA" w:rsidRDefault="000D01FA"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rsidR="00F75DD6" w:rsidRDefault="00F75DD6"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rsidTr="008B1D31">
        <w:tc>
          <w:tcPr>
            <w:tcW w:w="1413" w:type="dxa"/>
          </w:tcPr>
          <w:p w:rsidR="008B1D31" w:rsidRPr="00590E43" w:rsidRDefault="008E6CEF"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760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rsidR="000955D8" w:rsidRDefault="000955D8" w:rsidP="000955D8">
            <w:pPr>
              <w:widowControl/>
              <w:wordWrap/>
              <w:rPr>
                <w:rFonts w:ascii="Calibri" w:hAnsi="Calibri" w:cs="Calibri"/>
                <w:sz w:val="22"/>
              </w:rPr>
            </w:pPr>
          </w:p>
          <w:p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lastRenderedPageBreak/>
              <w:t>ZTE, Sanechip</w:t>
            </w:r>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rsidTr="008B1D31">
        <w:tc>
          <w:tcPr>
            <w:tcW w:w="1413" w:type="dxa"/>
          </w:tcPr>
          <w:p w:rsidR="00FB1D5A" w:rsidRPr="00FB1D5A" w:rsidRDefault="00FB1D5A" w:rsidP="00FB1D5A">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FB1D5A" w:rsidRDefault="00FB1D5A" w:rsidP="00FB1D5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nly two 2</w:t>
            </w:r>
            <w:r w:rsidRPr="007B572C">
              <w:rPr>
                <w:rFonts w:ascii="Calibri" w:eastAsia="宋体" w:hAnsi="Calibri" w:cs="Calibri"/>
                <w:sz w:val="22"/>
                <w:vertAlign w:val="superscript"/>
                <w:lang w:eastAsia="zh-CN"/>
              </w:rPr>
              <w:t>nd</w:t>
            </w:r>
            <w:r>
              <w:rPr>
                <w:rFonts w:ascii="Calibri" w:eastAsia="宋体" w:hAnsi="Calibri" w:cs="Calibri"/>
                <w:sz w:val="22"/>
                <w:lang w:eastAsia="zh-CN"/>
              </w:rPr>
              <w:t xml:space="preserve"> SCI formats are defined and a </w:t>
            </w:r>
            <w:r w:rsidRPr="00E46E39">
              <w:rPr>
                <w:rFonts w:ascii="Calibri" w:eastAsia="宋体" w:hAnsi="Calibri" w:cs="Calibri"/>
                <w:sz w:val="22"/>
                <w:lang w:eastAsia="zh-CN"/>
              </w:rPr>
              <w:t xml:space="preserve">1 bit length </w:t>
            </w:r>
            <w:r>
              <w:rPr>
                <w:rFonts w:ascii="Calibri" w:eastAsia="宋体"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宋体" w:hAnsi="Calibri" w:cs="Calibri"/>
                <w:sz w:val="22"/>
                <w:vertAlign w:val="superscript"/>
                <w:lang w:eastAsia="zh-CN"/>
              </w:rPr>
              <w:t>st</w:t>
            </w:r>
            <w:r>
              <w:rPr>
                <w:rFonts w:ascii="Calibri" w:eastAsia="宋体" w:hAnsi="Calibri" w:cs="Calibri"/>
                <w:sz w:val="22"/>
                <w:lang w:eastAsia="zh-CN"/>
              </w:rPr>
              <w:t xml:space="preserve"> stage SCI as well.  </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Two formats:</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lastRenderedPageBreak/>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lastRenderedPageBreak/>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宋体"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宋体"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w:t>
            </w:r>
            <w:r>
              <w:rPr>
                <w:rFonts w:ascii="Calibri" w:eastAsia="宋体" w:hAnsi="Calibri" w:cs="Calibri"/>
                <w:sz w:val="22"/>
                <w:lang w:eastAsia="zh-CN"/>
              </w:rPr>
              <w:t>PO</w:t>
            </w:r>
          </w:p>
        </w:tc>
        <w:tc>
          <w:tcPr>
            <w:tcW w:w="7603" w:type="dxa"/>
          </w:tcPr>
          <w:p w:rsidR="00D44B74"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Two formats:</w:t>
            </w:r>
          </w:p>
          <w:p w:rsidR="00FB1D5A" w:rsidRDefault="00FB1D5A" w:rsidP="00FB1D5A">
            <w:pPr>
              <w:pStyle w:val="a7"/>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w:t>
            </w:r>
            <w:r>
              <w:rPr>
                <w:rFonts w:ascii="Calibri" w:eastAsia="宋体" w:hAnsi="Calibri" w:cs="Calibri" w:hint="eastAsia"/>
                <w:sz w:val="22"/>
                <w:lang w:eastAsia="zh-CN"/>
              </w:rPr>
              <w:t xml:space="preserve">ith </w:t>
            </w:r>
            <w:r>
              <w:rPr>
                <w:rFonts w:ascii="Calibri" w:eastAsia="宋体" w:hAnsi="Calibri" w:cs="Calibri"/>
                <w:sz w:val="22"/>
                <w:lang w:eastAsia="zh-CN"/>
              </w:rPr>
              <w:t xml:space="preserve">zone ID and range info: apply to </w:t>
            </w:r>
            <w:r w:rsidR="009028FF">
              <w:rPr>
                <w:rFonts w:ascii="Calibri" w:eastAsia="宋体" w:hAnsi="Calibri" w:cs="Calibri"/>
                <w:sz w:val="22"/>
                <w:lang w:eastAsia="zh-CN"/>
              </w:rPr>
              <w:t>GC HARQ feedback option 1 only;</w:t>
            </w:r>
          </w:p>
          <w:p w:rsidR="009028FF" w:rsidRDefault="009028FF" w:rsidP="00FB1D5A">
            <w:pPr>
              <w:pStyle w:val="a7"/>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Without zone ID and range info: apply to GC option 1, GC option 2, broadcast, unicast. Two bits is used to indicate whether feedback is enabled/disable, and to differentiate unicast and groupcast;</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sz w:val="22"/>
                <w:lang w:eastAsia="zh-CN"/>
              </w:rPr>
              <w:t>HARQ feedback options – 2bits:</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00 - HARQ feedback disabled;</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01- groupcast HARQ feedback option-1;</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10 - groupcast HARQ feedback option-2;</w:t>
            </w:r>
          </w:p>
          <w:p w:rsidR="009028FF" w:rsidRDefault="009028FF" w:rsidP="009028FF">
            <w:pPr>
              <w:pStyle w:val="a7"/>
              <w:widowControl/>
              <w:wordWrap/>
              <w:ind w:leftChars="0" w:left="420" w:firstLineChars="350" w:firstLine="770"/>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r>
            <w:r>
              <w:rPr>
                <w:rFonts w:ascii="Calibri" w:eastAsia="宋体" w:hAnsi="Calibri" w:cs="Calibri"/>
                <w:sz w:val="22"/>
                <w:lang w:eastAsia="zh-CN"/>
              </w:rPr>
              <w:t>11</w:t>
            </w:r>
            <w:r w:rsidRPr="009028FF">
              <w:rPr>
                <w:rFonts w:ascii="Calibri" w:eastAsia="宋体" w:hAnsi="Calibri" w:cs="Calibri"/>
                <w:sz w:val="22"/>
                <w:lang w:eastAsia="zh-CN"/>
              </w:rPr>
              <w:t xml:space="preserve"> - unicast HARQ feedback;</w:t>
            </w:r>
          </w:p>
          <w:p w:rsidR="009028FF" w:rsidRPr="009028FF" w:rsidRDefault="009028FF" w:rsidP="00EE59D0">
            <w:pPr>
              <w:widowControl/>
              <w:wordWrap/>
              <w:rPr>
                <w:rFonts w:ascii="Calibri" w:eastAsia="宋体" w:hAnsi="Calibri" w:cs="Calibri"/>
                <w:sz w:val="22"/>
                <w:lang w:eastAsia="zh-CN"/>
              </w:rPr>
            </w:pPr>
            <w:r>
              <w:rPr>
                <w:rFonts w:ascii="Calibri" w:eastAsia="宋体" w:hAnsi="Calibri" w:cs="Calibri"/>
                <w:sz w:val="22"/>
                <w:szCs w:val="22"/>
                <w:lang w:eastAsia="zh-CN"/>
              </w:rPr>
              <w:t xml:space="preserve">The motivation to differentiate unicast and groupcast is that </w:t>
            </w:r>
            <w:r w:rsidR="00EE59D0">
              <w:rPr>
                <w:rFonts w:ascii="Calibri" w:eastAsia="宋体" w:hAnsi="Calibri" w:cs="Calibri"/>
                <w:sz w:val="22"/>
                <w:szCs w:val="22"/>
                <w:lang w:eastAsia="zh-CN"/>
              </w:rPr>
              <w:t xml:space="preserve">the resource selection </w:t>
            </w:r>
            <w:r w:rsidR="00EE59D0">
              <w:rPr>
                <w:rFonts w:ascii="Calibri" w:eastAsia="宋体" w:hAnsi="Calibri" w:cs="Calibri"/>
                <w:sz w:val="22"/>
                <w:szCs w:val="22"/>
                <w:lang w:eastAsia="zh-CN"/>
              </w:rPr>
              <w:t>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宋体"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宋体" w:hAnsi="Calibri" w:cs="Calibri"/>
                <w:sz w:val="22"/>
                <w:szCs w:val="22"/>
                <w:lang w:eastAsia="zh-CN"/>
              </w:rPr>
              <w:t xml:space="preserve"> destination ID set for unicast/groupcast/broadcast can overlap (RAN2 is discussing how to differentiate cast-type).</w:t>
            </w:r>
            <w:r w:rsidR="00EE59D0">
              <w:rPr>
                <w:rFonts w:ascii="Calibri" w:eastAsia="宋体" w:hAnsi="Calibri" w:cs="Calibri"/>
                <w:sz w:val="22"/>
                <w:szCs w:val="22"/>
                <w:lang w:eastAsia="zh-CN"/>
              </w:rPr>
              <w:t xml:space="preserve"> Specific field in SCI should be used to differentiate unicast and groupcast. </w:t>
            </w:r>
            <w:r w:rsidR="00EE59D0">
              <w:t xml:space="preserve"> </w:t>
            </w:r>
          </w:p>
        </w:tc>
      </w:tr>
      <w:tr w:rsidR="009028FF" w:rsidRPr="00590E43" w:rsidTr="008B1D31">
        <w:tc>
          <w:tcPr>
            <w:tcW w:w="1413" w:type="dxa"/>
          </w:tcPr>
          <w:p w:rsidR="009028FF" w:rsidRDefault="009028FF" w:rsidP="000955D8">
            <w:pPr>
              <w:widowControl/>
              <w:wordWrap/>
              <w:rPr>
                <w:rFonts w:ascii="Calibri" w:eastAsia="宋体" w:hAnsi="Calibri" w:cs="Calibri"/>
                <w:sz w:val="22"/>
                <w:lang w:eastAsia="zh-CN"/>
              </w:rPr>
            </w:pPr>
          </w:p>
        </w:tc>
        <w:tc>
          <w:tcPr>
            <w:tcW w:w="7603" w:type="dxa"/>
          </w:tcPr>
          <w:p w:rsidR="009028FF" w:rsidRDefault="009028FF" w:rsidP="000955D8">
            <w:pPr>
              <w:widowControl/>
              <w:wordWrap/>
              <w:rPr>
                <w:rFonts w:ascii="Calibri" w:eastAsia="宋体" w:hAnsi="Calibri" w:cs="Calibri"/>
                <w:sz w:val="22"/>
                <w:lang w:eastAsia="zh-CN"/>
              </w:rPr>
            </w:pPr>
          </w:p>
        </w:tc>
      </w:tr>
    </w:tbl>
    <w:p w:rsidR="008B1D31" w:rsidRDefault="008B1D31"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rsidTr="009F599A">
        <w:tc>
          <w:tcPr>
            <w:tcW w:w="141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rsidTr="009F599A">
        <w:tc>
          <w:tcPr>
            <w:tcW w:w="1413" w:type="dxa"/>
          </w:tcPr>
          <w:p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rsidTr="009F599A">
        <w:tc>
          <w:tcPr>
            <w:tcW w:w="1226"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rsidTr="009F599A">
        <w:tc>
          <w:tcPr>
            <w:tcW w:w="1226"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rsidTr="009F599A">
        <w:tc>
          <w:tcPr>
            <w:tcW w:w="1226" w:type="dxa"/>
          </w:tcPr>
          <w:p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1321" w:type="dxa"/>
          </w:tcPr>
          <w:p w:rsidR="00E46E39" w:rsidRPr="00590E43" w:rsidRDefault="00E46E39" w:rsidP="00E46E39">
            <w:pPr>
              <w:widowControl/>
              <w:wordWrap/>
              <w:rPr>
                <w:rFonts w:ascii="Calibri" w:hAnsi="Calibri" w:cs="Calibri"/>
                <w:sz w:val="22"/>
              </w:rPr>
            </w:pPr>
            <w:r>
              <w:rPr>
                <w:rFonts w:ascii="Calibri" w:eastAsia="宋体" w:hAnsi="Calibri" w:cs="Calibri"/>
                <w:sz w:val="22"/>
                <w:lang w:eastAsia="zh-CN"/>
              </w:rPr>
              <w:t>Option 3</w:t>
            </w:r>
          </w:p>
        </w:tc>
        <w:tc>
          <w:tcPr>
            <w:tcW w:w="6469" w:type="dxa"/>
          </w:tcPr>
          <w:p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rsidTr="009F599A">
        <w:tc>
          <w:tcPr>
            <w:tcW w:w="1226"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rsidTr="009F599A">
        <w:tc>
          <w:tcPr>
            <w:tcW w:w="1226"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rsidTr="009F599A">
        <w:tc>
          <w:tcPr>
            <w:tcW w:w="1226" w:type="dxa"/>
          </w:tcPr>
          <w:p w:rsidR="00D44B74" w:rsidRDefault="00D44B74" w:rsidP="009F599A">
            <w:pPr>
              <w:widowControl/>
              <w:rPr>
                <w:rFonts w:ascii="Calibri" w:hAnsi="Calibri" w:cs="Calibri"/>
                <w:sz w:val="22"/>
              </w:rPr>
            </w:pPr>
            <w:r>
              <w:rPr>
                <w:rFonts w:ascii="Calibri" w:hAnsi="Calibri" w:cs="Calibri"/>
                <w:sz w:val="22"/>
              </w:rPr>
              <w:t>ZTE, Sanechips</w:t>
            </w:r>
          </w:p>
        </w:tc>
        <w:tc>
          <w:tcPr>
            <w:tcW w:w="1321" w:type="dxa"/>
          </w:tcPr>
          <w:p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rsidR="00D44B74" w:rsidRDefault="00D44B74" w:rsidP="009F599A">
            <w:pPr>
              <w:widowControl/>
              <w:rPr>
                <w:rFonts w:ascii="Calibri" w:eastAsia="宋体" w:hAnsi="Calibri" w:cs="Calibri"/>
                <w:sz w:val="22"/>
                <w:lang w:eastAsia="zh-CN"/>
              </w:rPr>
            </w:pPr>
            <w:r>
              <w:rPr>
                <w:rFonts w:ascii="Calibri" w:eastAsia="宋体" w:hAnsi="Calibri" w:cs="Calibri" w:hint="eastAsia"/>
                <w:sz w:val="22"/>
                <w:lang w:eastAsia="zh-CN"/>
              </w:rPr>
              <w:t>May use both layer 1 destination ID and L1 source ID</w:t>
            </w:r>
          </w:p>
        </w:tc>
      </w:tr>
      <w:tr w:rsidR="00D44B74" w:rsidRPr="00590E43" w:rsidTr="009F599A">
        <w:tc>
          <w:tcPr>
            <w:tcW w:w="1226"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rsidTr="009F599A">
        <w:tc>
          <w:tcPr>
            <w:tcW w:w="1226" w:type="dxa"/>
          </w:tcPr>
          <w:p w:rsidR="00D44B74" w:rsidRPr="001F1964" w:rsidRDefault="001F1964" w:rsidP="000955D8">
            <w:pPr>
              <w:widowControl/>
              <w:wordWrap/>
              <w:rPr>
                <w:rFonts w:ascii="Calibri" w:eastAsia="宋体" w:hAnsi="Calibri" w:cs="Calibri" w:hint="eastAsia"/>
                <w:sz w:val="22"/>
                <w:lang w:eastAsia="zh-CN"/>
              </w:rPr>
            </w:pPr>
            <w:r>
              <w:rPr>
                <w:rFonts w:ascii="Calibri" w:eastAsia="宋体" w:hAnsi="Calibri" w:cs="Calibri" w:hint="eastAsia"/>
                <w:sz w:val="22"/>
                <w:lang w:eastAsia="zh-CN"/>
              </w:rPr>
              <w:t xml:space="preserve">OPPO </w:t>
            </w:r>
          </w:p>
        </w:tc>
        <w:tc>
          <w:tcPr>
            <w:tcW w:w="1321" w:type="dxa"/>
          </w:tcPr>
          <w:p w:rsidR="00D44B74" w:rsidRPr="001F1964" w:rsidRDefault="001F1964" w:rsidP="000955D8">
            <w:pPr>
              <w:widowControl/>
              <w:wordWrap/>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69" w:type="dxa"/>
          </w:tcPr>
          <w:p w:rsidR="00D44B74" w:rsidRPr="00590E43" w:rsidRDefault="001F1964" w:rsidP="00433D62">
            <w:pPr>
              <w:widowControl/>
              <w:wordWrap/>
              <w:rPr>
                <w:rFonts w:ascii="Calibri" w:hAnsi="Calibri" w:cs="Calibri"/>
                <w:sz w:val="22"/>
              </w:rPr>
            </w:pPr>
            <w:r>
              <w:rPr>
                <w:rFonts w:ascii="Calibri" w:eastAsia="宋体" w:hAnsi="Calibri" w:cs="Calibri"/>
                <w:sz w:val="22"/>
                <w:szCs w:val="22"/>
                <w:lang w:eastAsia="zh-CN"/>
              </w:rPr>
              <w:t>Destination ID cannot be used to differentiate unicast and groupcast since t</w:t>
            </w:r>
            <w:r>
              <w:rPr>
                <w:rFonts w:ascii="Calibri" w:eastAsia="宋体" w:hAnsi="Calibri" w:cs="Calibri"/>
                <w:sz w:val="22"/>
                <w:szCs w:val="22"/>
                <w:lang w:eastAsia="zh-CN"/>
              </w:rPr>
              <w:t xml:space="preserve">he destination ID set for unicast/groupcast/broadcast can overlap. </w:t>
            </w:r>
            <w:r>
              <w:rPr>
                <w:rFonts w:ascii="Calibri" w:eastAsia="宋体" w:hAnsi="Calibri" w:cs="Calibri"/>
                <w:sz w:val="22"/>
                <w:szCs w:val="22"/>
                <w:lang w:eastAsia="zh-CN"/>
              </w:rPr>
              <w:t xml:space="preserve">SO that it is possible that the destination ID for unicast and groupcast are same. </w:t>
            </w:r>
            <w:bookmarkStart w:id="0" w:name="_GoBack"/>
            <w:bookmarkEnd w:id="0"/>
          </w:p>
        </w:tc>
      </w:tr>
    </w:tbl>
    <w:p w:rsidR="00107338" w:rsidRDefault="00107338"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lastRenderedPageBreak/>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rsidR="000955D8" w:rsidRPr="00590E43" w:rsidRDefault="000955D8" w:rsidP="000955D8">
            <w:pPr>
              <w:widowControl/>
              <w:wordWrap/>
              <w:rPr>
                <w:rFonts w:ascii="Calibri" w:hAnsi="Calibri" w:cs="Calibri"/>
                <w:sz w:val="22"/>
              </w:rPr>
            </w:pPr>
            <w:r w:rsidRPr="00D13DCC">
              <w:rPr>
                <w:noProof/>
                <w:lang w:eastAsia="zh-CN"/>
              </w:rPr>
              <w:drawing>
                <wp:inline distT="0" distB="0" distL="0" distR="0">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rsidTr="009F599A">
        <w:tc>
          <w:tcPr>
            <w:tcW w:w="1413" w:type="dxa"/>
          </w:tcPr>
          <w:p w:rsidR="00D44B74" w:rsidRPr="00590E43" w:rsidRDefault="00D44B74" w:rsidP="009F599A">
            <w:pPr>
              <w:widowControl/>
              <w:wordWrap/>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rsidTr="009F599A">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rsidTr="009F599A">
        <w:tc>
          <w:tcPr>
            <w:tcW w:w="1413" w:type="dxa"/>
          </w:tcPr>
          <w:p w:rsidR="00D44B74" w:rsidRPr="00EB5111" w:rsidRDefault="00EB5111" w:rsidP="000955D8">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D44B74" w:rsidRPr="00EB5111" w:rsidRDefault="00EB5111" w:rsidP="000955D8">
            <w:pPr>
              <w:widowControl/>
              <w:wordWrap/>
              <w:rPr>
                <w:rFonts w:ascii="Calibri" w:eastAsia="宋体" w:hAnsi="Calibri" w:cs="Calibri" w:hint="eastAsia"/>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 xml:space="preserve">upport </w:t>
            </w:r>
            <w:r>
              <w:rPr>
                <w:rFonts w:ascii="Calibri" w:eastAsia="宋体" w:hAnsi="Calibri" w:cs="Calibri"/>
                <w:sz w:val="22"/>
                <w:lang w:eastAsia="zh-CN"/>
              </w:rPr>
              <w:t xml:space="preserve">mix mode. No specific spec is needed in RAN1. Current spec in RAN1/2 does not pre-clude </w:t>
            </w:r>
            <w:r w:rsidR="0032193B">
              <w:rPr>
                <w:rFonts w:ascii="Calibri" w:eastAsia="宋体" w:hAnsi="Calibri" w:cs="Calibri"/>
                <w:sz w:val="22"/>
                <w:lang w:eastAsia="zh-CN"/>
              </w:rPr>
              <w:t xml:space="preserve">this possibility. It can be left to MAC implementation. </w:t>
            </w:r>
          </w:p>
        </w:tc>
      </w:tr>
    </w:tbl>
    <w:p w:rsidR="00F75DD6" w:rsidRDefault="00F75DD6"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lastRenderedPageBreak/>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rsidTr="009F599A">
        <w:tc>
          <w:tcPr>
            <w:tcW w:w="1413" w:type="dxa"/>
          </w:tcPr>
          <w:p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rsidTr="009F599A">
        <w:tc>
          <w:tcPr>
            <w:tcW w:w="1413" w:type="dxa"/>
          </w:tcPr>
          <w:p w:rsidR="00D44B74" w:rsidRPr="00563705" w:rsidRDefault="00563705" w:rsidP="00F95FA2">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D44B74" w:rsidRPr="00563705" w:rsidRDefault="00563705" w:rsidP="00F95FA2">
            <w:pPr>
              <w:widowControl/>
              <w:wordWrap/>
              <w:rPr>
                <w:rFonts w:ascii="Calibri" w:eastAsia="宋体" w:hAnsi="Calibri" w:cs="Calibri" w:hint="eastAsia"/>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necessary</w:t>
            </w:r>
          </w:p>
        </w:tc>
      </w:tr>
    </w:tbl>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No</w:t>
            </w:r>
          </w:p>
        </w:tc>
      </w:tr>
      <w:tr w:rsidR="00D44B74" w:rsidRPr="00590E43" w:rsidTr="009F599A">
        <w:tc>
          <w:tcPr>
            <w:tcW w:w="1413" w:type="dxa"/>
          </w:tcPr>
          <w:p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bl>
    <w:p w:rsidR="00F75DD6" w:rsidRPr="00F75DD6" w:rsidRDefault="00F75DD6" w:rsidP="003A0E71">
      <w:pPr>
        <w:wordWrap/>
        <w:rPr>
          <w:rFonts w:ascii="Calibri" w:eastAsia="Malgun Gothic" w:hAnsi="Calibri" w:cs="Calibri"/>
          <w:sz w:val="22"/>
          <w:szCs w:val="22"/>
        </w:rPr>
      </w:pPr>
    </w:p>
    <w:p w:rsidR="00F75DD6" w:rsidRDefault="00F75DD6" w:rsidP="003A0E71">
      <w:pPr>
        <w:widowControl/>
        <w:wordWrap/>
        <w:autoSpaceDE/>
        <w:autoSpaceDN/>
        <w:spacing w:after="160" w:line="259" w:lineRule="auto"/>
        <w:rPr>
          <w:rFonts w:ascii="Calibri" w:hAnsi="Calibri" w:cs="Calibri"/>
          <w:sz w:val="22"/>
        </w:rPr>
      </w:pPr>
    </w:p>
    <w:p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E6" w:rsidRDefault="005053E6" w:rsidP="00590E43">
      <w:r>
        <w:separator/>
      </w:r>
    </w:p>
  </w:endnote>
  <w:endnote w:type="continuationSeparator" w:id="0">
    <w:p w:rsidR="005053E6" w:rsidRDefault="005053E6"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E6" w:rsidRDefault="005053E6" w:rsidP="00590E43">
      <w:r>
        <w:separator/>
      </w:r>
    </w:p>
  </w:footnote>
  <w:footnote w:type="continuationSeparator" w:id="0">
    <w:p w:rsidR="005053E6" w:rsidRDefault="005053E6"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955D8"/>
    <w:rsid w:val="000A51CD"/>
    <w:rsid w:val="000D01FA"/>
    <w:rsid w:val="00107338"/>
    <w:rsid w:val="001127C3"/>
    <w:rsid w:val="0017501A"/>
    <w:rsid w:val="001F1964"/>
    <w:rsid w:val="00222F96"/>
    <w:rsid w:val="002429AB"/>
    <w:rsid w:val="00256A4C"/>
    <w:rsid w:val="0029261C"/>
    <w:rsid w:val="002B5263"/>
    <w:rsid w:val="002E2C00"/>
    <w:rsid w:val="0032193B"/>
    <w:rsid w:val="003A0E71"/>
    <w:rsid w:val="003A51D5"/>
    <w:rsid w:val="00404206"/>
    <w:rsid w:val="00433D62"/>
    <w:rsid w:val="00454BA0"/>
    <w:rsid w:val="00466223"/>
    <w:rsid w:val="00485278"/>
    <w:rsid w:val="004C25E5"/>
    <w:rsid w:val="005053E6"/>
    <w:rsid w:val="00523F12"/>
    <w:rsid w:val="005407F2"/>
    <w:rsid w:val="00544C57"/>
    <w:rsid w:val="00563705"/>
    <w:rsid w:val="00590E43"/>
    <w:rsid w:val="005A777D"/>
    <w:rsid w:val="006258AD"/>
    <w:rsid w:val="00634587"/>
    <w:rsid w:val="00692F80"/>
    <w:rsid w:val="00733B65"/>
    <w:rsid w:val="007407BF"/>
    <w:rsid w:val="007E79BA"/>
    <w:rsid w:val="008A4699"/>
    <w:rsid w:val="008B1D31"/>
    <w:rsid w:val="008E6CEF"/>
    <w:rsid w:val="009028FF"/>
    <w:rsid w:val="009127E7"/>
    <w:rsid w:val="00960AB1"/>
    <w:rsid w:val="009A0E04"/>
    <w:rsid w:val="009E3806"/>
    <w:rsid w:val="009F599A"/>
    <w:rsid w:val="00A50A73"/>
    <w:rsid w:val="00AA6F13"/>
    <w:rsid w:val="00AF3D11"/>
    <w:rsid w:val="00B16507"/>
    <w:rsid w:val="00B4298C"/>
    <w:rsid w:val="00C30314"/>
    <w:rsid w:val="00D44B74"/>
    <w:rsid w:val="00DD2563"/>
    <w:rsid w:val="00E46E39"/>
    <w:rsid w:val="00EB5111"/>
    <w:rsid w:val="00EE59D0"/>
    <w:rsid w:val="00F1484F"/>
    <w:rsid w:val="00F75DD6"/>
    <w:rsid w:val="00F95FA2"/>
    <w:rsid w:val="00FB1D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2829B"/>
  <w15:docId w15:val="{09DF43E8-34E8-4C61-834B-FCE6FAC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nhideWhenUsed/>
    <w:qFormat/>
    <w:rsid w:val="00404206"/>
    <w:rPr>
      <w:sz w:val="18"/>
      <w:szCs w:val="18"/>
    </w:rPr>
  </w:style>
  <w:style w:type="paragraph" w:styleId="ab">
    <w:name w:val="annotation text"/>
    <w:basedOn w:val="a"/>
    <w:link w:val="ac"/>
    <w:uiPriority w:val="99"/>
    <w:unhideWhenUsed/>
    <w:qFormat/>
    <w:rsid w:val="00404206"/>
    <w:pPr>
      <w:jc w:val="left"/>
    </w:pPr>
  </w:style>
  <w:style w:type="character" w:customStyle="1" w:styleId="ac">
    <w:name w:val="批注文字 字符"/>
    <w:basedOn w:val="a0"/>
    <w:link w:val="ab"/>
    <w:uiPriority w:val="99"/>
    <w:qFormat/>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D44B74"/>
    <w:rPr>
      <w:rFonts w:ascii="Tahoma" w:hAnsi="Tahoma" w:cs="Tahoma"/>
      <w:sz w:val="16"/>
      <w:szCs w:val="16"/>
    </w:rPr>
  </w:style>
  <w:style w:type="character" w:customStyle="1" w:styleId="af2">
    <w:name w:val="文档结构图 字符"/>
    <w:basedOn w:val="a0"/>
    <w:link w:val="af1"/>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1905</Words>
  <Characters>10859</Characters>
  <Application>Microsoft Office Word</Application>
  <DocSecurity>0</DocSecurity>
  <Lines>90</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zhaozhenshan</cp:lastModifiedBy>
  <cp:revision>6</cp:revision>
  <dcterms:created xsi:type="dcterms:W3CDTF">2020-04-20T22:15:00Z</dcterms:created>
  <dcterms:modified xsi:type="dcterms:W3CDTF">2020-04-21T00:39:00Z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ies>
</file>