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35C16" w14:textId="77777777" w:rsidR="007D2605" w:rsidRPr="00CE0EAD" w:rsidRDefault="007D2605" w:rsidP="007D2605">
      <w:pPr>
        <w:pStyle w:val="Subtitle"/>
        <w:rPr>
          <w:rStyle w:val="BookTitle"/>
          <w:i w:val="0"/>
        </w:rPr>
      </w:pPr>
      <w:r w:rsidRPr="00CE0EAD">
        <w:rPr>
          <w:rStyle w:val="BookTitle"/>
          <w:i w:val="0"/>
        </w:rPr>
        <w:t>3GPP TSG RAN WG1 Meeting #</w:t>
      </w:r>
      <w:r>
        <w:rPr>
          <w:rStyle w:val="BookTitle"/>
          <w:i w:val="0"/>
        </w:rPr>
        <w:t xml:space="preserve">100bis-e     </w:t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  <w:t>R1-</w:t>
      </w:r>
      <w:r>
        <w:rPr>
          <w:rStyle w:val="BookTitle"/>
          <w:i w:val="0"/>
        </w:rPr>
        <w:t>20xxxxx</w:t>
      </w:r>
    </w:p>
    <w:p w14:paraId="6B208577" w14:textId="77777777" w:rsidR="007D2605" w:rsidRPr="00CE0EAD" w:rsidRDefault="007D2605" w:rsidP="007D2605">
      <w:pPr>
        <w:pStyle w:val="Subtitle"/>
        <w:rPr>
          <w:rStyle w:val="BookTitle"/>
          <w:i w:val="0"/>
        </w:rPr>
      </w:pPr>
      <w:r>
        <w:rPr>
          <w:rStyle w:val="BookTitle"/>
          <w:i w:val="0"/>
        </w:rPr>
        <w:t>20</w:t>
      </w:r>
      <w:r w:rsidRPr="00CE0EAD">
        <w:rPr>
          <w:rStyle w:val="BookTitle"/>
          <w:i w:val="0"/>
          <w:vertAlign w:val="superscript"/>
        </w:rPr>
        <w:t>th</w:t>
      </w:r>
      <w:r w:rsidRPr="00CE0EAD">
        <w:rPr>
          <w:rStyle w:val="BookTitle"/>
          <w:i w:val="0"/>
        </w:rPr>
        <w:t xml:space="preserve"> </w:t>
      </w:r>
      <w:r>
        <w:rPr>
          <w:rStyle w:val="BookTitle"/>
          <w:i w:val="0"/>
        </w:rPr>
        <w:t>April</w:t>
      </w:r>
      <w:r w:rsidRPr="00CE0EAD">
        <w:rPr>
          <w:rStyle w:val="BookTitle"/>
          <w:i w:val="0"/>
        </w:rPr>
        <w:t xml:space="preserve">– </w:t>
      </w:r>
      <w:r>
        <w:rPr>
          <w:rStyle w:val="BookTitle"/>
          <w:i w:val="0"/>
        </w:rPr>
        <w:t>30</w:t>
      </w:r>
      <w:r>
        <w:rPr>
          <w:rStyle w:val="BookTitle"/>
          <w:i w:val="0"/>
          <w:vertAlign w:val="superscript"/>
        </w:rPr>
        <w:t>th</w:t>
      </w:r>
      <w:r w:rsidRPr="00CE0EAD">
        <w:rPr>
          <w:rStyle w:val="BookTitle"/>
          <w:i w:val="0"/>
        </w:rPr>
        <w:t xml:space="preserve"> </w:t>
      </w:r>
      <w:r>
        <w:rPr>
          <w:rStyle w:val="BookTitle"/>
          <w:i w:val="0"/>
        </w:rPr>
        <w:t>April</w:t>
      </w:r>
      <w:r w:rsidRPr="00CE0EAD">
        <w:rPr>
          <w:rStyle w:val="BookTitle"/>
          <w:i w:val="0"/>
        </w:rPr>
        <w:t xml:space="preserve"> 20</w:t>
      </w:r>
      <w:r>
        <w:rPr>
          <w:rStyle w:val="BookTitle"/>
          <w:i w:val="0"/>
        </w:rPr>
        <w:t>20</w:t>
      </w:r>
    </w:p>
    <w:p w14:paraId="59AD1F63" w14:textId="77777777" w:rsidR="00806EAC" w:rsidRPr="002B461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 w:rsidRPr="00AF0340">
        <w:rPr>
          <w:rStyle w:val="BookTitle"/>
        </w:rPr>
        <w:t>Agenda Item:</w:t>
      </w:r>
      <w:r w:rsidRPr="00806EAC">
        <w:rPr>
          <w:rStyle w:val="IntenseReference"/>
        </w:rPr>
        <w:tab/>
      </w:r>
      <w:r w:rsidRPr="00806EAC">
        <w:rPr>
          <w:rStyle w:val="IntenseReference"/>
        </w:rPr>
        <w:tab/>
      </w:r>
      <w:r w:rsidRPr="002B4616">
        <w:rPr>
          <w:rStyle w:val="SubtitleChar"/>
        </w:rPr>
        <w:t>7.</w:t>
      </w:r>
      <w:r w:rsidR="005B7ED7">
        <w:rPr>
          <w:rStyle w:val="SubtitleChar"/>
        </w:rPr>
        <w:t>2</w:t>
      </w:r>
      <w:r w:rsidRPr="002B4616">
        <w:rPr>
          <w:rStyle w:val="SubtitleChar"/>
        </w:rPr>
        <w:t>.</w:t>
      </w:r>
      <w:r w:rsidR="005B7ED7">
        <w:rPr>
          <w:rStyle w:val="SubtitleChar"/>
        </w:rPr>
        <w:t>3</w:t>
      </w:r>
      <w:r w:rsidRPr="002B4616">
        <w:rPr>
          <w:rStyle w:val="SubtitleChar"/>
        </w:rPr>
        <w:t>.</w:t>
      </w:r>
      <w:r w:rsidR="00A67D6C">
        <w:rPr>
          <w:rStyle w:val="SubtitleChar"/>
        </w:rPr>
        <w:t>2</w:t>
      </w:r>
    </w:p>
    <w:p w14:paraId="619A0E3A" w14:textId="77777777" w:rsidR="00806EAC" w:rsidRPr="00131C4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BookTitle"/>
        </w:rPr>
      </w:pPr>
      <w:r w:rsidRPr="00AF0340">
        <w:rPr>
          <w:rStyle w:val="BookTitle"/>
        </w:rPr>
        <w:t>Source:</w:t>
      </w:r>
      <w:r w:rsidRPr="00AF0340">
        <w:rPr>
          <w:rStyle w:val="BookTitle"/>
        </w:rPr>
        <w:tab/>
      </w:r>
      <w:r>
        <w:rPr>
          <w:rStyle w:val="IntenseReference"/>
        </w:rPr>
        <w:tab/>
      </w:r>
      <w:r>
        <w:rPr>
          <w:rStyle w:val="IntenseReference"/>
        </w:rPr>
        <w:tab/>
      </w:r>
      <w:r>
        <w:rPr>
          <w:rStyle w:val="IntenseReference"/>
        </w:rPr>
        <w:tab/>
      </w:r>
      <w:r w:rsidRPr="002B4616">
        <w:rPr>
          <w:rStyle w:val="SubtitleChar"/>
        </w:rPr>
        <w:t>Qualcomm Incorporated</w:t>
      </w:r>
    </w:p>
    <w:p w14:paraId="6E20AB2C" w14:textId="460C56F5" w:rsidR="00806EAC" w:rsidRPr="002B4616" w:rsidRDefault="00806EAC" w:rsidP="00A67D6C">
      <w:pPr>
        <w:pBdr>
          <w:top w:val="single" w:sz="4" w:space="1" w:color="auto"/>
          <w:bottom w:val="single" w:sz="4" w:space="1" w:color="auto"/>
        </w:pBdr>
        <w:ind w:left="1700" w:hanging="1700"/>
        <w:rPr>
          <w:rStyle w:val="SubtitleChar"/>
        </w:rPr>
      </w:pPr>
      <w:r w:rsidRPr="00AF0340">
        <w:rPr>
          <w:rStyle w:val="BookTitle"/>
        </w:rPr>
        <w:t xml:space="preserve">Title: </w:t>
      </w:r>
      <w:r w:rsidRPr="00AF0340">
        <w:rPr>
          <w:rStyle w:val="BookTitle"/>
        </w:rPr>
        <w:tab/>
      </w:r>
      <w:r w:rsidRPr="00806EAC">
        <w:rPr>
          <w:rStyle w:val="IntenseReference"/>
        </w:rPr>
        <w:tab/>
      </w:r>
      <w:r w:rsidR="00A67D6C" w:rsidRPr="00A67D6C">
        <w:rPr>
          <w:rStyle w:val="SubtitleChar"/>
        </w:rPr>
        <w:t>Summary</w:t>
      </w:r>
      <w:r w:rsidR="0062449B">
        <w:rPr>
          <w:rStyle w:val="SubtitleChar"/>
        </w:rPr>
        <w:t xml:space="preserve"> </w:t>
      </w:r>
      <w:r w:rsidR="00A67D6C" w:rsidRPr="00A67D6C">
        <w:rPr>
          <w:rStyle w:val="SubtitleChar"/>
        </w:rPr>
        <w:t>of 7.</w:t>
      </w:r>
      <w:r w:rsidR="005B7ED7">
        <w:rPr>
          <w:rStyle w:val="SubtitleChar"/>
        </w:rPr>
        <w:t>2</w:t>
      </w:r>
      <w:r w:rsidR="00A67D6C" w:rsidRPr="00A67D6C">
        <w:rPr>
          <w:rStyle w:val="SubtitleChar"/>
        </w:rPr>
        <w:t>.</w:t>
      </w:r>
      <w:r w:rsidR="005B7ED7">
        <w:rPr>
          <w:rStyle w:val="SubtitleChar"/>
        </w:rPr>
        <w:t>3</w:t>
      </w:r>
      <w:r w:rsidR="00A67D6C" w:rsidRPr="00A67D6C">
        <w:rPr>
          <w:rStyle w:val="SubtitleChar"/>
        </w:rPr>
        <w:t>.2 - Extensions of RACH occasions and periodicities for backhaul RACH resources</w:t>
      </w:r>
    </w:p>
    <w:p w14:paraId="7653AA99" w14:textId="77777777" w:rsidR="00806EAC" w:rsidRPr="002B461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 w:rsidRPr="00AF0340">
        <w:rPr>
          <w:rStyle w:val="BookTitle"/>
        </w:rPr>
        <w:t>Document for:</w:t>
      </w:r>
      <w:r w:rsidRPr="00806EAC">
        <w:rPr>
          <w:rStyle w:val="IntenseReference"/>
        </w:rPr>
        <w:tab/>
      </w:r>
      <w:r w:rsidR="00AF0340">
        <w:rPr>
          <w:rStyle w:val="IntenseReference"/>
        </w:rPr>
        <w:tab/>
      </w:r>
      <w:r w:rsidRPr="002B4616">
        <w:rPr>
          <w:rStyle w:val="SubtitleChar"/>
        </w:rPr>
        <w:t>Discussion and decision</w:t>
      </w:r>
    </w:p>
    <w:p w14:paraId="02C493EA" w14:textId="77777777" w:rsidR="00806EAC" w:rsidRDefault="00806EAC" w:rsidP="00013C33">
      <w:pPr>
        <w:pStyle w:val="Heading3"/>
      </w:pPr>
      <w:r>
        <w:t>Introduction</w:t>
      </w:r>
    </w:p>
    <w:p w14:paraId="4A6B33E0" w14:textId="77777777" w:rsidR="0093611B" w:rsidRDefault="007D2605" w:rsidP="00E43DA4">
      <w:r>
        <w:t xml:space="preserve">This contribution provides </w:t>
      </w:r>
      <w:r w:rsidRPr="00A70187">
        <w:t xml:space="preserve">a summary of the proposals for </w:t>
      </w:r>
      <w:r>
        <w:t>agenda item</w:t>
      </w:r>
      <w:r w:rsidRPr="00A70187">
        <w:t xml:space="preserve"> 7.2.3.2 on the subject of </w:t>
      </w:r>
      <w:r>
        <w:t>e</w:t>
      </w:r>
      <w:r w:rsidRPr="00A70187">
        <w:t>xtensions of RACH occasions and periodicities for backhaul RACH resources</w:t>
      </w:r>
      <w:r>
        <w:t xml:space="preserve"> for planning </w:t>
      </w:r>
      <w:r w:rsidR="00BF4513">
        <w:t xml:space="preserve">the </w:t>
      </w:r>
      <w:r>
        <w:t xml:space="preserve">email discussion </w:t>
      </w:r>
      <w:r w:rsidR="00BF4513">
        <w:t>in</w:t>
      </w:r>
      <w:r>
        <w:t xml:space="preserve"> RAN1 #100bis-e.</w:t>
      </w:r>
    </w:p>
    <w:p w14:paraId="0DB1F73D" w14:textId="77777777" w:rsidR="00323274" w:rsidRDefault="00323274" w:rsidP="00323274">
      <w:pPr>
        <w:pStyle w:val="Heading3"/>
      </w:pPr>
      <w:r>
        <w:t>Issues for discussion</w:t>
      </w:r>
    </w:p>
    <w:p w14:paraId="7F66A7FD" w14:textId="77777777" w:rsidR="00787B7C" w:rsidRDefault="00787B7C" w:rsidP="00787B7C">
      <w:r>
        <w:t xml:space="preserve">There </w:t>
      </w:r>
      <w:r w:rsidR="007D2605">
        <w:t>is</w:t>
      </w:r>
      <w:r>
        <w:t xml:space="preserve"> </w:t>
      </w:r>
      <w:r w:rsidR="007D2605">
        <w:t xml:space="preserve">one </w:t>
      </w:r>
      <w:r>
        <w:t>contribution [1]</w:t>
      </w:r>
      <w:r w:rsidR="009A6469">
        <w:t xml:space="preserve"> </w:t>
      </w:r>
      <w:r>
        <w:t xml:space="preserve">on this agenda item </w:t>
      </w:r>
      <w:r w:rsidR="007D2605">
        <w:t xml:space="preserve">which </w:t>
      </w:r>
      <w:r>
        <w:t>address</w:t>
      </w:r>
      <w:r w:rsidR="007D2605">
        <w:t>es</w:t>
      </w:r>
      <w:r w:rsidR="00B11B8D">
        <w:t xml:space="preserve"> some </w:t>
      </w:r>
      <w:r w:rsidR="007D2605">
        <w:t>issues with the curre</w:t>
      </w:r>
      <w:r w:rsidR="009A6469">
        <w:t>n</w:t>
      </w:r>
      <w:r w:rsidR="007D2605">
        <w:t xml:space="preserve">t </w:t>
      </w:r>
      <w:r>
        <w:t>specifications</w:t>
      </w:r>
      <w:r w:rsidR="007D2605">
        <w:t xml:space="preserve"> in</w:t>
      </w:r>
      <w:r>
        <w:t xml:space="preserve"> </w:t>
      </w:r>
      <w:r w:rsidR="009A6469">
        <w:t xml:space="preserve">TS </w:t>
      </w:r>
      <w:r>
        <w:t>38.211</w:t>
      </w:r>
      <w:r w:rsidR="007D2605">
        <w:t>.</w:t>
      </w:r>
    </w:p>
    <w:p w14:paraId="20478408" w14:textId="77777777" w:rsidR="009A6469" w:rsidRDefault="007D2605" w:rsidP="00787B7C">
      <w:r>
        <w:t>The issues relate</w:t>
      </w:r>
      <w:r w:rsidR="009A6469">
        <w:t xml:space="preserve"> to inaccuracies in the following paragraph of TS 38.211: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A6469" w14:paraId="6FF26155" w14:textId="77777777" w:rsidTr="009A6469">
        <w:tc>
          <w:tcPr>
            <w:tcW w:w="9629" w:type="dxa"/>
          </w:tcPr>
          <w:p w14:paraId="72A0E8C4" w14:textId="77777777" w:rsidR="00B11B8D" w:rsidRDefault="00B11B8D" w:rsidP="00B11B8D">
            <w:pPr>
              <w:rPr>
                <w:lang w:val="en-US"/>
              </w:rPr>
            </w:pPr>
            <w:r w:rsidRPr="00586AF4">
              <w:rPr>
                <w:lang w:val="en-US"/>
              </w:rPr>
              <w:t xml:space="preserve">For the </w:t>
            </w:r>
            <w:r w:rsidRPr="0069640E">
              <w:rPr>
                <w:lang w:val="en-US"/>
              </w:rPr>
              <w:t>IAB-MT</w:t>
            </w:r>
            <w:r w:rsidRPr="00586AF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part of </w:t>
            </w:r>
            <w:r w:rsidRPr="00586AF4">
              <w:rPr>
                <w:lang w:val="en-US"/>
              </w:rPr>
              <w:t>an IAB node,</w:t>
            </w:r>
            <w:r>
              <w:rPr>
                <w:lang w:val="en-US"/>
              </w:rPr>
              <w:t xml:space="preserve"> the following applies:</w:t>
            </w:r>
          </w:p>
          <w:p w14:paraId="220E9A72" w14:textId="77777777" w:rsidR="00B11B8D" w:rsidRDefault="00B11B8D" w:rsidP="00B11B8D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 w:rsidRPr="001E2736">
              <w:rPr>
                <w:lang w:val="en-US"/>
              </w:rPr>
              <w:t>if the higher</w:t>
            </w:r>
            <w:r>
              <w:rPr>
                <w:lang w:val="en-US"/>
              </w:rPr>
              <w:t>-</w:t>
            </w:r>
            <w:r w:rsidRPr="001E2736">
              <w:rPr>
                <w:lang w:val="en-US"/>
              </w:rPr>
              <w:t xml:space="preserve">layer parameter </w:t>
            </w:r>
            <w:proofErr w:type="spellStart"/>
            <w:r w:rsidRPr="00C85B5A">
              <w:rPr>
                <w:i/>
                <w:iCs/>
                <w:lang w:val="en-US"/>
              </w:rPr>
              <w:t>prach-ConfigurationPeriocScaling</w:t>
            </w:r>
            <w:proofErr w:type="spellEnd"/>
            <w:r w:rsidRPr="001E2736">
              <w:rPr>
                <w:lang w:val="en-US"/>
              </w:rPr>
              <w:t xml:space="preserve"> is configured,</w:t>
            </w:r>
            <w:r>
              <w:rPr>
                <w:lang w:val="en-US"/>
              </w:rPr>
              <w:t xml:space="preserve"> the variable </w:t>
            </w:r>
            <m:oMath>
              <m:r>
                <w:rPr>
                  <w:rFonts w:ascii="Cambria Math" w:hAnsi="Cambria Math"/>
                  <w:lang w:val="en-US"/>
                </w:rPr>
                <m:t>x</m:t>
              </m:r>
            </m:oMath>
            <w:r w:rsidRPr="001E2736">
              <w:rPr>
                <w:lang w:val="en-US"/>
              </w:rPr>
              <w:t xml:space="preserve"> used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SFN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y</m:t>
              </m:r>
            </m:oMath>
            <w:r w:rsidRPr="001E2736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1E2736">
              <w:rPr>
                <w:lang w:val="en-US"/>
              </w:rPr>
              <w:t xml:space="preserve"> Tables 6.3.3.2-2 to 6.3.3.2-4 shall be replaced by 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IAB</m:t>
                  </m:r>
                </m:sub>
              </m:sSub>
            </m:oMath>
            <w:r w:rsidRPr="001E2736">
              <w:rPr>
                <w:lang w:val="en-US"/>
              </w:rPr>
              <w:t xml:space="preserve"> , where 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IAB</m:t>
                  </m:r>
                </m:sub>
              </m:sSub>
              <m:r>
                <w:rPr>
                  <w:rFonts w:ascii="Cambria Math" w:hAnsi="Cambria Math"/>
                </w:rPr>
                <m:t>=δx</m:t>
              </m:r>
            </m:oMath>
            <w:r w:rsidRPr="001E273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and </w:t>
            </w:r>
            <m:oMath>
              <m:r>
                <w:rPr>
                  <w:rFonts w:ascii="Cambria Math" w:hAnsi="Cambria Math"/>
                  <w:lang w:val="en-US"/>
                </w:rPr>
                <m:t>δ</m:t>
              </m:r>
            </m:oMath>
            <w:r>
              <w:rPr>
                <w:lang w:val="en-US"/>
              </w:rPr>
              <w:t xml:space="preserve"> </w:t>
            </w:r>
            <w:r w:rsidRPr="001E2736">
              <w:rPr>
                <w:lang w:val="en-US"/>
              </w:rPr>
              <w:t xml:space="preserve">is given by the higher-layer parameter </w:t>
            </w:r>
            <w:proofErr w:type="spellStart"/>
            <w:r w:rsidRPr="00C85B5A">
              <w:rPr>
                <w:i/>
                <w:iCs/>
                <w:lang w:val="en-US"/>
              </w:rPr>
              <w:t>prach-ConfigurationPeriodScaling</w:t>
            </w:r>
            <w:proofErr w:type="spellEnd"/>
            <w:r w:rsidRPr="004232BC">
              <w:rPr>
                <w:lang w:val="en-US"/>
              </w:rPr>
              <w:t xml:space="preserve"> and </w:t>
            </w:r>
            <w:r>
              <w:rPr>
                <w:lang w:val="en-US"/>
              </w:rPr>
              <w:t xml:space="preserve">the IAB node does not expect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IAB</m:t>
                  </m:r>
                </m:sub>
              </m:sSub>
            </m:oMath>
            <w:r>
              <w:t xml:space="preserve"> to be larger than 64</w:t>
            </w:r>
            <w:r w:rsidRPr="001E2736">
              <w:rPr>
                <w:lang w:val="en-US"/>
              </w:rPr>
              <w:t>;</w:t>
            </w:r>
          </w:p>
          <w:p w14:paraId="2547C8FA" w14:textId="77777777" w:rsidR="00B11B8D" w:rsidRDefault="00B11B8D" w:rsidP="00B11B8D">
            <w:pPr>
              <w:pStyle w:val="B1"/>
            </w:pPr>
            <w:r>
              <w:t>-</w:t>
            </w:r>
            <w:r>
              <w:tab/>
            </w:r>
            <w:r w:rsidRPr="00C85B5A">
              <w:t>if the higher</w:t>
            </w:r>
            <w:r>
              <w:t>-</w:t>
            </w:r>
            <w:r w:rsidRPr="00C85B5A">
              <w:t xml:space="preserve">layer parameter </w:t>
            </w:r>
            <w:proofErr w:type="spellStart"/>
            <w:r w:rsidRPr="004232BC">
              <w:rPr>
                <w:i/>
                <w:iCs/>
              </w:rPr>
              <w:t>prach-ConfigurationFrameOffset</w:t>
            </w:r>
            <w:proofErr w:type="spellEnd"/>
            <w:r w:rsidRPr="00C85B5A">
              <w:t xml:space="preserve"> is configured, </w:t>
            </w:r>
            <w:r>
              <w:t xml:space="preserve">the variable </w:t>
            </w:r>
            <m:oMath>
              <m:r>
                <w:rPr>
                  <w:rFonts w:ascii="Cambria Math" w:hAnsi="Cambria Math"/>
                </w:rPr>
                <m:t>y</m:t>
              </m:r>
            </m:oMath>
            <w:r w:rsidRPr="00C85B5A">
              <w:t xml:space="preserve"> used in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SFN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y</m:t>
              </m:r>
            </m:oMath>
            <w:r w:rsidRPr="00586AF4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586AF4">
              <w:rPr>
                <w:lang w:val="en-US"/>
              </w:rPr>
              <w:t xml:space="preserve"> </w:t>
            </w:r>
            <w:r>
              <w:t xml:space="preserve">Tables 6.3.3.2-2 to 6.3.3.2-4 </w:t>
            </w:r>
            <w:r w:rsidRPr="00586AF4">
              <w:rPr>
                <w:lang w:val="en-US"/>
              </w:rPr>
              <w:t>shall be replaced by</w:t>
            </w:r>
            <w:r>
              <w:rPr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IAB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y+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Δ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 xml:space="preserve"> mod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oMath>
            <w:r w:rsidRPr="00586AF4">
              <w:rPr>
                <w:lang w:val="en-US"/>
              </w:rPr>
              <w:t xml:space="preserve"> </w:t>
            </w:r>
            <w:r>
              <w:t xml:space="preserve">where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is given by the higher-layer parameter </w:t>
            </w:r>
            <w:proofErr w:type="spellStart"/>
            <w:r w:rsidRPr="00F256FA">
              <w:rPr>
                <w:i/>
              </w:rPr>
              <w:t>prach-ConfigurationFrameOffset</w:t>
            </w:r>
            <w:proofErr w:type="spellEnd"/>
            <w:r>
              <w:t xml:space="preserve">, and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is the value used in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SFN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y</m:t>
              </m:r>
            </m:oMath>
            <w:r>
              <w:t>;</w:t>
            </w:r>
          </w:p>
          <w:p w14:paraId="4DF5F630" w14:textId="77777777" w:rsidR="009A6469" w:rsidRDefault="00B11B8D" w:rsidP="00B11B8D">
            <w:pPr>
              <w:pStyle w:val="B1"/>
            </w:pPr>
            <w:r>
              <w:t>-</w:t>
            </w:r>
            <w:r>
              <w:tab/>
            </w:r>
            <w:r w:rsidRPr="00655087">
              <w:t>if the higher</w:t>
            </w:r>
            <w:r>
              <w:t>-</w:t>
            </w:r>
            <w:r w:rsidRPr="00655087">
              <w:t xml:space="preserve">layer parameter </w:t>
            </w:r>
            <w:proofErr w:type="spellStart"/>
            <w:r w:rsidRPr="004232BC">
              <w:rPr>
                <w:i/>
                <w:iCs/>
              </w:rPr>
              <w:t>prach-ConfigurationSOffset</w:t>
            </w:r>
            <w:proofErr w:type="spellEnd"/>
            <w:r w:rsidRPr="00655087">
              <w:t xml:space="preserve"> is configured, </w:t>
            </w:r>
            <w:r>
              <w:t xml:space="preserve">the subframe number in Tables 6.3.3.2-2 to 6.3.3.2-3 and the slot number in Table 6.3.3.2-4 shall be replaced by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</w:rPr>
                <m:t xml:space="preserve"> mod </m:t>
              </m:r>
              <m:r>
                <w:rPr>
                  <w:rFonts w:ascii="Cambria Math" w:hAnsi="Cambria Math"/>
                </w:rPr>
                <m:t>L</m:t>
              </m:r>
            </m:oMath>
            <w:r>
              <w:t xml:space="preserve">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>
              <w:t xml:space="preserve"> is the slot or subframe number,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s∈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0,1,…,L-1</m:t>
                  </m:r>
                </m:e>
              </m:d>
            </m:oMath>
            <w:r>
              <w:t xml:space="preserve"> is given by the higher-layer parameter </w:t>
            </w:r>
            <w:proofErr w:type="spellStart"/>
            <w:r w:rsidRPr="00F256FA">
              <w:rPr>
                <w:i/>
              </w:rPr>
              <w:t>prach-ConfigurationSOffset</w:t>
            </w:r>
            <w:proofErr w:type="spellEnd"/>
            <w:r>
              <w:t xml:space="preserve">,  and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is the number of subframes in a frame in Tables 6.3.3.2-2 to 6.3.3.2-3 and the number of slots in a frame in Table 6.3.3.2-4.</w:t>
            </w:r>
          </w:p>
        </w:tc>
      </w:tr>
    </w:tbl>
    <w:p w14:paraId="408CE82C" w14:textId="77777777" w:rsidR="00271B52" w:rsidRDefault="00271B52" w:rsidP="00787B7C"/>
    <w:p w14:paraId="78B3C835" w14:textId="77777777" w:rsidR="00B11B8D" w:rsidRDefault="00B11B8D" w:rsidP="00787B7C">
      <w:r>
        <w:t xml:space="preserve">Specifically, </w:t>
      </w:r>
      <w:r w:rsidR="00646729">
        <w:t xml:space="preserve">the main </w:t>
      </w:r>
      <w:r w:rsidR="0083766A">
        <w:t xml:space="preserve">issue is that </w:t>
      </w:r>
      <w:r>
        <w:t xml:space="preserve">the text “and </w:t>
      </w:r>
      <m:oMath>
        <m:r>
          <w:rPr>
            <w:rFonts w:ascii="Cambria Math" w:hAnsi="Cambria Math"/>
          </w:rPr>
          <m:t>L</m:t>
        </m:r>
      </m:oMath>
      <w:r>
        <w:t xml:space="preserve"> is the number of subframes in a frame in Tables 6.3.3.2-2 to 6.3.3.2-3 and the number of slots in a frame in Table 6.3.3.2-4” seems to imply that L is provided in those tables</w:t>
      </w:r>
      <w:r w:rsidR="0083766A">
        <w:t xml:space="preserve">. </w:t>
      </w:r>
      <w:r w:rsidR="00646729">
        <w:t>However, t</w:t>
      </w:r>
      <w:r>
        <w:t xml:space="preserve">hat </w:t>
      </w:r>
      <w:r w:rsidR="00691645">
        <w:t xml:space="preserve">interpretation </w:t>
      </w:r>
      <w:r w:rsidR="00646729">
        <w:t xml:space="preserve">would not be </w:t>
      </w:r>
      <w:r>
        <w:t>accurate and a reader not familiar with the IAB RAN1 context may get confused.</w:t>
      </w:r>
    </w:p>
    <w:p w14:paraId="24148C7F" w14:textId="77777777" w:rsidR="00646729" w:rsidRDefault="00646729" w:rsidP="00787B7C">
      <w:r>
        <w:t>Moreover, a potential issue is that the text “</w:t>
      </w:r>
      <w:r w:rsidRPr="00646729">
        <w:t>the subframe number in Tables 6.3.3.2-2 to 6.3.3.2-3 and the slot number in Table 6.3.3.2-4 shall be replaced by (</w:t>
      </w:r>
      <w:proofErr w:type="spellStart"/>
      <w:r w:rsidRPr="00646729">
        <w:t>s_n</w:t>
      </w:r>
      <w:proofErr w:type="spellEnd"/>
      <w:r w:rsidRPr="00646729">
        <w:t xml:space="preserve"> +</w:t>
      </w:r>
      <w:proofErr w:type="spellStart"/>
      <w:r w:rsidRPr="00646729">
        <w:t>Δs</w:t>
      </w:r>
      <w:proofErr w:type="spellEnd"/>
      <w:r w:rsidRPr="00646729">
        <w:t>) mod L</w:t>
      </w:r>
      <w:r>
        <w:t>” may imply a value replacement in the tables</w:t>
      </w:r>
      <w:r w:rsidR="00691645">
        <w:t xml:space="preserve"> while the previous two paragraphs describe a variable replacement in the equations using values from the tables</w:t>
      </w:r>
      <w:r>
        <w:t>.</w:t>
      </w:r>
    </w:p>
    <w:p w14:paraId="435EA5B3" w14:textId="77777777" w:rsidR="00B11B8D" w:rsidRDefault="00646729" w:rsidP="00787B7C">
      <w:r>
        <w:t>A TP is proposed in [1] to address these issues.</w:t>
      </w:r>
    </w:p>
    <w:p w14:paraId="21079B65" w14:textId="77777777" w:rsidR="00DE0255" w:rsidRDefault="00DE0255">
      <w:pPr>
        <w:overflowPunct/>
        <w:autoSpaceDE/>
        <w:autoSpaceDN/>
        <w:adjustRightInd/>
        <w:spacing w:after="0"/>
        <w:textAlignment w:val="auto"/>
      </w:pPr>
      <w:r>
        <w:br w:type="page"/>
      </w:r>
    </w:p>
    <w:p w14:paraId="3BE14397" w14:textId="77777777" w:rsidR="00C50ABA" w:rsidRDefault="00691645" w:rsidP="00726DFD">
      <w:r>
        <w:lastRenderedPageBreak/>
        <w:t>A</w:t>
      </w:r>
      <w:r w:rsidR="00077B05">
        <w:t xml:space="preserve"> slightly</w:t>
      </w:r>
      <w:r w:rsidR="00646729">
        <w:t xml:space="preserve"> simpler TP that minimizes the text changes</w:t>
      </w:r>
      <w:r>
        <w:t xml:space="preserve"> is proposed</w:t>
      </w:r>
      <w:r w:rsidR="00646729">
        <w:t>:</w:t>
      </w:r>
    </w:p>
    <w:p w14:paraId="4BEABFC9" w14:textId="77777777" w:rsidR="00646729" w:rsidRDefault="00646729" w:rsidP="00726DFD"/>
    <w:p w14:paraId="07CC6A40" w14:textId="77777777" w:rsidR="005539DD" w:rsidRPr="007C3FAB" w:rsidRDefault="007C3FAB" w:rsidP="007C3FAB">
      <w:pPr>
        <w:keepNext/>
        <w:rPr>
          <w:b/>
          <w:bCs/>
        </w:rPr>
      </w:pPr>
      <w:r w:rsidRPr="00023194">
        <w:rPr>
          <w:b/>
          <w:bCs/>
          <w:highlight w:val="yellow"/>
        </w:rPr>
        <w:t>Proposal 1:</w:t>
      </w:r>
    </w:p>
    <w:p w14:paraId="4814BFC3" w14:textId="77777777" w:rsidR="007C3FAB" w:rsidRPr="007C3FAB" w:rsidRDefault="007C3FAB" w:rsidP="007C3FAB">
      <w:pPr>
        <w:keepNext/>
        <w:rPr>
          <w:b/>
          <w:bCs/>
        </w:rPr>
      </w:pPr>
      <w:r w:rsidRPr="007C3FAB">
        <w:rPr>
          <w:b/>
          <w:bCs/>
        </w:rPr>
        <w:t>Adopt the following TP for section 6.3.3.2 of 38.211: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C3FAB" w14:paraId="1C3A82F8" w14:textId="77777777" w:rsidTr="007C3FAB">
        <w:tc>
          <w:tcPr>
            <w:tcW w:w="9629" w:type="dxa"/>
          </w:tcPr>
          <w:p w14:paraId="5F0D839D" w14:textId="77777777" w:rsidR="007C3FAB" w:rsidRDefault="007C3FAB" w:rsidP="007C3FAB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noProof/>
                <w:color w:val="0070C0"/>
                <w:lang w:eastAsia="zh-CN"/>
              </w:rPr>
            </w:pPr>
            <w:r w:rsidRPr="001D524B">
              <w:rPr>
                <w:b/>
                <w:color w:val="0070C0"/>
              </w:rPr>
              <w:t>&lt;</w:t>
            </w:r>
            <w:r w:rsidRPr="001D524B">
              <w:rPr>
                <w:noProof/>
                <w:color w:val="0070C0"/>
                <w:lang w:eastAsia="zh-CN"/>
              </w:rPr>
              <w:t>Unchanged text is omitted&gt;</w:t>
            </w:r>
          </w:p>
          <w:p w14:paraId="247F0DD5" w14:textId="77777777" w:rsidR="00383035" w:rsidRDefault="00383035" w:rsidP="00383035">
            <w:pPr>
              <w:rPr>
                <w:lang w:val="en-US"/>
              </w:rPr>
            </w:pPr>
            <w:r w:rsidRPr="00586AF4">
              <w:rPr>
                <w:lang w:val="en-US"/>
              </w:rPr>
              <w:t xml:space="preserve">For the </w:t>
            </w:r>
            <w:r w:rsidRPr="0069640E">
              <w:rPr>
                <w:lang w:val="en-US"/>
              </w:rPr>
              <w:t>IAB-MT</w:t>
            </w:r>
            <w:r w:rsidRPr="00586AF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part of </w:t>
            </w:r>
            <w:r w:rsidRPr="00586AF4">
              <w:rPr>
                <w:lang w:val="en-US"/>
              </w:rPr>
              <w:t>an IAB node,</w:t>
            </w:r>
            <w:r>
              <w:rPr>
                <w:lang w:val="en-US"/>
              </w:rPr>
              <w:t xml:space="preserve"> the following applies:</w:t>
            </w:r>
          </w:p>
          <w:p w14:paraId="39425828" w14:textId="77777777" w:rsidR="00383035" w:rsidRDefault="00383035" w:rsidP="00383035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 w:rsidRPr="001E2736">
              <w:rPr>
                <w:lang w:val="en-US"/>
              </w:rPr>
              <w:t>if the higher</w:t>
            </w:r>
            <w:r>
              <w:rPr>
                <w:lang w:val="en-US"/>
              </w:rPr>
              <w:t>-</w:t>
            </w:r>
            <w:r w:rsidRPr="001E2736">
              <w:rPr>
                <w:lang w:val="en-US"/>
              </w:rPr>
              <w:t xml:space="preserve">layer parameter </w:t>
            </w:r>
            <w:proofErr w:type="spellStart"/>
            <w:r w:rsidRPr="00C85B5A">
              <w:rPr>
                <w:i/>
                <w:iCs/>
                <w:lang w:val="en-US"/>
              </w:rPr>
              <w:t>prach-ConfigurationPeriocScaling</w:t>
            </w:r>
            <w:proofErr w:type="spellEnd"/>
            <w:r w:rsidRPr="001E2736">
              <w:rPr>
                <w:lang w:val="en-US"/>
              </w:rPr>
              <w:t xml:space="preserve"> is configured,</w:t>
            </w:r>
            <w:r>
              <w:rPr>
                <w:lang w:val="en-US"/>
              </w:rPr>
              <w:t xml:space="preserve"> the variable </w:t>
            </w:r>
            <m:oMath>
              <m:r>
                <w:rPr>
                  <w:rFonts w:ascii="Cambria Math" w:hAnsi="Cambria Math"/>
                  <w:lang w:val="en-US"/>
                </w:rPr>
                <m:t>x</m:t>
              </m:r>
            </m:oMath>
            <w:r w:rsidRPr="001E2736">
              <w:rPr>
                <w:lang w:val="en-US"/>
              </w:rPr>
              <w:t xml:space="preserve"> used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SFN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y</m:t>
              </m:r>
            </m:oMath>
            <w:r w:rsidRPr="001E2736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1E2736">
              <w:rPr>
                <w:lang w:val="en-US"/>
              </w:rPr>
              <w:t xml:space="preserve"> Tables 6.3.3.2-2 to 6.3.3.2-4 shall be replaced by 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IAB</m:t>
                  </m:r>
                </m:sub>
              </m:sSub>
            </m:oMath>
            <w:r w:rsidRPr="001E2736">
              <w:rPr>
                <w:lang w:val="en-US"/>
              </w:rPr>
              <w:t xml:space="preserve"> , where 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IAB</m:t>
                  </m:r>
                </m:sub>
              </m:sSub>
              <m:r>
                <w:rPr>
                  <w:rFonts w:ascii="Cambria Math" w:hAnsi="Cambria Math"/>
                </w:rPr>
                <m:t>=δx</m:t>
              </m:r>
            </m:oMath>
            <w:r w:rsidRPr="001E273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and </w:t>
            </w:r>
            <m:oMath>
              <m:r>
                <w:rPr>
                  <w:rFonts w:ascii="Cambria Math" w:hAnsi="Cambria Math"/>
                  <w:lang w:val="en-US"/>
                </w:rPr>
                <m:t>δ</m:t>
              </m:r>
            </m:oMath>
            <w:r>
              <w:rPr>
                <w:lang w:val="en-US"/>
              </w:rPr>
              <w:t xml:space="preserve"> </w:t>
            </w:r>
            <w:r w:rsidRPr="001E2736">
              <w:rPr>
                <w:lang w:val="en-US"/>
              </w:rPr>
              <w:t xml:space="preserve">is given by the higher-layer parameter </w:t>
            </w:r>
            <w:proofErr w:type="spellStart"/>
            <w:r w:rsidRPr="00C85B5A">
              <w:rPr>
                <w:i/>
                <w:iCs/>
                <w:lang w:val="en-US"/>
              </w:rPr>
              <w:t>prach-ConfigurationPeriodScaling</w:t>
            </w:r>
            <w:proofErr w:type="spellEnd"/>
            <w:r w:rsidRPr="004232BC">
              <w:rPr>
                <w:lang w:val="en-US"/>
              </w:rPr>
              <w:t xml:space="preserve"> and </w:t>
            </w:r>
            <w:r>
              <w:rPr>
                <w:lang w:val="en-US"/>
              </w:rPr>
              <w:t xml:space="preserve">the IAB node does not expect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IAB</m:t>
                  </m:r>
                </m:sub>
              </m:sSub>
            </m:oMath>
            <w:r>
              <w:t xml:space="preserve"> to be larger than 64</w:t>
            </w:r>
            <w:r w:rsidRPr="001E2736">
              <w:rPr>
                <w:lang w:val="en-US"/>
              </w:rPr>
              <w:t>;</w:t>
            </w:r>
          </w:p>
          <w:p w14:paraId="413CBDB7" w14:textId="77777777" w:rsidR="00383035" w:rsidRDefault="00383035" w:rsidP="00383035">
            <w:pPr>
              <w:pStyle w:val="B1"/>
            </w:pPr>
            <w:r>
              <w:t>-</w:t>
            </w:r>
            <w:r>
              <w:tab/>
            </w:r>
            <w:r w:rsidRPr="00C85B5A">
              <w:t>if the higher</w:t>
            </w:r>
            <w:r>
              <w:t>-</w:t>
            </w:r>
            <w:r w:rsidRPr="00C85B5A">
              <w:t xml:space="preserve">layer parameter </w:t>
            </w:r>
            <w:proofErr w:type="spellStart"/>
            <w:r w:rsidRPr="004232BC">
              <w:rPr>
                <w:i/>
                <w:iCs/>
              </w:rPr>
              <w:t>prach-ConfigurationFrameOffset</w:t>
            </w:r>
            <w:proofErr w:type="spellEnd"/>
            <w:r w:rsidRPr="00C85B5A">
              <w:t xml:space="preserve"> is configured, </w:t>
            </w:r>
            <w:r>
              <w:t xml:space="preserve">the variable </w:t>
            </w:r>
            <m:oMath>
              <m:r>
                <w:rPr>
                  <w:rFonts w:ascii="Cambria Math" w:hAnsi="Cambria Math"/>
                </w:rPr>
                <m:t>y</m:t>
              </m:r>
            </m:oMath>
            <w:r w:rsidRPr="00C85B5A">
              <w:t xml:space="preserve"> used in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SFN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y</m:t>
              </m:r>
            </m:oMath>
            <w:r w:rsidRPr="00586AF4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586AF4">
              <w:rPr>
                <w:lang w:val="en-US"/>
              </w:rPr>
              <w:t xml:space="preserve"> </w:t>
            </w:r>
            <w:r>
              <w:t xml:space="preserve">Tables 6.3.3.2-2 to 6.3.3.2-4 </w:t>
            </w:r>
            <w:r w:rsidRPr="00586AF4">
              <w:rPr>
                <w:lang w:val="en-US"/>
              </w:rPr>
              <w:t>shall be replaced by</w:t>
            </w:r>
            <w:r>
              <w:rPr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IAB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y+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Δ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 xml:space="preserve"> mod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oMath>
            <w:r w:rsidRPr="00586AF4">
              <w:rPr>
                <w:lang w:val="en-US"/>
              </w:rPr>
              <w:t xml:space="preserve"> </w:t>
            </w:r>
            <w:r>
              <w:t xml:space="preserve">where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is given by the higher-layer parameter </w:t>
            </w:r>
            <w:proofErr w:type="spellStart"/>
            <w:r w:rsidRPr="00F256FA">
              <w:rPr>
                <w:i/>
              </w:rPr>
              <w:t>prach-ConfigurationFrameOffset</w:t>
            </w:r>
            <w:proofErr w:type="spellEnd"/>
            <w:r>
              <w:t xml:space="preserve">, and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is the value used in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SFN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y</m:t>
              </m:r>
            </m:oMath>
            <w:r>
              <w:t>;</w:t>
            </w:r>
          </w:p>
          <w:p w14:paraId="5246DE63" w14:textId="77777777" w:rsidR="007C3FAB" w:rsidRPr="002D4C6A" w:rsidRDefault="00383035" w:rsidP="00383035">
            <w:pPr>
              <w:ind w:left="568" w:hanging="284"/>
              <w:rPr>
                <w:sz w:val="18"/>
                <w:szCs w:val="18"/>
              </w:rPr>
            </w:pPr>
            <w:r>
              <w:t>-</w:t>
            </w:r>
            <w:r>
              <w:tab/>
            </w:r>
            <w:r w:rsidRPr="00655087">
              <w:t>if the higher</w:t>
            </w:r>
            <w:r>
              <w:t>-</w:t>
            </w:r>
            <w:r w:rsidRPr="00655087">
              <w:t xml:space="preserve">layer parameter </w:t>
            </w:r>
            <w:proofErr w:type="spellStart"/>
            <w:r w:rsidRPr="004232BC">
              <w:rPr>
                <w:i/>
                <w:iCs/>
              </w:rPr>
              <w:t>prach-ConfigurationSOffset</w:t>
            </w:r>
            <w:proofErr w:type="spellEnd"/>
            <w:r w:rsidRPr="00655087">
              <w:t xml:space="preserve"> is configured, </w:t>
            </w:r>
            <w:r>
              <w:t>the subframe number</w:t>
            </w:r>
            <w:r w:rsidR="00EE270B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</m:oMath>
            <w:r w:rsidRPr="00EE270B">
              <w:rPr>
                <w:color w:val="FF0000"/>
              </w:rPr>
              <w:t xml:space="preserve"> </w:t>
            </w:r>
            <w:r w:rsidR="00EE270B" w:rsidRPr="00EE270B">
              <w:rPr>
                <w:color w:val="FF0000"/>
              </w:rPr>
              <w:t>from</w:t>
            </w:r>
            <w:r w:rsidR="00EE270B">
              <w:t xml:space="preserve"> </w:t>
            </w:r>
            <w:r w:rsidRPr="00ED0484">
              <w:rPr>
                <w:strike/>
                <w:color w:val="FF0000"/>
              </w:rPr>
              <w:t>in</w:t>
            </w:r>
            <w:r>
              <w:t xml:space="preserve"> Tables 6.3.3.2-2 to 6.3.3.2-3 and the slot number</w:t>
            </w:r>
            <w:r w:rsidR="00EE270B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</m:oMath>
            <w:r w:rsidR="00EE270B" w:rsidRPr="00EE270B">
              <w:rPr>
                <w:color w:val="FF0000"/>
              </w:rPr>
              <w:t xml:space="preserve"> from</w:t>
            </w:r>
            <w:r>
              <w:t xml:space="preserve"> </w:t>
            </w:r>
            <w:r w:rsidRPr="00ED0484">
              <w:rPr>
                <w:strike/>
                <w:color w:val="FF0000"/>
              </w:rPr>
              <w:t>in</w:t>
            </w:r>
            <w:r>
              <w:t xml:space="preserve"> Table 6.3.3.2-4 shall be replaced by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</w:rPr>
                <m:t xml:space="preserve"> mod </m:t>
              </m:r>
              <m:r>
                <w:rPr>
                  <w:rFonts w:ascii="Cambria Math" w:hAnsi="Cambria Math"/>
                </w:rPr>
                <m:t>L</m:t>
              </m:r>
            </m:oMath>
            <w:r>
              <w:t xml:space="preserve"> </w:t>
            </w:r>
            <w:r w:rsidRPr="00646729">
              <w:t>where</w:t>
            </w:r>
            <w:r w:rsidRPr="00ED0484">
              <w:rPr>
                <w:strike/>
                <w:color w:val="FF000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trike/>
                      <w:color w:val="FF0000"/>
                    </w:rPr>
                    <m:t>n</m:t>
                  </m:r>
                </m:sub>
              </m:sSub>
            </m:oMath>
            <w:r w:rsidRPr="00ED0484">
              <w:rPr>
                <w:strike/>
                <w:color w:val="FF0000"/>
              </w:rPr>
              <w:t xml:space="preserve"> is the slot or subframe number</w:t>
            </w:r>
            <w:r w:rsidRPr="00646729">
              <w:rPr>
                <w:strike/>
                <w:color w:val="FF0000"/>
              </w:rPr>
              <w:t>,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s∈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0,1,…,L-1</m:t>
                  </m:r>
                </m:e>
              </m:d>
            </m:oMath>
            <w:r>
              <w:t xml:space="preserve"> is given by the higher-layer parameter </w:t>
            </w:r>
            <w:proofErr w:type="spellStart"/>
            <w:r w:rsidRPr="00F256FA">
              <w:rPr>
                <w:i/>
              </w:rPr>
              <w:t>prach-ConfigurationSOffset</w:t>
            </w:r>
            <w:proofErr w:type="spellEnd"/>
            <w:r>
              <w:t xml:space="preserve">,  and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is the nu</w:t>
            </w:r>
            <w:proofErr w:type="spellStart"/>
            <w:r>
              <w:t>mber</w:t>
            </w:r>
            <w:proofErr w:type="spellEnd"/>
            <w:r>
              <w:t xml:space="preserve"> of subframes in a frame </w:t>
            </w:r>
            <w:r w:rsidR="00EE270B" w:rsidRPr="00EE270B">
              <w:rPr>
                <w:color w:val="FF0000"/>
              </w:rPr>
              <w:t xml:space="preserve">when using </w:t>
            </w:r>
            <w:r w:rsidRPr="00ED0484">
              <w:rPr>
                <w:strike/>
                <w:color w:val="FF0000"/>
              </w:rPr>
              <w:t>in</w:t>
            </w:r>
            <w:r>
              <w:t xml:space="preserve"> Tables 6.3.3.2-2 to 6.3.3.2-3 and the number of slots in a frame </w:t>
            </w:r>
            <w:r w:rsidR="00EE270B" w:rsidRPr="00EE270B">
              <w:rPr>
                <w:color w:val="FF0000"/>
              </w:rPr>
              <w:t xml:space="preserve">for SCS of 60 </w:t>
            </w:r>
            <w:proofErr w:type="spellStart"/>
            <w:r w:rsidR="00EE270B" w:rsidRPr="00EE270B">
              <w:rPr>
                <w:color w:val="FF0000"/>
              </w:rPr>
              <w:t>KHz</w:t>
            </w:r>
            <w:proofErr w:type="spellEnd"/>
            <w:r w:rsidR="00EE270B" w:rsidRPr="00EE270B">
              <w:rPr>
                <w:color w:val="FF0000"/>
              </w:rPr>
              <w:t xml:space="preserve"> when using</w:t>
            </w:r>
            <w:r w:rsidR="00EE270B">
              <w:t xml:space="preserve"> </w:t>
            </w:r>
            <w:r w:rsidRPr="00ED0484">
              <w:rPr>
                <w:strike/>
                <w:color w:val="FF0000"/>
              </w:rPr>
              <w:t>in</w:t>
            </w:r>
            <w:r>
              <w:t xml:space="preserve"> Table 6.3.3.2-4.</w:t>
            </w:r>
          </w:p>
          <w:p w14:paraId="03CE4BB1" w14:textId="77777777" w:rsidR="007C3FAB" w:rsidRDefault="007C3FAB" w:rsidP="00AE299D">
            <w:pPr>
              <w:jc w:val="center"/>
            </w:pPr>
            <w:r w:rsidRPr="001D524B">
              <w:rPr>
                <w:b/>
                <w:color w:val="0070C0"/>
              </w:rPr>
              <w:t>&lt;</w:t>
            </w:r>
            <w:r w:rsidRPr="001D524B">
              <w:rPr>
                <w:noProof/>
                <w:color w:val="0070C0"/>
                <w:lang w:eastAsia="zh-CN"/>
              </w:rPr>
              <w:t>Unchanged text is omitted&gt;</w:t>
            </w:r>
          </w:p>
        </w:tc>
      </w:tr>
    </w:tbl>
    <w:p w14:paraId="0BBF2A61" w14:textId="77777777" w:rsidR="007C3FAB" w:rsidRDefault="007C3FAB" w:rsidP="00726DFD"/>
    <w:p w14:paraId="3FC98D40" w14:textId="77777777" w:rsidR="005539DD" w:rsidRPr="00AC39D2" w:rsidRDefault="007C3FAB" w:rsidP="00726DFD">
      <w:pPr>
        <w:rPr>
          <w:u w:val="single"/>
        </w:rPr>
      </w:pPr>
      <w:r w:rsidRPr="00AC39D2">
        <w:rPr>
          <w:u w:val="single"/>
        </w:rPr>
        <w:t>Discussion on Proposal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980"/>
        <w:gridCol w:w="6394"/>
      </w:tblGrid>
      <w:tr w:rsidR="007C3FAB" w:rsidRPr="00AC39D2" w14:paraId="261398B0" w14:textId="77777777" w:rsidTr="006E75A3">
        <w:tc>
          <w:tcPr>
            <w:tcW w:w="1255" w:type="dxa"/>
          </w:tcPr>
          <w:p w14:paraId="323CAB10" w14:textId="77777777" w:rsidR="007C3FAB" w:rsidRPr="00AC39D2" w:rsidRDefault="007C3FAB" w:rsidP="00586E86">
            <w:pPr>
              <w:jc w:val="center"/>
              <w:rPr>
                <w:b/>
                <w:bCs/>
              </w:rPr>
            </w:pPr>
            <w:r w:rsidRPr="00AC39D2">
              <w:rPr>
                <w:b/>
                <w:bCs/>
              </w:rPr>
              <w:t>Company</w:t>
            </w:r>
          </w:p>
        </w:tc>
        <w:tc>
          <w:tcPr>
            <w:tcW w:w="1980" w:type="dxa"/>
          </w:tcPr>
          <w:p w14:paraId="5C7B6458" w14:textId="77777777" w:rsidR="007C3FAB" w:rsidRPr="00AC39D2" w:rsidRDefault="00586E86" w:rsidP="00586E86">
            <w:pPr>
              <w:jc w:val="center"/>
              <w:rPr>
                <w:b/>
                <w:bCs/>
              </w:rPr>
            </w:pPr>
            <w:r w:rsidRPr="00AC39D2">
              <w:rPr>
                <w:b/>
                <w:bCs/>
              </w:rPr>
              <w:t>Support Proposal 1? [Yes/No]</w:t>
            </w:r>
          </w:p>
        </w:tc>
        <w:tc>
          <w:tcPr>
            <w:tcW w:w="6394" w:type="dxa"/>
          </w:tcPr>
          <w:p w14:paraId="04C57484" w14:textId="77777777" w:rsidR="007C3FAB" w:rsidRPr="00AC39D2" w:rsidRDefault="00586E86" w:rsidP="00586E86">
            <w:pPr>
              <w:jc w:val="center"/>
              <w:rPr>
                <w:b/>
                <w:bCs/>
              </w:rPr>
            </w:pPr>
            <w:r w:rsidRPr="00AC39D2">
              <w:rPr>
                <w:b/>
                <w:bCs/>
              </w:rPr>
              <w:t>Comments</w:t>
            </w:r>
          </w:p>
        </w:tc>
      </w:tr>
      <w:tr w:rsidR="007C3FAB" w:rsidRPr="00AC39D2" w14:paraId="3BB3024B" w14:textId="77777777" w:rsidTr="006E75A3">
        <w:tc>
          <w:tcPr>
            <w:tcW w:w="1255" w:type="dxa"/>
          </w:tcPr>
          <w:p w14:paraId="58D55C45" w14:textId="77777777" w:rsidR="007C3FAB" w:rsidRPr="00AC39D2" w:rsidRDefault="00586E86" w:rsidP="00586E86">
            <w:pPr>
              <w:jc w:val="center"/>
            </w:pPr>
            <w:r w:rsidRPr="00AC39D2">
              <w:t>Qualcomm</w:t>
            </w:r>
          </w:p>
        </w:tc>
        <w:tc>
          <w:tcPr>
            <w:tcW w:w="1980" w:type="dxa"/>
          </w:tcPr>
          <w:p w14:paraId="0C41B616" w14:textId="77777777" w:rsidR="007C3FAB" w:rsidRPr="00AC39D2" w:rsidRDefault="00586E86" w:rsidP="00586E86">
            <w:pPr>
              <w:jc w:val="center"/>
            </w:pPr>
            <w:r w:rsidRPr="00AC39D2">
              <w:t>Yes</w:t>
            </w:r>
          </w:p>
        </w:tc>
        <w:tc>
          <w:tcPr>
            <w:tcW w:w="6394" w:type="dxa"/>
          </w:tcPr>
          <w:p w14:paraId="4FF31680" w14:textId="77777777" w:rsidR="007C3FAB" w:rsidRPr="00AC39D2" w:rsidRDefault="00586E86" w:rsidP="00726DFD">
            <w:r w:rsidRPr="00AC39D2">
              <w:t>None.</w:t>
            </w:r>
          </w:p>
        </w:tc>
      </w:tr>
      <w:tr w:rsidR="005D79ED" w:rsidRPr="00AC39D2" w14:paraId="1D7C0ECD" w14:textId="77777777" w:rsidTr="006E75A3">
        <w:tc>
          <w:tcPr>
            <w:tcW w:w="1255" w:type="dxa"/>
          </w:tcPr>
          <w:p w14:paraId="5D6BD042" w14:textId="77777777" w:rsidR="005D79ED" w:rsidRPr="00AC39D2" w:rsidRDefault="00440D7F" w:rsidP="00586E86">
            <w:pPr>
              <w:jc w:val="center"/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  <w:tc>
          <w:tcPr>
            <w:tcW w:w="1980" w:type="dxa"/>
          </w:tcPr>
          <w:p w14:paraId="0C216C17" w14:textId="77777777" w:rsidR="005D79ED" w:rsidRPr="00AC39D2" w:rsidRDefault="00440D7F" w:rsidP="00586E86">
            <w:pPr>
              <w:jc w:val="center"/>
            </w:pPr>
            <w:r>
              <w:t>Yes</w:t>
            </w:r>
          </w:p>
        </w:tc>
        <w:tc>
          <w:tcPr>
            <w:tcW w:w="6394" w:type="dxa"/>
          </w:tcPr>
          <w:p w14:paraId="793C6859" w14:textId="77777777" w:rsidR="005D79ED" w:rsidRPr="00AC39D2" w:rsidRDefault="00440D7F" w:rsidP="00726DFD">
            <w:r>
              <w:t>None.</w:t>
            </w:r>
          </w:p>
        </w:tc>
      </w:tr>
      <w:tr w:rsidR="00835B69" w:rsidRPr="007F0DDB" w14:paraId="23EE0043" w14:textId="77777777" w:rsidTr="008D37F0">
        <w:tc>
          <w:tcPr>
            <w:tcW w:w="1255" w:type="dxa"/>
          </w:tcPr>
          <w:p w14:paraId="3B509AAD" w14:textId="77777777" w:rsidR="00835B69" w:rsidRPr="00AC39D2" w:rsidRDefault="00835B69" w:rsidP="00835B69">
            <w:pPr>
              <w:jc w:val="center"/>
            </w:pPr>
            <w:r>
              <w:t>LG</w:t>
            </w:r>
          </w:p>
        </w:tc>
        <w:tc>
          <w:tcPr>
            <w:tcW w:w="1980" w:type="dxa"/>
          </w:tcPr>
          <w:p w14:paraId="1E4AAE46" w14:textId="77777777" w:rsidR="00835B69" w:rsidRPr="00AC39D2" w:rsidRDefault="00835B69" w:rsidP="00835B69">
            <w:pPr>
              <w:jc w:val="center"/>
            </w:pPr>
            <w:r>
              <w:t>Yes</w:t>
            </w:r>
          </w:p>
        </w:tc>
        <w:tc>
          <w:tcPr>
            <w:tcW w:w="6394" w:type="dxa"/>
          </w:tcPr>
          <w:p w14:paraId="320C7B96" w14:textId="77777777" w:rsidR="00835B69" w:rsidRPr="00AC39D2" w:rsidRDefault="00835B69" w:rsidP="00835B69">
            <w:r>
              <w:t>None.</w:t>
            </w:r>
          </w:p>
        </w:tc>
      </w:tr>
      <w:tr w:rsidR="00EF3C3B" w:rsidRPr="007F0DDB" w14:paraId="3659BBF7" w14:textId="77777777" w:rsidTr="008D37F0">
        <w:tc>
          <w:tcPr>
            <w:tcW w:w="1255" w:type="dxa"/>
          </w:tcPr>
          <w:p w14:paraId="7C8CCADA" w14:textId="26704E54" w:rsidR="00EF3C3B" w:rsidRPr="006C544C" w:rsidRDefault="00EF3C3B" w:rsidP="00EF3C3B">
            <w:pPr>
              <w:jc w:val="center"/>
              <w:rPr>
                <w:rFonts w:eastAsia="Yu Mincho"/>
                <w:lang w:eastAsia="ja-JP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1980" w:type="dxa"/>
          </w:tcPr>
          <w:p w14:paraId="404EF618" w14:textId="3D79A529" w:rsidR="00EF3C3B" w:rsidRPr="006C544C" w:rsidRDefault="00EF3C3B" w:rsidP="00EF3C3B">
            <w:pPr>
              <w:jc w:val="center"/>
              <w:rPr>
                <w:rFonts w:eastAsia="Yu Mincho"/>
                <w:lang w:eastAsia="ja-JP"/>
              </w:rPr>
            </w:pPr>
            <w:r>
              <w:t>Yes</w:t>
            </w:r>
          </w:p>
        </w:tc>
        <w:tc>
          <w:tcPr>
            <w:tcW w:w="6394" w:type="dxa"/>
          </w:tcPr>
          <w:p w14:paraId="3043DBF3" w14:textId="7EC1FC05" w:rsidR="00EF3C3B" w:rsidRPr="006C544C" w:rsidRDefault="00EF3C3B" w:rsidP="00EF3C3B">
            <w:pPr>
              <w:rPr>
                <w:rFonts w:eastAsia="Yu Mincho"/>
                <w:lang w:eastAsia="ja-JP"/>
              </w:rPr>
            </w:pPr>
            <w:r>
              <w:t>None</w:t>
            </w:r>
          </w:p>
        </w:tc>
      </w:tr>
      <w:tr w:rsidR="003A10B6" w:rsidRPr="007F0DDB" w14:paraId="6636C72B" w14:textId="77777777" w:rsidTr="008D37F0">
        <w:tc>
          <w:tcPr>
            <w:tcW w:w="1255" w:type="dxa"/>
          </w:tcPr>
          <w:p w14:paraId="2B8CBF89" w14:textId="2E6E42C4" w:rsidR="003A10B6" w:rsidRPr="003A10B6" w:rsidRDefault="005062E9" w:rsidP="004B7D18">
            <w:pPr>
              <w:jc w:val="center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Nokia</w:t>
            </w:r>
          </w:p>
        </w:tc>
        <w:tc>
          <w:tcPr>
            <w:tcW w:w="1980" w:type="dxa"/>
          </w:tcPr>
          <w:p w14:paraId="519CA536" w14:textId="04FEBF9F" w:rsidR="003A10B6" w:rsidRPr="003A10B6" w:rsidRDefault="005062E9" w:rsidP="00D25A16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394" w:type="dxa"/>
          </w:tcPr>
          <w:p w14:paraId="017AFC89" w14:textId="51C1B05C" w:rsidR="004B7D18" w:rsidRPr="00217107" w:rsidRDefault="005062E9" w:rsidP="004B7D18">
            <w:pPr>
              <w:rPr>
                <w:lang w:eastAsia="zh-CN"/>
              </w:rPr>
            </w:pPr>
            <w:r>
              <w:rPr>
                <w:lang w:eastAsia="zh-CN"/>
              </w:rPr>
              <w:t>None</w:t>
            </w:r>
          </w:p>
        </w:tc>
      </w:tr>
      <w:tr w:rsidR="001B1524" w:rsidRPr="007F0DDB" w14:paraId="6E0BC408" w14:textId="77777777" w:rsidTr="008D37F0">
        <w:tc>
          <w:tcPr>
            <w:tcW w:w="1255" w:type="dxa"/>
          </w:tcPr>
          <w:p w14:paraId="5E83ADB0" w14:textId="1E1575D0" w:rsidR="001B1524" w:rsidRPr="00485630" w:rsidRDefault="005062E9" w:rsidP="004B7D18">
            <w:pPr>
              <w:jc w:val="center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Huawei</w:t>
            </w:r>
          </w:p>
        </w:tc>
        <w:tc>
          <w:tcPr>
            <w:tcW w:w="1980" w:type="dxa"/>
          </w:tcPr>
          <w:p w14:paraId="7CAB21E9" w14:textId="543D9C7C" w:rsidR="001B1524" w:rsidRPr="00485630" w:rsidRDefault="005062E9" w:rsidP="00D25A16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394" w:type="dxa"/>
          </w:tcPr>
          <w:p w14:paraId="4060162C" w14:textId="77777777" w:rsidR="005062E9" w:rsidRDefault="005062E9" w:rsidP="005062E9">
            <w:pPr>
              <w:rPr>
                <w:sz w:val="21"/>
                <w:szCs w:val="21"/>
                <w:lang w:val="en-US" w:eastAsia="zh-CN"/>
              </w:rPr>
            </w:pPr>
            <w:r>
              <w:rPr>
                <w:color w:val="1F497D"/>
                <w:sz w:val="21"/>
                <w:szCs w:val="21"/>
                <w:lang w:eastAsia="zh-CN"/>
              </w:rPr>
              <w:t xml:space="preserve">Regarding the proposed change, we would like to support Luca’s version with a slight update marked in </w:t>
            </w:r>
            <w:r>
              <w:rPr>
                <w:color w:val="00B0F0"/>
                <w:sz w:val="21"/>
                <w:szCs w:val="21"/>
                <w:lang w:eastAsia="zh-CN"/>
              </w:rPr>
              <w:t xml:space="preserve">blue </w:t>
            </w:r>
            <w:r>
              <w:rPr>
                <w:color w:val="1F497D"/>
                <w:sz w:val="21"/>
                <w:szCs w:val="21"/>
                <w:lang w:eastAsia="zh-CN"/>
              </w:rPr>
              <w:t>this is already from the current spec.</w:t>
            </w:r>
          </w:p>
          <w:p w14:paraId="413F5E37" w14:textId="77777777" w:rsidR="005062E9" w:rsidRDefault="005062E9" w:rsidP="005062E9">
            <w:pPr>
              <w:rPr>
                <w:lang w:eastAsia="zh-CN"/>
              </w:rPr>
            </w:pPr>
            <w:r>
              <w:rPr>
                <w:lang w:eastAsia="zh-CN"/>
              </w:rPr>
              <w:t>For the purpose of slot numbering in the tables, the following subcarrier spacing shall be assumed:</w:t>
            </w:r>
          </w:p>
          <w:p w14:paraId="370E41B7" w14:textId="77777777" w:rsidR="005062E9" w:rsidRDefault="005062E9" w:rsidP="005062E9">
            <w:pPr>
              <w:pStyle w:val="B1"/>
            </w:pPr>
            <w:r>
              <w:t>-     15 kHz for FR1</w:t>
            </w:r>
          </w:p>
          <w:p w14:paraId="38FBEC3D" w14:textId="77777777" w:rsidR="005062E9" w:rsidRDefault="005062E9" w:rsidP="005062E9">
            <w:pPr>
              <w:pStyle w:val="B1"/>
            </w:pPr>
            <w:r>
              <w:t>-     60 kHz for FR2.</w:t>
            </w:r>
          </w:p>
          <w:p w14:paraId="33A2A312" w14:textId="77777777" w:rsidR="005062E9" w:rsidRDefault="005062E9" w:rsidP="005062E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if the higher-layer parameter </w:t>
            </w:r>
            <w:proofErr w:type="spellStart"/>
            <w:r>
              <w:rPr>
                <w:i/>
                <w:iCs/>
                <w:lang w:eastAsia="zh-CN"/>
              </w:rPr>
              <w:t>prach-ConfigurationSOffset</w:t>
            </w:r>
            <w:proofErr w:type="spellEnd"/>
            <w:r>
              <w:rPr>
                <w:lang w:eastAsia="zh-CN"/>
              </w:rPr>
              <w:t xml:space="preserve"> is configured, the subframe number </w:t>
            </w:r>
            <m:oMath>
              <m:sSub>
                <m:sSubPr>
                  <m:ctrlPr>
                    <w:rPr>
                      <w:rFonts w:ascii="Cambria Math" w:eastAsiaTheme="minorHAnsi" w:hAnsi="Cambria Math" w:cs="Calibri"/>
                      <w:i/>
                      <w:iCs/>
                      <w:color w:val="FF0000"/>
                      <w:sz w:val="24"/>
                      <w:szCs w:val="24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eastAsia="zh-CN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  <w:lang w:eastAsia="zh-CN"/>
                    </w:rPr>
                    <m:t>n</m:t>
                  </m:r>
                </m:sub>
              </m:sSub>
            </m:oMath>
            <w:r>
              <w:rPr>
                <w:color w:val="FF0000"/>
                <w:lang w:eastAsia="zh-CN"/>
              </w:rPr>
              <w:t xml:space="preserve"> from</w:t>
            </w:r>
            <w:r>
              <w:rPr>
                <w:lang w:eastAsia="zh-CN"/>
              </w:rPr>
              <w:t xml:space="preserve"> </w:t>
            </w:r>
            <w:r>
              <w:rPr>
                <w:strike/>
                <w:color w:val="FF0000"/>
                <w:lang w:eastAsia="zh-CN"/>
              </w:rPr>
              <w:t>in</w:t>
            </w:r>
            <w:r>
              <w:rPr>
                <w:lang w:eastAsia="zh-CN"/>
              </w:rPr>
              <w:t xml:space="preserve"> Tables 6.3.3.2-2 to 6.3.3.2-3 and the slot number </w:t>
            </w:r>
            <m:oMath>
              <m:sSub>
                <m:sSubPr>
                  <m:ctrlPr>
                    <w:rPr>
                      <w:rFonts w:ascii="Cambria Math" w:eastAsiaTheme="minorHAnsi" w:hAnsi="Cambria Math" w:cs="Calibri"/>
                      <w:i/>
                      <w:iCs/>
                      <w:color w:val="FF0000"/>
                      <w:sz w:val="24"/>
                      <w:szCs w:val="24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eastAsia="zh-CN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  <w:lang w:eastAsia="zh-CN"/>
                    </w:rPr>
                    <m:t>n</m:t>
                  </m:r>
                </m:sub>
              </m:sSub>
            </m:oMath>
            <w:r>
              <w:rPr>
                <w:color w:val="FF0000"/>
                <w:lang w:eastAsia="zh-CN"/>
              </w:rPr>
              <w:t xml:space="preserve"> from</w:t>
            </w:r>
            <w:r>
              <w:rPr>
                <w:lang w:eastAsia="zh-CN"/>
              </w:rPr>
              <w:t xml:space="preserve"> </w:t>
            </w:r>
            <w:r>
              <w:rPr>
                <w:strike/>
                <w:color w:val="FF0000"/>
                <w:lang w:eastAsia="zh-CN"/>
              </w:rPr>
              <w:t>in</w:t>
            </w:r>
            <w:r>
              <w:rPr>
                <w:lang w:eastAsia="zh-CN"/>
              </w:rPr>
              <w:t xml:space="preserve"> Table 6.3.3.2-4 shall be replaced by </w:t>
            </w:r>
            <m:oMath>
              <m:d>
                <m:dPr>
                  <m:ctrlPr>
                    <w:rPr>
                      <w:rFonts w:ascii="Cambria Math" w:eastAsiaTheme="minorHAnsi" w:hAnsi="Cambria Math" w:cs="Calibri"/>
                      <w:i/>
                      <w:iCs/>
                      <w:sz w:val="24"/>
                      <w:szCs w:val="24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HAnsi" w:hAnsi="Cambria Math" w:cs="Calibri"/>
                          <w:i/>
                          <w:iCs/>
                          <w:sz w:val="24"/>
                          <w:szCs w:val="24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s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eastAsia="zh-CN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lang w:eastAsia="zh-CN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  <m:r>
                    <w:rPr>
                      <w:rFonts w:ascii="Cambria Math" w:hAnsi="Cambria Math"/>
                      <w:lang w:eastAsia="zh-CN"/>
                    </w:rPr>
                    <m:t>s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  <w:lang w:eastAsia="zh-CN"/>
                </w:rPr>
                <m:t xml:space="preserve"> mod </m:t>
              </m:r>
              <m:r>
                <w:rPr>
                  <w:rFonts w:ascii="Cambria Math" w:hAnsi="Cambria Math"/>
                  <w:lang w:eastAsia="zh-CN"/>
                </w:rPr>
                <m:t>L</m:t>
              </m:r>
            </m:oMath>
            <w:r>
              <w:rPr>
                <w:lang w:eastAsia="zh-CN"/>
              </w:rPr>
              <w:t xml:space="preserve"> where</w:t>
            </w:r>
            <w:r>
              <w:rPr>
                <w:strike/>
                <w:color w:val="FF0000"/>
                <w:lang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HAnsi" w:hAnsi="Cambria Math" w:cs="Calibri"/>
                      <w:i/>
                      <w:iCs/>
                      <w:strike/>
                      <w:color w:val="FF0000"/>
                      <w:sz w:val="24"/>
                      <w:szCs w:val="24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  <w:lang w:eastAsia="zh-CN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trike/>
                      <w:color w:val="FF0000"/>
                      <w:lang w:eastAsia="zh-CN"/>
                    </w:rPr>
                    <m:t>n</m:t>
                  </m:r>
                </m:sub>
              </m:sSub>
            </m:oMath>
            <w:r>
              <w:rPr>
                <w:strike/>
                <w:color w:val="FF0000"/>
                <w:lang w:eastAsia="zh-CN"/>
              </w:rPr>
              <w:t xml:space="preserve"> is the slot or subframe number,</w:t>
            </w:r>
            <w:r>
              <w:rPr>
                <w:lang w:eastAsia="zh-C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Δ</m:t>
              </m:r>
              <m:r>
                <w:rPr>
                  <w:rFonts w:ascii="Cambria Math" w:hAnsi="Cambria Math"/>
                  <w:lang w:eastAsia="zh-CN"/>
                </w:rPr>
                <m:t>s∈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HAnsi" w:hAnsi="Cambria Math" w:cs="Calibri"/>
                      <w:i/>
                      <w:iCs/>
                      <w:sz w:val="24"/>
                      <w:szCs w:val="24"/>
                      <w:lang w:eastAsia="zh-CN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zh-CN"/>
                    </w:rPr>
                    <m:t>0,1,…,L-1</m:t>
                  </m:r>
                </m:e>
              </m:d>
            </m:oMath>
            <w:r>
              <w:rPr>
                <w:lang w:eastAsia="zh-CN"/>
              </w:rPr>
              <w:t xml:space="preserve"> is given by the higher-layer parameter </w:t>
            </w:r>
            <w:proofErr w:type="spellStart"/>
            <w:r>
              <w:rPr>
                <w:i/>
                <w:iCs/>
                <w:lang w:eastAsia="zh-CN"/>
              </w:rPr>
              <w:t>prach-ConfigurationSOffset</w:t>
            </w:r>
            <w:proofErr w:type="spellEnd"/>
            <w:r>
              <w:rPr>
                <w:lang w:eastAsia="zh-CN"/>
              </w:rPr>
              <w:t xml:space="preserve">,  and </w:t>
            </w:r>
            <m:oMath>
              <m:r>
                <w:rPr>
                  <w:rFonts w:ascii="Cambria Math" w:hAnsi="Cambria Math"/>
                  <w:lang w:eastAsia="zh-CN"/>
                </w:rPr>
                <m:t>L</m:t>
              </m:r>
            </m:oMath>
            <w:r>
              <w:rPr>
                <w:lang w:eastAsia="zh-CN"/>
              </w:rPr>
              <w:t xml:space="preserve"> is the number of subframes in a frame </w:t>
            </w:r>
            <w:r>
              <w:rPr>
                <w:color w:val="FF0000"/>
                <w:lang w:eastAsia="zh-CN"/>
              </w:rPr>
              <w:t xml:space="preserve">when using </w:t>
            </w:r>
            <w:r>
              <w:rPr>
                <w:strike/>
                <w:color w:val="FF0000"/>
                <w:lang w:eastAsia="zh-CN"/>
              </w:rPr>
              <w:t>in</w:t>
            </w:r>
            <w:r>
              <w:rPr>
                <w:lang w:eastAsia="zh-CN"/>
              </w:rPr>
              <w:t xml:space="preserve"> Tables 6.3.3.2-2 to 6.3.3.2-3 </w:t>
            </w:r>
            <w:r>
              <w:rPr>
                <w:lang w:eastAsia="zh-CN"/>
              </w:rPr>
              <w:lastRenderedPageBreak/>
              <w:t xml:space="preserve">and the number of slots in a frame </w:t>
            </w:r>
            <w:r>
              <w:rPr>
                <w:strike/>
                <w:color w:val="00B0F0"/>
                <w:lang w:eastAsia="zh-CN"/>
              </w:rPr>
              <w:t xml:space="preserve">for SCS of 60 </w:t>
            </w:r>
            <w:proofErr w:type="spellStart"/>
            <w:r>
              <w:rPr>
                <w:strike/>
                <w:color w:val="00B0F0"/>
                <w:lang w:eastAsia="zh-CN"/>
              </w:rPr>
              <w:t>KHz</w:t>
            </w:r>
            <w:proofErr w:type="spellEnd"/>
            <w:r>
              <w:rPr>
                <w:color w:val="70AD47"/>
                <w:lang w:eastAsia="zh-CN"/>
              </w:rPr>
              <w:t xml:space="preserve"> </w:t>
            </w:r>
            <w:r>
              <w:rPr>
                <w:color w:val="FF0000"/>
                <w:lang w:eastAsia="zh-CN"/>
              </w:rPr>
              <w:t>when using</w:t>
            </w:r>
            <w:r>
              <w:rPr>
                <w:lang w:eastAsia="zh-CN"/>
              </w:rPr>
              <w:t xml:space="preserve"> </w:t>
            </w:r>
            <w:r>
              <w:rPr>
                <w:strike/>
                <w:color w:val="FF0000"/>
                <w:lang w:eastAsia="zh-CN"/>
              </w:rPr>
              <w:t>in</w:t>
            </w:r>
            <w:r>
              <w:rPr>
                <w:lang w:eastAsia="zh-CN"/>
              </w:rPr>
              <w:t xml:space="preserve"> Table 6.3.3.2-4.</w:t>
            </w:r>
          </w:p>
          <w:p w14:paraId="4C40D3D7" w14:textId="3C089F1D" w:rsidR="001B1524" w:rsidRPr="00485630" w:rsidRDefault="005062E9" w:rsidP="006C544C">
            <w:pPr>
              <w:rPr>
                <w:lang w:eastAsia="zh-CN"/>
              </w:rPr>
            </w:pPr>
            <w:r>
              <w:rPr>
                <w:color w:val="1F497D"/>
                <w:sz w:val="21"/>
                <w:szCs w:val="21"/>
                <w:lang w:eastAsia="zh-CN"/>
              </w:rPr>
              <w:t>Thanks for the further discussion. To me, the SCS for slot numbering is a general assumptions and should also be used to determine the number of slots within a frame. I don’t see why this assumption is not followed… Anyway, I will not object to repeating it again if everyone else feels differently.</w:t>
            </w:r>
          </w:p>
        </w:tc>
      </w:tr>
      <w:tr w:rsidR="00E667CC" w:rsidRPr="007F0DDB" w14:paraId="281900AA" w14:textId="77777777" w:rsidTr="008D37F0">
        <w:tc>
          <w:tcPr>
            <w:tcW w:w="1255" w:type="dxa"/>
          </w:tcPr>
          <w:p w14:paraId="546C5A72" w14:textId="77777777" w:rsidR="00E667CC" w:rsidRPr="00485630" w:rsidRDefault="00E667CC" w:rsidP="004B7D18">
            <w:pPr>
              <w:jc w:val="center"/>
              <w:rPr>
                <w:rFonts w:eastAsia="Yu Mincho"/>
                <w:lang w:eastAsia="ja-JP"/>
              </w:rPr>
            </w:pPr>
          </w:p>
        </w:tc>
        <w:tc>
          <w:tcPr>
            <w:tcW w:w="1980" w:type="dxa"/>
          </w:tcPr>
          <w:p w14:paraId="5BD6A4D9" w14:textId="77777777" w:rsidR="00E667CC" w:rsidRPr="00485630" w:rsidRDefault="00E667CC" w:rsidP="00D25A16">
            <w:pPr>
              <w:jc w:val="center"/>
              <w:rPr>
                <w:lang w:eastAsia="zh-CN"/>
              </w:rPr>
            </w:pPr>
          </w:p>
        </w:tc>
        <w:tc>
          <w:tcPr>
            <w:tcW w:w="6394" w:type="dxa"/>
          </w:tcPr>
          <w:p w14:paraId="547F0614" w14:textId="77777777" w:rsidR="00E667CC" w:rsidRPr="00485630" w:rsidRDefault="00E667CC" w:rsidP="001B1524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E667CC" w:rsidRPr="007F0DDB" w14:paraId="2D769F02" w14:textId="77777777" w:rsidTr="008D37F0">
        <w:tc>
          <w:tcPr>
            <w:tcW w:w="1255" w:type="dxa"/>
          </w:tcPr>
          <w:p w14:paraId="623B339A" w14:textId="77777777" w:rsidR="00E667CC" w:rsidRPr="00485630" w:rsidRDefault="00E667CC" w:rsidP="004B7D18">
            <w:pPr>
              <w:jc w:val="center"/>
              <w:rPr>
                <w:rFonts w:eastAsia="Yu Mincho"/>
                <w:lang w:eastAsia="ja-JP"/>
              </w:rPr>
            </w:pPr>
          </w:p>
        </w:tc>
        <w:tc>
          <w:tcPr>
            <w:tcW w:w="1980" w:type="dxa"/>
          </w:tcPr>
          <w:p w14:paraId="14377D7B" w14:textId="77777777" w:rsidR="00E667CC" w:rsidRPr="00485630" w:rsidRDefault="00E667CC" w:rsidP="00D25A16">
            <w:pPr>
              <w:jc w:val="center"/>
              <w:rPr>
                <w:lang w:eastAsia="zh-CN"/>
              </w:rPr>
            </w:pPr>
          </w:p>
        </w:tc>
        <w:tc>
          <w:tcPr>
            <w:tcW w:w="6394" w:type="dxa"/>
          </w:tcPr>
          <w:p w14:paraId="2FD585B1" w14:textId="77777777" w:rsidR="00E667CC" w:rsidRPr="00485630" w:rsidRDefault="00E667CC" w:rsidP="001B1524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14:paraId="3ABEE30C" w14:textId="77777777" w:rsidR="007C3FAB" w:rsidRPr="00A55893" w:rsidRDefault="007C3FAB" w:rsidP="00726DFD"/>
    <w:p w14:paraId="48191C99" w14:textId="77777777" w:rsidR="005B486E" w:rsidRDefault="005B486E" w:rsidP="005B486E">
      <w:pPr>
        <w:pStyle w:val="Heading3"/>
      </w:pPr>
      <w:r>
        <w:t>Conclusion</w:t>
      </w:r>
    </w:p>
    <w:p w14:paraId="066B003D" w14:textId="454A7A6F" w:rsidR="00B85D0A" w:rsidRDefault="00CE27ED" w:rsidP="005B486E">
      <w:r>
        <w:t xml:space="preserve">Based on the support from companies there is </w:t>
      </w:r>
      <w:r w:rsidR="00AF2622">
        <w:t xml:space="preserve">tentative </w:t>
      </w:r>
      <w:r>
        <w:t xml:space="preserve">agreement </w:t>
      </w:r>
      <w:r w:rsidR="00AF2622">
        <w:t>on</w:t>
      </w:r>
      <w:r>
        <w:t xml:space="preserve"> the following:</w:t>
      </w:r>
    </w:p>
    <w:p w14:paraId="433B51BB" w14:textId="56E40609" w:rsidR="00CE27ED" w:rsidRPr="007C3FAB" w:rsidRDefault="00A064C6" w:rsidP="00CE27ED">
      <w:pPr>
        <w:keepNext/>
        <w:rPr>
          <w:b/>
          <w:bCs/>
        </w:rPr>
      </w:pPr>
      <w:r w:rsidRPr="009624DB">
        <w:rPr>
          <w:b/>
          <w:bCs/>
          <w:highlight w:val="green"/>
        </w:rPr>
        <w:t>Tentative a</w:t>
      </w:r>
      <w:r w:rsidR="00CE27ED" w:rsidRPr="009624DB">
        <w:rPr>
          <w:b/>
          <w:bCs/>
          <w:highlight w:val="green"/>
        </w:rPr>
        <w:t>greement</w:t>
      </w:r>
      <w:r w:rsidR="00CE27ED" w:rsidRPr="009624DB">
        <w:rPr>
          <w:b/>
          <w:bCs/>
          <w:highlight w:val="green"/>
        </w:rPr>
        <w:t xml:space="preserve"> 1:</w:t>
      </w:r>
      <w:bookmarkStart w:id="0" w:name="_GoBack"/>
      <w:bookmarkEnd w:id="0"/>
    </w:p>
    <w:p w14:paraId="55BB4F9E" w14:textId="77777777" w:rsidR="00CE27ED" w:rsidRPr="007C3FAB" w:rsidRDefault="00CE27ED" w:rsidP="00CE27ED">
      <w:pPr>
        <w:keepNext/>
        <w:rPr>
          <w:b/>
          <w:bCs/>
        </w:rPr>
      </w:pPr>
      <w:r w:rsidRPr="007C3FAB">
        <w:rPr>
          <w:b/>
          <w:bCs/>
        </w:rPr>
        <w:t>Adopt the following TP for section 6.3.3.2 of 38.211: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E27ED" w14:paraId="72EAF622" w14:textId="77777777" w:rsidTr="00A824B5">
        <w:tc>
          <w:tcPr>
            <w:tcW w:w="9629" w:type="dxa"/>
          </w:tcPr>
          <w:p w14:paraId="0DEA54B1" w14:textId="77777777" w:rsidR="00CE27ED" w:rsidRDefault="00CE27ED" w:rsidP="00A824B5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noProof/>
                <w:color w:val="0070C0"/>
                <w:lang w:eastAsia="zh-CN"/>
              </w:rPr>
            </w:pPr>
            <w:r w:rsidRPr="001D524B">
              <w:rPr>
                <w:b/>
                <w:color w:val="0070C0"/>
              </w:rPr>
              <w:t>&lt;</w:t>
            </w:r>
            <w:r w:rsidRPr="001D524B">
              <w:rPr>
                <w:noProof/>
                <w:color w:val="0070C0"/>
                <w:lang w:eastAsia="zh-CN"/>
              </w:rPr>
              <w:t>Unchanged text is omitted&gt;</w:t>
            </w:r>
          </w:p>
          <w:p w14:paraId="71BFBA2D" w14:textId="77777777" w:rsidR="00CE27ED" w:rsidRDefault="00CE27ED" w:rsidP="00A824B5">
            <w:pPr>
              <w:rPr>
                <w:lang w:val="en-US"/>
              </w:rPr>
            </w:pPr>
            <w:r w:rsidRPr="00586AF4">
              <w:rPr>
                <w:lang w:val="en-US"/>
              </w:rPr>
              <w:t xml:space="preserve">For the </w:t>
            </w:r>
            <w:r w:rsidRPr="0069640E">
              <w:rPr>
                <w:lang w:val="en-US"/>
              </w:rPr>
              <w:t>IAB-MT</w:t>
            </w:r>
            <w:r w:rsidRPr="00586AF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part of </w:t>
            </w:r>
            <w:r w:rsidRPr="00586AF4">
              <w:rPr>
                <w:lang w:val="en-US"/>
              </w:rPr>
              <w:t>an IAB node,</w:t>
            </w:r>
            <w:r>
              <w:rPr>
                <w:lang w:val="en-US"/>
              </w:rPr>
              <w:t xml:space="preserve"> the following applies:</w:t>
            </w:r>
          </w:p>
          <w:p w14:paraId="6356532C" w14:textId="77777777" w:rsidR="00CE27ED" w:rsidRDefault="00CE27ED" w:rsidP="00A824B5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 w:rsidRPr="001E2736">
              <w:rPr>
                <w:lang w:val="en-US"/>
              </w:rPr>
              <w:t>if the higher</w:t>
            </w:r>
            <w:r>
              <w:rPr>
                <w:lang w:val="en-US"/>
              </w:rPr>
              <w:t>-</w:t>
            </w:r>
            <w:r w:rsidRPr="001E2736">
              <w:rPr>
                <w:lang w:val="en-US"/>
              </w:rPr>
              <w:t xml:space="preserve">layer parameter </w:t>
            </w:r>
            <w:proofErr w:type="spellStart"/>
            <w:r w:rsidRPr="00C85B5A">
              <w:rPr>
                <w:i/>
                <w:iCs/>
                <w:lang w:val="en-US"/>
              </w:rPr>
              <w:t>prach-ConfigurationPeriocScaling</w:t>
            </w:r>
            <w:proofErr w:type="spellEnd"/>
            <w:r w:rsidRPr="001E2736">
              <w:rPr>
                <w:lang w:val="en-US"/>
              </w:rPr>
              <w:t xml:space="preserve"> is configured,</w:t>
            </w:r>
            <w:r>
              <w:rPr>
                <w:lang w:val="en-US"/>
              </w:rPr>
              <w:t xml:space="preserve"> the variable </w:t>
            </w:r>
            <m:oMath>
              <m:r>
                <w:rPr>
                  <w:rFonts w:ascii="Cambria Math" w:hAnsi="Cambria Math"/>
                  <w:lang w:val="en-US"/>
                </w:rPr>
                <m:t>x</m:t>
              </m:r>
            </m:oMath>
            <w:r w:rsidRPr="001E2736">
              <w:rPr>
                <w:lang w:val="en-US"/>
              </w:rPr>
              <w:t xml:space="preserve"> used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SFN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y</m:t>
              </m:r>
            </m:oMath>
            <w:r w:rsidRPr="001E2736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1E2736">
              <w:rPr>
                <w:lang w:val="en-US"/>
              </w:rPr>
              <w:t xml:space="preserve"> Tables 6.3.3.2-2 to 6.3.3.2-4 shall be replaced by 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IAB</m:t>
                  </m:r>
                </m:sub>
              </m:sSub>
            </m:oMath>
            <w:r w:rsidRPr="001E2736">
              <w:rPr>
                <w:lang w:val="en-US"/>
              </w:rPr>
              <w:t xml:space="preserve"> , where 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IAB</m:t>
                  </m:r>
                </m:sub>
              </m:sSub>
              <m:r>
                <w:rPr>
                  <w:rFonts w:ascii="Cambria Math" w:hAnsi="Cambria Math"/>
                </w:rPr>
                <m:t>=δx</m:t>
              </m:r>
            </m:oMath>
            <w:r w:rsidRPr="001E273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and </w:t>
            </w:r>
            <m:oMath>
              <m:r>
                <w:rPr>
                  <w:rFonts w:ascii="Cambria Math" w:hAnsi="Cambria Math"/>
                  <w:lang w:val="en-US"/>
                </w:rPr>
                <m:t>δ</m:t>
              </m:r>
            </m:oMath>
            <w:r>
              <w:rPr>
                <w:lang w:val="en-US"/>
              </w:rPr>
              <w:t xml:space="preserve"> </w:t>
            </w:r>
            <w:r w:rsidRPr="001E2736">
              <w:rPr>
                <w:lang w:val="en-US"/>
              </w:rPr>
              <w:t xml:space="preserve">is given by the higher-layer parameter </w:t>
            </w:r>
            <w:proofErr w:type="spellStart"/>
            <w:r w:rsidRPr="00C85B5A">
              <w:rPr>
                <w:i/>
                <w:iCs/>
                <w:lang w:val="en-US"/>
              </w:rPr>
              <w:t>prach-ConfigurationPeriodScaling</w:t>
            </w:r>
            <w:proofErr w:type="spellEnd"/>
            <w:r w:rsidRPr="004232BC">
              <w:rPr>
                <w:lang w:val="en-US"/>
              </w:rPr>
              <w:t xml:space="preserve"> and </w:t>
            </w:r>
            <w:r>
              <w:rPr>
                <w:lang w:val="en-US"/>
              </w:rPr>
              <w:t xml:space="preserve">the IAB node does not expect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IAB</m:t>
                  </m:r>
                </m:sub>
              </m:sSub>
            </m:oMath>
            <w:r>
              <w:t xml:space="preserve"> to be larger than 64</w:t>
            </w:r>
            <w:r w:rsidRPr="001E2736">
              <w:rPr>
                <w:lang w:val="en-US"/>
              </w:rPr>
              <w:t>;</w:t>
            </w:r>
          </w:p>
          <w:p w14:paraId="01C19E86" w14:textId="77777777" w:rsidR="00CE27ED" w:rsidRDefault="00CE27ED" w:rsidP="00A824B5">
            <w:pPr>
              <w:pStyle w:val="B1"/>
            </w:pPr>
            <w:r>
              <w:t>-</w:t>
            </w:r>
            <w:r>
              <w:tab/>
            </w:r>
            <w:r w:rsidRPr="00C85B5A">
              <w:t>if the higher</w:t>
            </w:r>
            <w:r>
              <w:t>-</w:t>
            </w:r>
            <w:r w:rsidRPr="00C85B5A">
              <w:t xml:space="preserve">layer parameter </w:t>
            </w:r>
            <w:proofErr w:type="spellStart"/>
            <w:r w:rsidRPr="004232BC">
              <w:rPr>
                <w:i/>
                <w:iCs/>
              </w:rPr>
              <w:t>prach-ConfigurationFrameOffset</w:t>
            </w:r>
            <w:proofErr w:type="spellEnd"/>
            <w:r w:rsidRPr="00C85B5A">
              <w:t xml:space="preserve"> is configured, </w:t>
            </w:r>
            <w:r>
              <w:t xml:space="preserve">the variable </w:t>
            </w:r>
            <m:oMath>
              <m:r>
                <w:rPr>
                  <w:rFonts w:ascii="Cambria Math" w:hAnsi="Cambria Math"/>
                </w:rPr>
                <m:t>y</m:t>
              </m:r>
            </m:oMath>
            <w:r w:rsidRPr="00C85B5A">
              <w:t xml:space="preserve"> used in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SFN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y</m:t>
              </m:r>
            </m:oMath>
            <w:r w:rsidRPr="00586AF4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586AF4">
              <w:rPr>
                <w:lang w:val="en-US"/>
              </w:rPr>
              <w:t xml:space="preserve"> </w:t>
            </w:r>
            <w:r>
              <w:t xml:space="preserve">Tables 6.3.3.2-2 to 6.3.3.2-4 </w:t>
            </w:r>
            <w:r w:rsidRPr="00586AF4">
              <w:rPr>
                <w:lang w:val="en-US"/>
              </w:rPr>
              <w:t>shall be replaced by</w:t>
            </w:r>
            <w:r>
              <w:rPr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IAB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y+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Δ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 xml:space="preserve"> mod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oMath>
            <w:r w:rsidRPr="00586AF4">
              <w:rPr>
                <w:lang w:val="en-US"/>
              </w:rPr>
              <w:t xml:space="preserve"> </w:t>
            </w:r>
            <w:r>
              <w:t xml:space="preserve">where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is given by the higher-layer parameter </w:t>
            </w:r>
            <w:proofErr w:type="spellStart"/>
            <w:r w:rsidRPr="00F256FA">
              <w:rPr>
                <w:i/>
              </w:rPr>
              <w:t>prach-ConfigurationFrameOffset</w:t>
            </w:r>
            <w:proofErr w:type="spellEnd"/>
            <w:r>
              <w:t xml:space="preserve">, and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is the value used in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SFN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y</m:t>
              </m:r>
            </m:oMath>
            <w:r>
              <w:t>;</w:t>
            </w:r>
          </w:p>
          <w:p w14:paraId="7BEB1E7E" w14:textId="77777777" w:rsidR="00CE27ED" w:rsidRPr="002D4C6A" w:rsidRDefault="00CE27ED" w:rsidP="00A824B5">
            <w:pPr>
              <w:ind w:left="568" w:hanging="284"/>
              <w:rPr>
                <w:sz w:val="18"/>
                <w:szCs w:val="18"/>
              </w:rPr>
            </w:pPr>
            <w:r>
              <w:t>-</w:t>
            </w:r>
            <w:r>
              <w:tab/>
            </w:r>
            <w:r w:rsidRPr="00655087">
              <w:t>if the higher</w:t>
            </w:r>
            <w:r>
              <w:t>-</w:t>
            </w:r>
            <w:r w:rsidRPr="00655087">
              <w:t xml:space="preserve">layer parameter </w:t>
            </w:r>
            <w:proofErr w:type="spellStart"/>
            <w:r w:rsidRPr="004232BC">
              <w:rPr>
                <w:i/>
                <w:iCs/>
              </w:rPr>
              <w:t>prach-ConfigurationSOffset</w:t>
            </w:r>
            <w:proofErr w:type="spellEnd"/>
            <w:r w:rsidRPr="00655087">
              <w:t xml:space="preserve"> is configured, </w:t>
            </w:r>
            <w:r>
              <w:t xml:space="preserve">the subframe number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</m:oMath>
            <w:r w:rsidRPr="00EE270B">
              <w:rPr>
                <w:color w:val="FF0000"/>
              </w:rPr>
              <w:t xml:space="preserve"> from</w:t>
            </w:r>
            <w:r>
              <w:t xml:space="preserve"> </w:t>
            </w:r>
            <w:r w:rsidRPr="00ED0484">
              <w:rPr>
                <w:strike/>
                <w:color w:val="FF0000"/>
              </w:rPr>
              <w:t>in</w:t>
            </w:r>
            <w:r>
              <w:t xml:space="preserve"> Tables 6.3.3.2-2 to 6.3.3.2-3 and the slot number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</m:oMath>
            <w:r w:rsidRPr="00EE270B">
              <w:rPr>
                <w:color w:val="FF0000"/>
              </w:rPr>
              <w:t xml:space="preserve"> from</w:t>
            </w:r>
            <w:r>
              <w:t xml:space="preserve"> </w:t>
            </w:r>
            <w:r w:rsidRPr="00ED0484">
              <w:rPr>
                <w:strike/>
                <w:color w:val="FF0000"/>
              </w:rPr>
              <w:t>in</w:t>
            </w:r>
            <w:r>
              <w:t xml:space="preserve"> Table 6.3.3.2-4 shall be replaced by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</w:rPr>
                <m:t xml:space="preserve"> mod </m:t>
              </m:r>
              <m:r>
                <w:rPr>
                  <w:rFonts w:ascii="Cambria Math" w:hAnsi="Cambria Math"/>
                </w:rPr>
                <m:t>L</m:t>
              </m:r>
            </m:oMath>
            <w:r>
              <w:t xml:space="preserve"> </w:t>
            </w:r>
            <w:r w:rsidRPr="00646729">
              <w:t>where</w:t>
            </w:r>
            <w:r w:rsidRPr="00ED0484">
              <w:rPr>
                <w:strike/>
                <w:color w:val="FF000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trike/>
                      <w:color w:val="FF0000"/>
                    </w:rPr>
                    <m:t>n</m:t>
                  </m:r>
                </m:sub>
              </m:sSub>
            </m:oMath>
            <w:r w:rsidRPr="00ED0484">
              <w:rPr>
                <w:strike/>
                <w:color w:val="FF0000"/>
              </w:rPr>
              <w:t xml:space="preserve"> is the slot or subframe number</w:t>
            </w:r>
            <w:r w:rsidRPr="00646729">
              <w:rPr>
                <w:strike/>
                <w:color w:val="FF0000"/>
              </w:rPr>
              <w:t>,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s∈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0,1,…,L-1</m:t>
                  </m:r>
                </m:e>
              </m:d>
            </m:oMath>
            <w:r>
              <w:t xml:space="preserve"> is given by the higher-layer parameter </w:t>
            </w:r>
            <w:proofErr w:type="spellStart"/>
            <w:r w:rsidRPr="00F256FA">
              <w:rPr>
                <w:i/>
              </w:rPr>
              <w:t>prach-ConfigurationSOffset</w:t>
            </w:r>
            <w:proofErr w:type="spellEnd"/>
            <w:r>
              <w:t xml:space="preserve">,  and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is the nu</w:t>
            </w:r>
            <w:proofErr w:type="spellStart"/>
            <w:r>
              <w:t>mber</w:t>
            </w:r>
            <w:proofErr w:type="spellEnd"/>
            <w:r>
              <w:t xml:space="preserve"> of subframes in a frame </w:t>
            </w:r>
            <w:r w:rsidRPr="00EE270B">
              <w:rPr>
                <w:color w:val="FF0000"/>
              </w:rPr>
              <w:t xml:space="preserve">when using </w:t>
            </w:r>
            <w:r w:rsidRPr="00ED0484">
              <w:rPr>
                <w:strike/>
                <w:color w:val="FF0000"/>
              </w:rPr>
              <w:t>in</w:t>
            </w:r>
            <w:r>
              <w:t xml:space="preserve"> Tables 6.3.3.2-2 to 6.3.3.2-3 and the number of slots in a frame </w:t>
            </w:r>
            <w:r w:rsidRPr="00EE270B">
              <w:rPr>
                <w:color w:val="FF0000"/>
              </w:rPr>
              <w:t xml:space="preserve">for SCS of 60 </w:t>
            </w:r>
            <w:proofErr w:type="spellStart"/>
            <w:r w:rsidRPr="00EE270B">
              <w:rPr>
                <w:color w:val="FF0000"/>
              </w:rPr>
              <w:t>KHz</w:t>
            </w:r>
            <w:proofErr w:type="spellEnd"/>
            <w:r w:rsidRPr="00EE270B">
              <w:rPr>
                <w:color w:val="FF0000"/>
              </w:rPr>
              <w:t xml:space="preserve"> when using</w:t>
            </w:r>
            <w:r>
              <w:t xml:space="preserve"> </w:t>
            </w:r>
            <w:r w:rsidRPr="00ED0484">
              <w:rPr>
                <w:strike/>
                <w:color w:val="FF0000"/>
              </w:rPr>
              <w:t>in</w:t>
            </w:r>
            <w:r>
              <w:t xml:space="preserve"> Table 6.3.3.2-4.</w:t>
            </w:r>
          </w:p>
          <w:p w14:paraId="05FDC13D" w14:textId="77777777" w:rsidR="00CE27ED" w:rsidRDefault="00CE27ED" w:rsidP="00A824B5">
            <w:pPr>
              <w:jc w:val="center"/>
            </w:pPr>
            <w:r w:rsidRPr="001D524B">
              <w:rPr>
                <w:b/>
                <w:color w:val="0070C0"/>
              </w:rPr>
              <w:t>&lt;</w:t>
            </w:r>
            <w:r w:rsidRPr="001D524B">
              <w:rPr>
                <w:noProof/>
                <w:color w:val="0070C0"/>
                <w:lang w:eastAsia="zh-CN"/>
              </w:rPr>
              <w:t>Unchanged text is omitted&gt;</w:t>
            </w:r>
          </w:p>
        </w:tc>
      </w:tr>
    </w:tbl>
    <w:p w14:paraId="3EF12EC7" w14:textId="77777777" w:rsidR="00CE27ED" w:rsidRDefault="00CE27ED" w:rsidP="005B486E"/>
    <w:p w14:paraId="51F4D1CA" w14:textId="77777777" w:rsidR="00D14BA0" w:rsidRDefault="00D14BA0" w:rsidP="00D14BA0">
      <w:pPr>
        <w:pStyle w:val="Heading3"/>
      </w:pPr>
      <w:r>
        <w:t>References</w:t>
      </w:r>
    </w:p>
    <w:p w14:paraId="382123FA" w14:textId="77777777" w:rsidR="0066284A" w:rsidRPr="00860A73" w:rsidRDefault="0066284A" w:rsidP="0066284A">
      <w:pPr>
        <w:rPr>
          <w:sz w:val="18"/>
        </w:rPr>
      </w:pPr>
      <w:r w:rsidRPr="00860A73">
        <w:rPr>
          <w:sz w:val="18"/>
        </w:rPr>
        <w:t>[1]</w:t>
      </w:r>
      <w:r w:rsidRPr="00860A73">
        <w:rPr>
          <w:sz w:val="18"/>
        </w:rPr>
        <w:tab/>
      </w:r>
      <w:r w:rsidRPr="00860A73">
        <w:rPr>
          <w:sz w:val="18"/>
        </w:rPr>
        <w:tab/>
      </w:r>
      <w:r w:rsidR="00417823">
        <w:rPr>
          <w:sz w:val="18"/>
        </w:rPr>
        <w:t>R1-200</w:t>
      </w:r>
      <w:r w:rsidR="007D2605">
        <w:rPr>
          <w:sz w:val="18"/>
        </w:rPr>
        <w:t>1874</w:t>
      </w:r>
      <w:r w:rsidR="00AE30E8">
        <w:rPr>
          <w:sz w:val="18"/>
        </w:rPr>
        <w:t xml:space="preserve"> – “</w:t>
      </w:r>
      <w:r w:rsidR="007D2605" w:rsidRPr="007D2605">
        <w:rPr>
          <w:sz w:val="18"/>
        </w:rPr>
        <w:t>Remaining issues in IAB PRACH</w:t>
      </w:r>
      <w:r w:rsidR="00AE30E8">
        <w:rPr>
          <w:sz w:val="18"/>
        </w:rPr>
        <w:t xml:space="preserve">” – </w:t>
      </w:r>
      <w:r w:rsidR="007D2605" w:rsidRPr="007D2605">
        <w:rPr>
          <w:sz w:val="18"/>
        </w:rPr>
        <w:t xml:space="preserve">ZTE, </w:t>
      </w:r>
      <w:proofErr w:type="spellStart"/>
      <w:r w:rsidR="007D2605" w:rsidRPr="007D2605">
        <w:rPr>
          <w:sz w:val="18"/>
        </w:rPr>
        <w:t>Sanechips</w:t>
      </w:r>
      <w:proofErr w:type="spellEnd"/>
    </w:p>
    <w:p w14:paraId="6A6DEF61" w14:textId="77777777" w:rsidR="004101F5" w:rsidRDefault="004101F5">
      <w:pPr>
        <w:overflowPunct/>
        <w:autoSpaceDE/>
        <w:autoSpaceDN/>
        <w:adjustRightInd/>
        <w:spacing w:after="0"/>
        <w:textAlignment w:val="auto"/>
      </w:pPr>
    </w:p>
    <w:p w14:paraId="168559F9" w14:textId="77777777" w:rsidR="00BD62C8" w:rsidRDefault="004101F5" w:rsidP="004101F5">
      <w:pPr>
        <w:pStyle w:val="Heading3"/>
      </w:pPr>
      <w:r>
        <w:t>Appendix</w:t>
      </w:r>
    </w:p>
    <w:p w14:paraId="14D950FE" w14:textId="77777777" w:rsidR="004101F5" w:rsidRDefault="00C50ABA" w:rsidP="00A76409">
      <w:pPr>
        <w:pStyle w:val="Heading5"/>
      </w:pPr>
      <w:r>
        <w:t xml:space="preserve">Proposals </w:t>
      </w:r>
      <w:r w:rsidR="00BF4513">
        <w:t>from contributions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8104"/>
      </w:tblGrid>
      <w:tr w:rsidR="00C50ABA" w14:paraId="1AD0A098" w14:textId="77777777" w:rsidTr="00C50ABA">
        <w:tc>
          <w:tcPr>
            <w:tcW w:w="1525" w:type="dxa"/>
          </w:tcPr>
          <w:p w14:paraId="7004E834" w14:textId="77777777" w:rsidR="00C50ABA" w:rsidRDefault="00A76409" w:rsidP="009E1DB0">
            <w:r>
              <w:rPr>
                <w:sz w:val="18"/>
              </w:rPr>
              <w:t>R1-</w:t>
            </w:r>
            <w:r w:rsidR="00BF4513">
              <w:rPr>
                <w:sz w:val="18"/>
              </w:rPr>
              <w:t>2001874</w:t>
            </w:r>
          </w:p>
        </w:tc>
        <w:tc>
          <w:tcPr>
            <w:tcW w:w="8104" w:type="dxa"/>
          </w:tcPr>
          <w:p w14:paraId="074CFB1F" w14:textId="77777777" w:rsidR="00C50ABA" w:rsidRDefault="00077B05" w:rsidP="00440D7F">
            <w:pPr>
              <w:spacing w:beforeLines="50" w:before="120"/>
            </w:pPr>
            <w:r>
              <w:rPr>
                <w:rFonts w:hint="eastAsia"/>
              </w:rPr>
              <w:t>According to the discussion above, we provide the following proposal and text proposals on PRACH occasions of IAB node MT:</w:t>
            </w:r>
          </w:p>
          <w:p w14:paraId="2F4A7ADA" w14:textId="77777777" w:rsidR="00077B05" w:rsidRDefault="00077B05" w:rsidP="00077B05">
            <w:pPr>
              <w:pStyle w:val="Heading4"/>
              <w:spacing w:after="120"/>
              <w:ind w:lef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6.3.3.2</w:t>
            </w:r>
            <w:r>
              <w:rPr>
                <w:szCs w:val="24"/>
              </w:rPr>
              <w:tab/>
              <w:t>Mapping to physical resources</w:t>
            </w:r>
          </w:p>
          <w:p w14:paraId="5757C593" w14:textId="77777777" w:rsidR="00077B05" w:rsidRDefault="00077B05" w:rsidP="00077B05">
            <w:pPr>
              <w:keepNext/>
              <w:keepLines/>
              <w:spacing w:before="120" w:after="120"/>
              <w:ind w:left="1134" w:hanging="1134"/>
              <w:jc w:val="center"/>
              <w:outlineLvl w:val="1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&lt;Unchanged text is omitted&gt;</w:t>
            </w:r>
          </w:p>
          <w:p w14:paraId="5D438413" w14:textId="77777777" w:rsidR="00077B05" w:rsidRPr="00D6701D" w:rsidRDefault="00077B05" w:rsidP="00077B05">
            <w:pPr>
              <w:spacing w:before="120" w:after="120"/>
            </w:pPr>
            <w:r w:rsidRPr="00D6701D">
              <w:t>For the IAB-MT part of an IAB node, the following applies:</w:t>
            </w:r>
          </w:p>
          <w:p w14:paraId="022EA76B" w14:textId="77777777" w:rsidR="00077B05" w:rsidRPr="00D6701D" w:rsidRDefault="00077B05" w:rsidP="00077B05">
            <w:pPr>
              <w:pStyle w:val="B1"/>
              <w:spacing w:before="120" w:after="120"/>
            </w:pPr>
            <w:r w:rsidRPr="00D6701D">
              <w:t>-</w:t>
            </w:r>
            <w:r w:rsidRPr="00D6701D">
              <w:tab/>
              <w:t xml:space="preserve">if the higher-layer parameter </w:t>
            </w:r>
            <w:proofErr w:type="spellStart"/>
            <w:r w:rsidRPr="00D6701D">
              <w:rPr>
                <w:i/>
                <w:iCs/>
              </w:rPr>
              <w:t>prach-ConfigurationPeriocScaling</w:t>
            </w:r>
            <w:proofErr w:type="spellEnd"/>
            <w:r w:rsidRPr="00D6701D">
              <w:t xml:space="preserve"> is configured, the variable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Pr="00D6701D">
              <w:t xml:space="preserve"> used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SFN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nor/>
                </m:rPr>
                <m:t>mod</m:t>
              </m:r>
              <m:r>
                <w:rPr>
                  <w:rFonts w:ascii="Cambria Math" w:hAnsi="Cambria Math"/>
                </w:rPr>
                <m:t xml:space="preserve"> x=y</m:t>
              </m:r>
            </m:oMath>
            <w:r w:rsidRPr="00D6701D">
              <w:t xml:space="preserve"> of Tables 6.3.3.2-2 to 6.3.3.2-4 shall be replaced by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m:t>IAB</m:t>
                  </m:r>
                </m:sub>
              </m:sSub>
            </m:oMath>
            <w:r w:rsidRPr="00D6701D">
              <w:t xml:space="preserve"> , where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m:t>IAB</m:t>
                  </m:r>
                </m:sub>
              </m:sSub>
              <m:r>
                <w:rPr>
                  <w:rFonts w:ascii="Cambria Math" w:hAnsi="Cambria Math"/>
                </w:rPr>
                <m:t>=δx</m:t>
              </m:r>
            </m:oMath>
            <w:r w:rsidRPr="00D6701D">
              <w:t xml:space="preserve"> and </w:t>
            </w:r>
            <m:oMath>
              <m:r>
                <w:rPr>
                  <w:rFonts w:ascii="Cambria Math" w:hAnsi="Cambria Math"/>
                </w:rPr>
                <m:t>δ</m:t>
              </m:r>
            </m:oMath>
            <w:r w:rsidRPr="00D6701D">
              <w:t xml:space="preserve"> is given by the higher-layer parameter </w:t>
            </w:r>
            <w:proofErr w:type="spellStart"/>
            <w:r w:rsidRPr="00D6701D">
              <w:rPr>
                <w:i/>
                <w:iCs/>
              </w:rPr>
              <w:t>prach-ConfigurationPeriodScaling</w:t>
            </w:r>
            <w:proofErr w:type="spellEnd"/>
            <w:r w:rsidRPr="00D6701D">
              <w:t xml:space="preserve"> and the IAB node does not expect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m:t>IAB</m:t>
                  </m:r>
                </m:sub>
              </m:sSub>
            </m:oMath>
            <w:r w:rsidRPr="00D6701D">
              <w:t xml:space="preserve"> to be larger than 64;</w:t>
            </w:r>
          </w:p>
          <w:p w14:paraId="52D97788" w14:textId="77777777" w:rsidR="00077B05" w:rsidRPr="00D6701D" w:rsidRDefault="00077B05" w:rsidP="00077B05">
            <w:pPr>
              <w:pStyle w:val="B1"/>
              <w:spacing w:before="120" w:after="120"/>
            </w:pPr>
            <w:r w:rsidRPr="00D6701D">
              <w:t>-</w:t>
            </w:r>
            <w:r w:rsidRPr="00D6701D">
              <w:tab/>
              <w:t xml:space="preserve">if the higher-layer parameter </w:t>
            </w:r>
            <w:proofErr w:type="spellStart"/>
            <w:r w:rsidRPr="00D6701D">
              <w:rPr>
                <w:i/>
                <w:iCs/>
              </w:rPr>
              <w:t>prach-ConfigurationFrameOffset</w:t>
            </w:r>
            <w:proofErr w:type="spellEnd"/>
            <w:r w:rsidRPr="00D6701D">
              <w:t xml:space="preserve"> is configured, the variable </w:t>
            </w:r>
            <m:oMath>
              <m:r>
                <w:rPr>
                  <w:rFonts w:ascii="Cambria Math" w:hAnsi="Cambria Math"/>
                </w:rPr>
                <m:t>y</m:t>
              </m:r>
            </m:oMath>
            <w:r w:rsidRPr="00D6701D">
              <w:t xml:space="preserve"> used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SFN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nor/>
                </m:rPr>
                <m:t>mod</m:t>
              </m:r>
              <m:r>
                <w:rPr>
                  <w:rFonts w:ascii="Cambria Math" w:hAnsi="Cambria Math"/>
                </w:rPr>
                <m:t xml:space="preserve"> x=y</m:t>
              </m:r>
            </m:oMath>
            <w:r w:rsidRPr="00D6701D">
              <w:t xml:space="preserve"> of Tables 6.3.3.2-2 to 6.3.3.2-4 shall be replaced by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IAB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</w:rPr>
                <m:t xml:space="preserve"> mod </m:t>
              </m:r>
              <m:r>
                <w:rPr>
                  <w:rFonts w:ascii="Cambria Math" w:hAnsi="Cambria Math"/>
                </w:rPr>
                <m:t>x</m:t>
              </m:r>
            </m:oMath>
            <w:r w:rsidRPr="00D6701D">
              <w:t xml:space="preserve">  where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y</m:t>
              </m:r>
            </m:oMath>
            <w:r w:rsidRPr="00D6701D">
              <w:t xml:space="preserve"> is given by the higher-layer parameter </w:t>
            </w:r>
            <w:proofErr w:type="spellStart"/>
            <w:r w:rsidRPr="00D6701D">
              <w:rPr>
                <w:i/>
              </w:rPr>
              <w:t>prach-ConfigurationFrameOffset</w:t>
            </w:r>
            <w:proofErr w:type="spellEnd"/>
            <w:r w:rsidRPr="00D6701D">
              <w:t xml:space="preserve">, and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Pr="00D6701D">
              <w:t xml:space="preserve"> is the value used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SFN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nor/>
                </m:rPr>
                <m:t>mod</m:t>
              </m:r>
              <m:r>
                <w:rPr>
                  <w:rFonts w:ascii="Cambria Math" w:hAnsi="Cambria Math"/>
                </w:rPr>
                <m:t xml:space="preserve"> x=y</m:t>
              </m:r>
            </m:oMath>
            <w:r w:rsidRPr="00D6701D">
              <w:t>;</w:t>
            </w:r>
          </w:p>
          <w:p w14:paraId="7BCB7712" w14:textId="77777777" w:rsidR="00077B05" w:rsidRPr="00D6701D" w:rsidRDefault="00077B05" w:rsidP="00077B05">
            <w:pPr>
              <w:pStyle w:val="B1"/>
              <w:spacing w:before="120" w:after="120"/>
              <w:ind w:leftChars="169" w:left="514" w:hangingChars="88" w:hanging="176"/>
              <w:rPr>
                <w:color w:val="FF0000"/>
              </w:rPr>
            </w:pPr>
            <w:r w:rsidRPr="00D6701D">
              <w:t>-</w:t>
            </w:r>
            <w:r w:rsidRPr="00D6701D">
              <w:tab/>
              <w:t xml:space="preserve">if the higher-layer parameter </w:t>
            </w:r>
            <w:proofErr w:type="spellStart"/>
            <w:r w:rsidRPr="00D6701D">
              <w:rPr>
                <w:i/>
                <w:iCs/>
              </w:rPr>
              <w:t>prach-ConfigurationSOffset</w:t>
            </w:r>
            <w:proofErr w:type="spellEnd"/>
            <w:r w:rsidRPr="00D6701D">
              <w:t xml:space="preserve"> is configured, the subframe number </w:t>
            </w:r>
            <w:r w:rsidRPr="00D6701D">
              <w:rPr>
                <w:strike/>
                <w:color w:val="FF0000"/>
              </w:rPr>
              <w:t>in Tables 6.3.3.2-2 to 6.3.3.2-3</w:t>
            </w:r>
            <w:r w:rsidRPr="00D6701D">
              <w:t xml:space="preserve"> and the slot number </w:t>
            </w:r>
            <w:r w:rsidRPr="00D6701D">
              <w:rPr>
                <w:strike/>
                <w:color w:val="FF0000"/>
              </w:rPr>
              <w:t>in Table 6.3.3.2-4</w:t>
            </w:r>
            <w:r w:rsidRPr="00D6701D">
              <w:rPr>
                <w:color w:val="FF0000"/>
              </w:rPr>
              <w:t xml:space="preserve"> for PRACH time resources</w:t>
            </w:r>
            <w:r w:rsidRPr="00D6701D">
              <w:t xml:space="preserve"> shall be replaced by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</w:rPr>
                <m:t xml:space="preserve"> mod </m:t>
              </m:r>
              <m:r>
                <w:rPr>
                  <w:rFonts w:ascii="Cambria Math" w:hAnsi="Cambria Math"/>
                </w:rPr>
                <m:t>L</m:t>
              </m:r>
            </m:oMath>
            <w:r w:rsidRPr="00D6701D">
              <w:t xml:space="preserve">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trike/>
                      <w:color w:val="FF0000"/>
                    </w:rPr>
                    <m:t>n</m:t>
                  </m:r>
                </m:sub>
              </m:sSub>
            </m:oMath>
            <w:r w:rsidRPr="00D6701D">
              <w:rPr>
                <w:strike/>
                <w:color w:val="FF0000"/>
              </w:rPr>
              <w:t xml:space="preserve"> is the slot or subframe number,</w:t>
            </w:r>
            <w:r w:rsidRPr="00D6701D"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s∈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0,1,…,L-1</m:t>
                  </m:r>
                </m:e>
              </m:d>
            </m:oMath>
            <w:r w:rsidRPr="00D6701D">
              <w:t xml:space="preserve"> is given by the higher-layer parameter </w:t>
            </w:r>
            <w:proofErr w:type="spellStart"/>
            <w:r w:rsidRPr="00D6701D">
              <w:rPr>
                <w:i/>
              </w:rPr>
              <w:t>prach-ConfigurationSOffset</w:t>
            </w:r>
            <w:proofErr w:type="spellEnd"/>
            <w:r w:rsidRPr="00D6701D">
              <w:t xml:space="preserve">, and </w:t>
            </w:r>
            <m:oMath>
              <m:r>
                <w:rPr>
                  <w:rFonts w:ascii="Cambria Math" w:hAnsi="Cambria Math"/>
                  <w:strike/>
                  <w:color w:val="FF0000"/>
                </w:rPr>
                <m:t>L</m:t>
              </m:r>
            </m:oMath>
            <w:r w:rsidRPr="00D6701D">
              <w:rPr>
                <w:strike/>
                <w:color w:val="FF0000"/>
              </w:rPr>
              <w:t xml:space="preserve"> is the number of subframes in a frame in Tables 6.3.3.2-2 to 6.3.3.2-3 and the number of slots in a frame in Table 6.3.3.2-4.</w:t>
            </w:r>
          </w:p>
          <w:p w14:paraId="47A3D624" w14:textId="77777777" w:rsidR="00077B05" w:rsidRPr="00D6701D" w:rsidRDefault="00077B05" w:rsidP="00077B05">
            <w:pPr>
              <w:pStyle w:val="B1"/>
              <w:spacing w:before="120" w:after="120"/>
              <w:ind w:leftChars="302" w:left="780" w:hangingChars="88" w:hanging="176"/>
              <w:rPr>
                <w:color w:val="FF0000"/>
              </w:rPr>
            </w:pPr>
            <w:r w:rsidRPr="00D6701D">
              <w:rPr>
                <w:color w:val="FF0000"/>
              </w:rPr>
              <w:tab/>
              <w:t xml:space="preserve">- For subframe number determination,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</m:oMath>
            <w:r w:rsidRPr="00D6701D">
              <w:rPr>
                <w:color w:val="FF0000"/>
              </w:rPr>
              <w:t xml:space="preserve"> is the subframe number in Tables 6.3.3.2-2 to 6.3.3.2-3 and L equals to 10. </w:t>
            </w:r>
          </w:p>
          <w:p w14:paraId="735AEC6E" w14:textId="77777777" w:rsidR="00077B05" w:rsidRPr="00D6701D" w:rsidRDefault="00077B05" w:rsidP="00077B05">
            <w:pPr>
              <w:pStyle w:val="B1"/>
              <w:spacing w:before="120" w:after="120"/>
              <w:ind w:leftChars="302" w:left="780" w:hangingChars="88" w:hanging="176"/>
              <w:rPr>
                <w:color w:val="FF0000"/>
              </w:rPr>
            </w:pPr>
            <w:r w:rsidRPr="00D6701D">
              <w:rPr>
                <w:color w:val="FF0000"/>
              </w:rPr>
              <w:tab/>
              <w:t xml:space="preserve">- For slot number determination,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</m:oMath>
            <w:r w:rsidRPr="00D6701D">
              <w:rPr>
                <w:color w:val="FF0000"/>
              </w:rPr>
              <w:t xml:space="preserve"> is the slot number in Tables 6.3.3.2-4 and L equals to 40.</w:t>
            </w:r>
          </w:p>
          <w:p w14:paraId="022D3180" w14:textId="77777777" w:rsidR="00077B05" w:rsidRPr="00495360" w:rsidRDefault="00077B05" w:rsidP="00440D7F">
            <w:pPr>
              <w:spacing w:beforeLines="50" w:before="120"/>
              <w:rPr>
                <w:b/>
                <w:highlight w:val="green"/>
                <w:lang w:eastAsia="zh-CN"/>
              </w:rPr>
            </w:pPr>
          </w:p>
        </w:tc>
      </w:tr>
    </w:tbl>
    <w:p w14:paraId="50AD9753" w14:textId="77777777" w:rsidR="00C50ABA" w:rsidRDefault="00C50ABA" w:rsidP="009E1DB0"/>
    <w:sectPr w:rsidR="00C50ABA" w:rsidSect="009B2B8D">
      <w:headerReference w:type="even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95438" w14:textId="77777777" w:rsidR="00C04B0C" w:rsidRDefault="00C04B0C">
      <w:pPr>
        <w:spacing w:after="0"/>
      </w:pPr>
      <w:r>
        <w:separator/>
      </w:r>
    </w:p>
  </w:endnote>
  <w:endnote w:type="continuationSeparator" w:id="0">
    <w:p w14:paraId="085DACBC" w14:textId="77777777" w:rsidR="00C04B0C" w:rsidRDefault="00C04B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BBC55" w14:textId="77777777" w:rsidR="00C04B0C" w:rsidRDefault="00C04B0C">
      <w:pPr>
        <w:spacing w:after="0"/>
      </w:pPr>
      <w:r>
        <w:separator/>
      </w:r>
    </w:p>
  </w:footnote>
  <w:footnote w:type="continuationSeparator" w:id="0">
    <w:p w14:paraId="2BC20EAB" w14:textId="77777777" w:rsidR="00C04B0C" w:rsidRDefault="00C04B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FB9D8" w14:textId="77777777" w:rsidR="004B7D18" w:rsidRDefault="004B7D18">
    <w:r>
      <w:t xml:space="preserve">Page </w:t>
    </w:r>
    <w:r w:rsidR="009B2B8D">
      <w:fldChar w:fldCharType="begin"/>
    </w:r>
    <w:r>
      <w:instrText>PAGE</w:instrText>
    </w:r>
    <w:r w:rsidR="009B2B8D">
      <w:fldChar w:fldCharType="separate"/>
    </w:r>
    <w:r>
      <w:t>4</w:t>
    </w:r>
    <w:r w:rsidR="009B2B8D"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4441"/>
    <w:multiLevelType w:val="hybridMultilevel"/>
    <w:tmpl w:val="2C120F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B0D2E"/>
    <w:multiLevelType w:val="hybridMultilevel"/>
    <w:tmpl w:val="2C120F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A0073"/>
    <w:multiLevelType w:val="hybridMultilevel"/>
    <w:tmpl w:val="138663D0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E38"/>
    <w:multiLevelType w:val="hybridMultilevel"/>
    <w:tmpl w:val="89E0F76A"/>
    <w:lvl w:ilvl="0" w:tplc="6A7A23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9DB71BC"/>
    <w:multiLevelType w:val="hybridMultilevel"/>
    <w:tmpl w:val="A0767E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A25F0"/>
    <w:multiLevelType w:val="hybridMultilevel"/>
    <w:tmpl w:val="5DDE64C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71F7E"/>
    <w:multiLevelType w:val="hybridMultilevel"/>
    <w:tmpl w:val="DA545EC0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6E76CE1"/>
    <w:multiLevelType w:val="hybridMultilevel"/>
    <w:tmpl w:val="C100D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02575"/>
    <w:multiLevelType w:val="hybridMultilevel"/>
    <w:tmpl w:val="5A3E97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451D13"/>
    <w:multiLevelType w:val="hybridMultilevel"/>
    <w:tmpl w:val="4AC4D04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BFB5E55"/>
    <w:multiLevelType w:val="hybridMultilevel"/>
    <w:tmpl w:val="9196965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D2847"/>
    <w:multiLevelType w:val="hybridMultilevel"/>
    <w:tmpl w:val="C552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E3B44"/>
    <w:multiLevelType w:val="hybridMultilevel"/>
    <w:tmpl w:val="AF2CA98E"/>
    <w:lvl w:ilvl="0" w:tplc="24E26230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6696530"/>
    <w:multiLevelType w:val="hybridMultilevel"/>
    <w:tmpl w:val="5976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64388"/>
    <w:multiLevelType w:val="hybridMultilevel"/>
    <w:tmpl w:val="B210B7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E6433"/>
    <w:multiLevelType w:val="hybridMultilevel"/>
    <w:tmpl w:val="6E2E6A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4714D7"/>
    <w:multiLevelType w:val="hybridMultilevel"/>
    <w:tmpl w:val="80580FE4"/>
    <w:lvl w:ilvl="0" w:tplc="1A3CF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E3E16"/>
    <w:multiLevelType w:val="hybridMultilevel"/>
    <w:tmpl w:val="1A40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E2E2C"/>
    <w:multiLevelType w:val="hybridMultilevel"/>
    <w:tmpl w:val="1BF01848"/>
    <w:lvl w:ilvl="0" w:tplc="4010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54E85"/>
    <w:multiLevelType w:val="hybridMultilevel"/>
    <w:tmpl w:val="A924583C"/>
    <w:lvl w:ilvl="0" w:tplc="D79037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A1B1390"/>
    <w:multiLevelType w:val="hybridMultilevel"/>
    <w:tmpl w:val="826280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AB10DD"/>
    <w:multiLevelType w:val="hybridMultilevel"/>
    <w:tmpl w:val="3F700E6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DA22752"/>
    <w:multiLevelType w:val="hybridMultilevel"/>
    <w:tmpl w:val="38F0D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7A111E"/>
    <w:multiLevelType w:val="hybridMultilevel"/>
    <w:tmpl w:val="E4AAF6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14646D"/>
    <w:multiLevelType w:val="hybridMultilevel"/>
    <w:tmpl w:val="67C20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87520"/>
    <w:multiLevelType w:val="hybridMultilevel"/>
    <w:tmpl w:val="2DBE3F7C"/>
    <w:lvl w:ilvl="0" w:tplc="DE748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66142"/>
    <w:multiLevelType w:val="hybridMultilevel"/>
    <w:tmpl w:val="6B74DB92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3"/>
  </w:num>
  <w:num w:numId="4">
    <w:abstractNumId w:val="25"/>
  </w:num>
  <w:num w:numId="5">
    <w:abstractNumId w:val="17"/>
  </w:num>
  <w:num w:numId="6">
    <w:abstractNumId w:val="7"/>
  </w:num>
  <w:num w:numId="7">
    <w:abstractNumId w:val="13"/>
  </w:num>
  <w:num w:numId="8">
    <w:abstractNumId w:val="14"/>
  </w:num>
  <w:num w:numId="9">
    <w:abstractNumId w:val="9"/>
  </w:num>
  <w:num w:numId="10">
    <w:abstractNumId w:val="11"/>
  </w:num>
  <w:num w:numId="11">
    <w:abstractNumId w:val="6"/>
  </w:num>
  <w:num w:numId="12">
    <w:abstractNumId w:val="20"/>
  </w:num>
  <w:num w:numId="13">
    <w:abstractNumId w:val="23"/>
  </w:num>
  <w:num w:numId="14">
    <w:abstractNumId w:val="8"/>
  </w:num>
  <w:num w:numId="15">
    <w:abstractNumId w:val="22"/>
  </w:num>
  <w:num w:numId="16">
    <w:abstractNumId w:val="15"/>
  </w:num>
  <w:num w:numId="17">
    <w:abstractNumId w:val="18"/>
  </w:num>
  <w:num w:numId="18">
    <w:abstractNumId w:val="1"/>
  </w:num>
  <w:num w:numId="19">
    <w:abstractNumId w:val="26"/>
  </w:num>
  <w:num w:numId="20">
    <w:abstractNumId w:val="10"/>
  </w:num>
  <w:num w:numId="21">
    <w:abstractNumId w:val="16"/>
  </w:num>
  <w:num w:numId="22">
    <w:abstractNumId w:val="2"/>
  </w:num>
  <w:num w:numId="23">
    <w:abstractNumId w:val="5"/>
  </w:num>
  <w:num w:numId="24">
    <w:abstractNumId w:val="0"/>
  </w:num>
  <w:num w:numId="25">
    <w:abstractNumId w:val="4"/>
  </w:num>
  <w:num w:numId="26">
    <w:abstractNumId w:val="12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proofState w:spelling="clean"/>
  <w:attachedTemplate r:id="rId1"/>
  <w:linkStyle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DM1NbM0NLQwNDdV0lEKTi0uzszPAykwrAUAsJbp3ywAAAA="/>
  </w:docVars>
  <w:rsids>
    <w:rsidRoot w:val="00806EAC"/>
    <w:rsid w:val="00007B6D"/>
    <w:rsid w:val="00013C33"/>
    <w:rsid w:val="00023194"/>
    <w:rsid w:val="000351B1"/>
    <w:rsid w:val="00047275"/>
    <w:rsid w:val="000509FC"/>
    <w:rsid w:val="00053746"/>
    <w:rsid w:val="000557B8"/>
    <w:rsid w:val="000621C1"/>
    <w:rsid w:val="00077B05"/>
    <w:rsid w:val="00087C72"/>
    <w:rsid w:val="00093488"/>
    <w:rsid w:val="000952DC"/>
    <w:rsid w:val="000A4826"/>
    <w:rsid w:val="000B58B4"/>
    <w:rsid w:val="000B5BE2"/>
    <w:rsid w:val="000C1B14"/>
    <w:rsid w:val="000D1557"/>
    <w:rsid w:val="000D3889"/>
    <w:rsid w:val="000D3AEF"/>
    <w:rsid w:val="000D3EC1"/>
    <w:rsid w:val="000E0706"/>
    <w:rsid w:val="000E4EB4"/>
    <w:rsid w:val="000F65EE"/>
    <w:rsid w:val="001050AE"/>
    <w:rsid w:val="00106C9F"/>
    <w:rsid w:val="0011202B"/>
    <w:rsid w:val="00115503"/>
    <w:rsid w:val="0012597C"/>
    <w:rsid w:val="00131C46"/>
    <w:rsid w:val="00132FEA"/>
    <w:rsid w:val="00141606"/>
    <w:rsid w:val="001479C1"/>
    <w:rsid w:val="00152200"/>
    <w:rsid w:val="0016048E"/>
    <w:rsid w:val="001A0374"/>
    <w:rsid w:val="001A4207"/>
    <w:rsid w:val="001A5C73"/>
    <w:rsid w:val="001B1524"/>
    <w:rsid w:val="001B243F"/>
    <w:rsid w:val="001C5C5C"/>
    <w:rsid w:val="001D5617"/>
    <w:rsid w:val="001E0890"/>
    <w:rsid w:val="001E0CB7"/>
    <w:rsid w:val="001E3173"/>
    <w:rsid w:val="001E4714"/>
    <w:rsid w:val="001E6610"/>
    <w:rsid w:val="001E7ACC"/>
    <w:rsid w:val="00201C93"/>
    <w:rsid w:val="00202E98"/>
    <w:rsid w:val="002145BA"/>
    <w:rsid w:val="00215133"/>
    <w:rsid w:val="00217107"/>
    <w:rsid w:val="00217274"/>
    <w:rsid w:val="002208A7"/>
    <w:rsid w:val="00221B24"/>
    <w:rsid w:val="00222CF1"/>
    <w:rsid w:val="00225710"/>
    <w:rsid w:val="002349E6"/>
    <w:rsid w:val="00237B7F"/>
    <w:rsid w:val="0024577D"/>
    <w:rsid w:val="00255134"/>
    <w:rsid w:val="00257ED9"/>
    <w:rsid w:val="002665D7"/>
    <w:rsid w:val="00267B52"/>
    <w:rsid w:val="002706B5"/>
    <w:rsid w:val="00270D09"/>
    <w:rsid w:val="00271B52"/>
    <w:rsid w:val="002832C2"/>
    <w:rsid w:val="0028666A"/>
    <w:rsid w:val="00292489"/>
    <w:rsid w:val="0029339C"/>
    <w:rsid w:val="002A03A3"/>
    <w:rsid w:val="002A6F13"/>
    <w:rsid w:val="002B0017"/>
    <w:rsid w:val="002B4616"/>
    <w:rsid w:val="002B4EC6"/>
    <w:rsid w:val="002C53D8"/>
    <w:rsid w:val="002C5791"/>
    <w:rsid w:val="002C5858"/>
    <w:rsid w:val="002C70B3"/>
    <w:rsid w:val="002D1191"/>
    <w:rsid w:val="002D3CD9"/>
    <w:rsid w:val="002D444E"/>
    <w:rsid w:val="002D44EA"/>
    <w:rsid w:val="002D513C"/>
    <w:rsid w:val="002E0423"/>
    <w:rsid w:val="002E7E1E"/>
    <w:rsid w:val="00310FD8"/>
    <w:rsid w:val="00311061"/>
    <w:rsid w:val="00320A5A"/>
    <w:rsid w:val="00323274"/>
    <w:rsid w:val="00326E42"/>
    <w:rsid w:val="00351C6C"/>
    <w:rsid w:val="00354336"/>
    <w:rsid w:val="003568AC"/>
    <w:rsid w:val="00371351"/>
    <w:rsid w:val="00375F55"/>
    <w:rsid w:val="00383035"/>
    <w:rsid w:val="003917ED"/>
    <w:rsid w:val="00393A6B"/>
    <w:rsid w:val="00394956"/>
    <w:rsid w:val="003A10B6"/>
    <w:rsid w:val="003A33BD"/>
    <w:rsid w:val="003A6CBF"/>
    <w:rsid w:val="003A7171"/>
    <w:rsid w:val="003B3F72"/>
    <w:rsid w:val="003B6C1F"/>
    <w:rsid w:val="003B7ACF"/>
    <w:rsid w:val="003C129D"/>
    <w:rsid w:val="003E36C9"/>
    <w:rsid w:val="003F642D"/>
    <w:rsid w:val="003F77B9"/>
    <w:rsid w:val="003F7BA1"/>
    <w:rsid w:val="003F7F51"/>
    <w:rsid w:val="00402D46"/>
    <w:rsid w:val="00402E59"/>
    <w:rsid w:val="004101F5"/>
    <w:rsid w:val="0041035F"/>
    <w:rsid w:val="00417823"/>
    <w:rsid w:val="00422CFF"/>
    <w:rsid w:val="00424AC3"/>
    <w:rsid w:val="004301FF"/>
    <w:rsid w:val="00431888"/>
    <w:rsid w:val="0043366F"/>
    <w:rsid w:val="00440D7F"/>
    <w:rsid w:val="0044100D"/>
    <w:rsid w:val="00441789"/>
    <w:rsid w:val="00446E8A"/>
    <w:rsid w:val="0044799D"/>
    <w:rsid w:val="00451D9F"/>
    <w:rsid w:val="00454905"/>
    <w:rsid w:val="004713DD"/>
    <w:rsid w:val="004750C4"/>
    <w:rsid w:val="00477686"/>
    <w:rsid w:val="00485630"/>
    <w:rsid w:val="00496D28"/>
    <w:rsid w:val="004A239B"/>
    <w:rsid w:val="004B085E"/>
    <w:rsid w:val="004B21D8"/>
    <w:rsid w:val="004B2C8C"/>
    <w:rsid w:val="004B3650"/>
    <w:rsid w:val="004B3682"/>
    <w:rsid w:val="004B4705"/>
    <w:rsid w:val="004B6DEB"/>
    <w:rsid w:val="004B7D18"/>
    <w:rsid w:val="004C1E55"/>
    <w:rsid w:val="004D1871"/>
    <w:rsid w:val="004D1EBF"/>
    <w:rsid w:val="004D5882"/>
    <w:rsid w:val="004D67AA"/>
    <w:rsid w:val="004E20CD"/>
    <w:rsid w:val="004E5E6A"/>
    <w:rsid w:val="004E79F0"/>
    <w:rsid w:val="004F4239"/>
    <w:rsid w:val="004F51D1"/>
    <w:rsid w:val="00500536"/>
    <w:rsid w:val="00500C28"/>
    <w:rsid w:val="0050376D"/>
    <w:rsid w:val="005062E9"/>
    <w:rsid w:val="00511EAC"/>
    <w:rsid w:val="00523CDE"/>
    <w:rsid w:val="00532388"/>
    <w:rsid w:val="00532A09"/>
    <w:rsid w:val="00534608"/>
    <w:rsid w:val="00546D87"/>
    <w:rsid w:val="005506F0"/>
    <w:rsid w:val="00552F06"/>
    <w:rsid w:val="005539DD"/>
    <w:rsid w:val="00557397"/>
    <w:rsid w:val="005603E9"/>
    <w:rsid w:val="00560E90"/>
    <w:rsid w:val="005666E5"/>
    <w:rsid w:val="00581FD9"/>
    <w:rsid w:val="00586E86"/>
    <w:rsid w:val="005A2ED9"/>
    <w:rsid w:val="005A2F39"/>
    <w:rsid w:val="005A6C5B"/>
    <w:rsid w:val="005B1F0C"/>
    <w:rsid w:val="005B2FBA"/>
    <w:rsid w:val="005B486E"/>
    <w:rsid w:val="005B7ED7"/>
    <w:rsid w:val="005C2E29"/>
    <w:rsid w:val="005C56FA"/>
    <w:rsid w:val="005C7A37"/>
    <w:rsid w:val="005C7D1B"/>
    <w:rsid w:val="005D5E48"/>
    <w:rsid w:val="005D6344"/>
    <w:rsid w:val="005D789A"/>
    <w:rsid w:val="005D79ED"/>
    <w:rsid w:val="005E3769"/>
    <w:rsid w:val="005F0157"/>
    <w:rsid w:val="005F5FA1"/>
    <w:rsid w:val="00607ECC"/>
    <w:rsid w:val="0061252A"/>
    <w:rsid w:val="0062449B"/>
    <w:rsid w:val="00626721"/>
    <w:rsid w:val="00630470"/>
    <w:rsid w:val="00640853"/>
    <w:rsid w:val="00642E69"/>
    <w:rsid w:val="00645A16"/>
    <w:rsid w:val="00646729"/>
    <w:rsid w:val="006505D2"/>
    <w:rsid w:val="00652213"/>
    <w:rsid w:val="0066284A"/>
    <w:rsid w:val="00667D51"/>
    <w:rsid w:val="00681845"/>
    <w:rsid w:val="00682FB5"/>
    <w:rsid w:val="00691645"/>
    <w:rsid w:val="006A02C1"/>
    <w:rsid w:val="006A369A"/>
    <w:rsid w:val="006A3829"/>
    <w:rsid w:val="006A6664"/>
    <w:rsid w:val="006A7B67"/>
    <w:rsid w:val="006B22CD"/>
    <w:rsid w:val="006C47C0"/>
    <w:rsid w:val="006C493A"/>
    <w:rsid w:val="006C544C"/>
    <w:rsid w:val="006C5B54"/>
    <w:rsid w:val="006D1B64"/>
    <w:rsid w:val="006D2521"/>
    <w:rsid w:val="006D34A0"/>
    <w:rsid w:val="006E1BB1"/>
    <w:rsid w:val="006E3B16"/>
    <w:rsid w:val="006E75A3"/>
    <w:rsid w:val="00707542"/>
    <w:rsid w:val="00711724"/>
    <w:rsid w:val="007144BE"/>
    <w:rsid w:val="00716DF0"/>
    <w:rsid w:val="007223E6"/>
    <w:rsid w:val="00726DFD"/>
    <w:rsid w:val="00735296"/>
    <w:rsid w:val="007458D9"/>
    <w:rsid w:val="00752CF6"/>
    <w:rsid w:val="00756C5D"/>
    <w:rsid w:val="0076132C"/>
    <w:rsid w:val="00763F22"/>
    <w:rsid w:val="0076589E"/>
    <w:rsid w:val="00772A64"/>
    <w:rsid w:val="00773BE3"/>
    <w:rsid w:val="007874EB"/>
    <w:rsid w:val="00787B7C"/>
    <w:rsid w:val="00793FA3"/>
    <w:rsid w:val="00795F98"/>
    <w:rsid w:val="007B12BC"/>
    <w:rsid w:val="007B67B4"/>
    <w:rsid w:val="007B7674"/>
    <w:rsid w:val="007C3FAB"/>
    <w:rsid w:val="007D2605"/>
    <w:rsid w:val="007D4247"/>
    <w:rsid w:val="007D57E3"/>
    <w:rsid w:val="007D5EA6"/>
    <w:rsid w:val="007E010C"/>
    <w:rsid w:val="007F0DDB"/>
    <w:rsid w:val="0080235B"/>
    <w:rsid w:val="008051F8"/>
    <w:rsid w:val="00806EAC"/>
    <w:rsid w:val="008109D1"/>
    <w:rsid w:val="00821BB4"/>
    <w:rsid w:val="008254F8"/>
    <w:rsid w:val="008335D3"/>
    <w:rsid w:val="00835B69"/>
    <w:rsid w:val="0083766A"/>
    <w:rsid w:val="00846113"/>
    <w:rsid w:val="008524F2"/>
    <w:rsid w:val="00854702"/>
    <w:rsid w:val="00857943"/>
    <w:rsid w:val="00860A73"/>
    <w:rsid w:val="00862525"/>
    <w:rsid w:val="00865F74"/>
    <w:rsid w:val="00867537"/>
    <w:rsid w:val="00880F5D"/>
    <w:rsid w:val="00882068"/>
    <w:rsid w:val="0088470A"/>
    <w:rsid w:val="00895EEC"/>
    <w:rsid w:val="00896AC9"/>
    <w:rsid w:val="00897207"/>
    <w:rsid w:val="008A17F1"/>
    <w:rsid w:val="008A59E9"/>
    <w:rsid w:val="008A5E3F"/>
    <w:rsid w:val="008B1B06"/>
    <w:rsid w:val="008B5257"/>
    <w:rsid w:val="008B67D2"/>
    <w:rsid w:val="008C02B5"/>
    <w:rsid w:val="008C5331"/>
    <w:rsid w:val="008D37F0"/>
    <w:rsid w:val="008D629D"/>
    <w:rsid w:val="008E333E"/>
    <w:rsid w:val="008F2768"/>
    <w:rsid w:val="008F7101"/>
    <w:rsid w:val="008F7E90"/>
    <w:rsid w:val="00931310"/>
    <w:rsid w:val="0093611B"/>
    <w:rsid w:val="00942324"/>
    <w:rsid w:val="00942593"/>
    <w:rsid w:val="00944145"/>
    <w:rsid w:val="00945502"/>
    <w:rsid w:val="00947358"/>
    <w:rsid w:val="00950F6F"/>
    <w:rsid w:val="00951CAB"/>
    <w:rsid w:val="00955D88"/>
    <w:rsid w:val="009624DB"/>
    <w:rsid w:val="00963D7D"/>
    <w:rsid w:val="00971EDC"/>
    <w:rsid w:val="009739A5"/>
    <w:rsid w:val="00977181"/>
    <w:rsid w:val="00991F05"/>
    <w:rsid w:val="009963F2"/>
    <w:rsid w:val="009A0177"/>
    <w:rsid w:val="009A6469"/>
    <w:rsid w:val="009A76B8"/>
    <w:rsid w:val="009B2B8D"/>
    <w:rsid w:val="009B5DA9"/>
    <w:rsid w:val="009C6F34"/>
    <w:rsid w:val="009D01F4"/>
    <w:rsid w:val="009D3347"/>
    <w:rsid w:val="009D5D51"/>
    <w:rsid w:val="009E1DB0"/>
    <w:rsid w:val="009E2E2C"/>
    <w:rsid w:val="009F56C2"/>
    <w:rsid w:val="00A0267F"/>
    <w:rsid w:val="00A03A17"/>
    <w:rsid w:val="00A064C6"/>
    <w:rsid w:val="00A072E6"/>
    <w:rsid w:val="00A11C09"/>
    <w:rsid w:val="00A123EA"/>
    <w:rsid w:val="00A14D6C"/>
    <w:rsid w:val="00A159E4"/>
    <w:rsid w:val="00A20A0E"/>
    <w:rsid w:val="00A242C1"/>
    <w:rsid w:val="00A245F7"/>
    <w:rsid w:val="00A24C8E"/>
    <w:rsid w:val="00A26D08"/>
    <w:rsid w:val="00A31C9B"/>
    <w:rsid w:val="00A37176"/>
    <w:rsid w:val="00A42AF8"/>
    <w:rsid w:val="00A43992"/>
    <w:rsid w:val="00A472B8"/>
    <w:rsid w:val="00A54DB6"/>
    <w:rsid w:val="00A55893"/>
    <w:rsid w:val="00A56066"/>
    <w:rsid w:val="00A62116"/>
    <w:rsid w:val="00A678AF"/>
    <w:rsid w:val="00A67D6C"/>
    <w:rsid w:val="00A70187"/>
    <w:rsid w:val="00A76409"/>
    <w:rsid w:val="00A870E4"/>
    <w:rsid w:val="00A873C4"/>
    <w:rsid w:val="00A95747"/>
    <w:rsid w:val="00A9671D"/>
    <w:rsid w:val="00A969B5"/>
    <w:rsid w:val="00AA1745"/>
    <w:rsid w:val="00AA1ADD"/>
    <w:rsid w:val="00AA1F6B"/>
    <w:rsid w:val="00AA42A1"/>
    <w:rsid w:val="00AA76C2"/>
    <w:rsid w:val="00AB1C08"/>
    <w:rsid w:val="00AC39D2"/>
    <w:rsid w:val="00AD2177"/>
    <w:rsid w:val="00AE1CB2"/>
    <w:rsid w:val="00AE1D96"/>
    <w:rsid w:val="00AE299D"/>
    <w:rsid w:val="00AE2D98"/>
    <w:rsid w:val="00AE30E8"/>
    <w:rsid w:val="00AE7BAA"/>
    <w:rsid w:val="00AF0340"/>
    <w:rsid w:val="00AF202E"/>
    <w:rsid w:val="00AF2622"/>
    <w:rsid w:val="00B03A61"/>
    <w:rsid w:val="00B04F23"/>
    <w:rsid w:val="00B107DA"/>
    <w:rsid w:val="00B11B8D"/>
    <w:rsid w:val="00B171E8"/>
    <w:rsid w:val="00B17257"/>
    <w:rsid w:val="00B221C3"/>
    <w:rsid w:val="00B30F80"/>
    <w:rsid w:val="00B322AC"/>
    <w:rsid w:val="00B335EB"/>
    <w:rsid w:val="00B34B11"/>
    <w:rsid w:val="00B45C1C"/>
    <w:rsid w:val="00B573B1"/>
    <w:rsid w:val="00B63950"/>
    <w:rsid w:val="00B71019"/>
    <w:rsid w:val="00B76FA0"/>
    <w:rsid w:val="00B85D0A"/>
    <w:rsid w:val="00B978CA"/>
    <w:rsid w:val="00BA3075"/>
    <w:rsid w:val="00BA3F68"/>
    <w:rsid w:val="00BA7C88"/>
    <w:rsid w:val="00BB53E6"/>
    <w:rsid w:val="00BB5CF3"/>
    <w:rsid w:val="00BC512C"/>
    <w:rsid w:val="00BC609E"/>
    <w:rsid w:val="00BD62C8"/>
    <w:rsid w:val="00BE39D0"/>
    <w:rsid w:val="00BF1D96"/>
    <w:rsid w:val="00BF4513"/>
    <w:rsid w:val="00BF52A9"/>
    <w:rsid w:val="00C03071"/>
    <w:rsid w:val="00C04B0C"/>
    <w:rsid w:val="00C14192"/>
    <w:rsid w:val="00C149EE"/>
    <w:rsid w:val="00C1558F"/>
    <w:rsid w:val="00C15809"/>
    <w:rsid w:val="00C229D6"/>
    <w:rsid w:val="00C251DE"/>
    <w:rsid w:val="00C3686F"/>
    <w:rsid w:val="00C420DC"/>
    <w:rsid w:val="00C4323D"/>
    <w:rsid w:val="00C476A7"/>
    <w:rsid w:val="00C50A14"/>
    <w:rsid w:val="00C50ABA"/>
    <w:rsid w:val="00C671F1"/>
    <w:rsid w:val="00C6778E"/>
    <w:rsid w:val="00C70152"/>
    <w:rsid w:val="00C72807"/>
    <w:rsid w:val="00C776A0"/>
    <w:rsid w:val="00C80FA2"/>
    <w:rsid w:val="00C81993"/>
    <w:rsid w:val="00C851E9"/>
    <w:rsid w:val="00C85CD0"/>
    <w:rsid w:val="00C86B2A"/>
    <w:rsid w:val="00C96332"/>
    <w:rsid w:val="00CA142A"/>
    <w:rsid w:val="00CA6DCA"/>
    <w:rsid w:val="00CB0267"/>
    <w:rsid w:val="00CD131B"/>
    <w:rsid w:val="00CD47B0"/>
    <w:rsid w:val="00CE0EAD"/>
    <w:rsid w:val="00CE27ED"/>
    <w:rsid w:val="00CE2DFE"/>
    <w:rsid w:val="00D04234"/>
    <w:rsid w:val="00D054D3"/>
    <w:rsid w:val="00D14BA0"/>
    <w:rsid w:val="00D25A16"/>
    <w:rsid w:val="00D27F7B"/>
    <w:rsid w:val="00D37BAC"/>
    <w:rsid w:val="00D44127"/>
    <w:rsid w:val="00D63E7A"/>
    <w:rsid w:val="00D8531F"/>
    <w:rsid w:val="00D859CD"/>
    <w:rsid w:val="00D95372"/>
    <w:rsid w:val="00D96C35"/>
    <w:rsid w:val="00DA0D36"/>
    <w:rsid w:val="00DA2408"/>
    <w:rsid w:val="00DB0E92"/>
    <w:rsid w:val="00DB48E5"/>
    <w:rsid w:val="00DB57D5"/>
    <w:rsid w:val="00DC100C"/>
    <w:rsid w:val="00DC14E0"/>
    <w:rsid w:val="00DD09D5"/>
    <w:rsid w:val="00DE0255"/>
    <w:rsid w:val="00DE026F"/>
    <w:rsid w:val="00DE2C70"/>
    <w:rsid w:val="00DF495D"/>
    <w:rsid w:val="00E04996"/>
    <w:rsid w:val="00E07575"/>
    <w:rsid w:val="00E0773F"/>
    <w:rsid w:val="00E15080"/>
    <w:rsid w:val="00E155F9"/>
    <w:rsid w:val="00E1628F"/>
    <w:rsid w:val="00E23BF5"/>
    <w:rsid w:val="00E3795C"/>
    <w:rsid w:val="00E37C3C"/>
    <w:rsid w:val="00E43DA4"/>
    <w:rsid w:val="00E46961"/>
    <w:rsid w:val="00E5606D"/>
    <w:rsid w:val="00E561BF"/>
    <w:rsid w:val="00E57DFD"/>
    <w:rsid w:val="00E667CC"/>
    <w:rsid w:val="00E67373"/>
    <w:rsid w:val="00E676C3"/>
    <w:rsid w:val="00E757D7"/>
    <w:rsid w:val="00E76615"/>
    <w:rsid w:val="00E8137B"/>
    <w:rsid w:val="00E861CA"/>
    <w:rsid w:val="00E866E7"/>
    <w:rsid w:val="00EA0CB5"/>
    <w:rsid w:val="00EA185B"/>
    <w:rsid w:val="00EA7E0D"/>
    <w:rsid w:val="00EB0575"/>
    <w:rsid w:val="00EB3300"/>
    <w:rsid w:val="00EB632D"/>
    <w:rsid w:val="00EC15DC"/>
    <w:rsid w:val="00EC2508"/>
    <w:rsid w:val="00EC6C54"/>
    <w:rsid w:val="00ED0484"/>
    <w:rsid w:val="00ED2B30"/>
    <w:rsid w:val="00EE270B"/>
    <w:rsid w:val="00EF25DE"/>
    <w:rsid w:val="00EF3C3B"/>
    <w:rsid w:val="00F001F4"/>
    <w:rsid w:val="00F022B7"/>
    <w:rsid w:val="00F12427"/>
    <w:rsid w:val="00F12DD4"/>
    <w:rsid w:val="00F250E7"/>
    <w:rsid w:val="00F26BA6"/>
    <w:rsid w:val="00F30A86"/>
    <w:rsid w:val="00F33CF5"/>
    <w:rsid w:val="00F36C4E"/>
    <w:rsid w:val="00F410D4"/>
    <w:rsid w:val="00F4475B"/>
    <w:rsid w:val="00F51896"/>
    <w:rsid w:val="00F5375E"/>
    <w:rsid w:val="00F55CC3"/>
    <w:rsid w:val="00F618CC"/>
    <w:rsid w:val="00F63BBE"/>
    <w:rsid w:val="00F655C3"/>
    <w:rsid w:val="00F747AD"/>
    <w:rsid w:val="00F801B5"/>
    <w:rsid w:val="00F861BC"/>
    <w:rsid w:val="00F90115"/>
    <w:rsid w:val="00FA3CDF"/>
    <w:rsid w:val="00FB3159"/>
    <w:rsid w:val="00FB5F2F"/>
    <w:rsid w:val="00FC35C7"/>
    <w:rsid w:val="00FC4667"/>
    <w:rsid w:val="00FD4C37"/>
    <w:rsid w:val="00FD69B5"/>
    <w:rsid w:val="00FE6B7F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D18D0C"/>
  <w15:docId w15:val="{81EDF046-D397-4081-8ED8-EECD21F1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0FA2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qFormat/>
    <w:rsid w:val="00C80FA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C80FA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C80FA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C80FA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C80FA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C80FA2"/>
    <w:pPr>
      <w:outlineLvl w:val="5"/>
    </w:pPr>
  </w:style>
  <w:style w:type="paragraph" w:styleId="Heading7">
    <w:name w:val="heading 7"/>
    <w:basedOn w:val="H6"/>
    <w:next w:val="Normal"/>
    <w:qFormat/>
    <w:rsid w:val="00C80FA2"/>
    <w:pPr>
      <w:outlineLvl w:val="6"/>
    </w:pPr>
  </w:style>
  <w:style w:type="paragraph" w:styleId="Heading8">
    <w:name w:val="heading 8"/>
    <w:basedOn w:val="Heading1"/>
    <w:next w:val="Normal"/>
    <w:qFormat/>
    <w:rsid w:val="00C80FA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80FA2"/>
    <w:pPr>
      <w:outlineLvl w:val="8"/>
    </w:pPr>
  </w:style>
  <w:style w:type="character" w:default="1" w:styleId="DefaultParagraphFont">
    <w:name w:val="Default Paragraph Font"/>
    <w:semiHidden/>
    <w:rsid w:val="00C80FA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80FA2"/>
  </w:style>
  <w:style w:type="paragraph" w:styleId="TOC8">
    <w:name w:val="toc 8"/>
    <w:basedOn w:val="TOC1"/>
    <w:semiHidden/>
    <w:rsid w:val="00C80FA2"/>
    <w:pPr>
      <w:spacing w:before="180"/>
      <w:ind w:left="2693" w:hanging="2693"/>
    </w:pPr>
    <w:rPr>
      <w:b/>
    </w:rPr>
  </w:style>
  <w:style w:type="paragraph" w:styleId="TOC1">
    <w:name w:val="toc 1"/>
    <w:semiHidden/>
    <w:rsid w:val="00C80FA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C80FA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C80FA2"/>
    <w:pPr>
      <w:ind w:left="1701" w:hanging="1701"/>
    </w:pPr>
  </w:style>
  <w:style w:type="paragraph" w:styleId="TOC4">
    <w:name w:val="toc 4"/>
    <w:basedOn w:val="TOC3"/>
    <w:semiHidden/>
    <w:rsid w:val="00C80FA2"/>
    <w:pPr>
      <w:ind w:left="1418" w:hanging="1418"/>
    </w:pPr>
  </w:style>
  <w:style w:type="paragraph" w:styleId="TOC3">
    <w:name w:val="toc 3"/>
    <w:basedOn w:val="TOC2"/>
    <w:semiHidden/>
    <w:rsid w:val="00C80FA2"/>
    <w:pPr>
      <w:ind w:left="1134" w:hanging="1134"/>
    </w:pPr>
  </w:style>
  <w:style w:type="paragraph" w:styleId="TOC2">
    <w:name w:val="toc 2"/>
    <w:basedOn w:val="TOC1"/>
    <w:semiHidden/>
    <w:rsid w:val="00C80FA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80FA2"/>
    <w:pPr>
      <w:ind w:left="284"/>
    </w:pPr>
  </w:style>
  <w:style w:type="paragraph" w:styleId="Index1">
    <w:name w:val="index 1"/>
    <w:basedOn w:val="Normal"/>
    <w:semiHidden/>
    <w:rsid w:val="00C80FA2"/>
    <w:pPr>
      <w:keepLines/>
      <w:spacing w:after="0"/>
    </w:pPr>
  </w:style>
  <w:style w:type="paragraph" w:customStyle="1" w:styleId="ZH">
    <w:name w:val="ZH"/>
    <w:rsid w:val="00C80FA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C80FA2"/>
    <w:pPr>
      <w:outlineLvl w:val="9"/>
    </w:pPr>
  </w:style>
  <w:style w:type="paragraph" w:styleId="ListNumber2">
    <w:name w:val="List Number 2"/>
    <w:basedOn w:val="ListNumber"/>
    <w:semiHidden/>
    <w:rsid w:val="00C80FA2"/>
    <w:pPr>
      <w:ind w:left="851"/>
    </w:pPr>
  </w:style>
  <w:style w:type="paragraph" w:styleId="Header">
    <w:name w:val="header"/>
    <w:semiHidden/>
    <w:rsid w:val="00C80FA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styleId="FootnoteReference">
    <w:name w:val="footnote reference"/>
    <w:basedOn w:val="DefaultParagraphFont"/>
    <w:semiHidden/>
    <w:rsid w:val="00C80FA2"/>
    <w:rPr>
      <w:b/>
      <w:position w:val="6"/>
      <w:sz w:val="16"/>
    </w:rPr>
  </w:style>
  <w:style w:type="paragraph" w:styleId="FootnoteText">
    <w:name w:val="footnote text"/>
    <w:basedOn w:val="Normal"/>
    <w:semiHidden/>
    <w:rsid w:val="00C80FA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C80FA2"/>
    <w:rPr>
      <w:b/>
    </w:rPr>
  </w:style>
  <w:style w:type="paragraph" w:customStyle="1" w:styleId="TAC">
    <w:name w:val="TAC"/>
    <w:basedOn w:val="TAL"/>
    <w:rsid w:val="00C80FA2"/>
    <w:pPr>
      <w:jc w:val="center"/>
    </w:pPr>
  </w:style>
  <w:style w:type="paragraph" w:customStyle="1" w:styleId="TF">
    <w:name w:val="TF"/>
    <w:basedOn w:val="TH"/>
    <w:rsid w:val="00C80FA2"/>
    <w:pPr>
      <w:keepNext w:val="0"/>
      <w:spacing w:before="0" w:after="240"/>
    </w:pPr>
  </w:style>
  <w:style w:type="paragraph" w:customStyle="1" w:styleId="NO">
    <w:name w:val="NO"/>
    <w:basedOn w:val="Normal"/>
    <w:rsid w:val="00C80FA2"/>
    <w:pPr>
      <w:keepLines/>
      <w:ind w:left="1135" w:hanging="851"/>
    </w:pPr>
  </w:style>
  <w:style w:type="paragraph" w:styleId="TOC9">
    <w:name w:val="toc 9"/>
    <w:basedOn w:val="TOC8"/>
    <w:semiHidden/>
    <w:rsid w:val="00C80FA2"/>
    <w:pPr>
      <w:ind w:left="1418" w:hanging="1418"/>
    </w:pPr>
  </w:style>
  <w:style w:type="paragraph" w:customStyle="1" w:styleId="EX">
    <w:name w:val="EX"/>
    <w:basedOn w:val="Normal"/>
    <w:rsid w:val="00C80FA2"/>
    <w:pPr>
      <w:keepLines/>
      <w:ind w:left="1702" w:hanging="1418"/>
    </w:pPr>
  </w:style>
  <w:style w:type="paragraph" w:customStyle="1" w:styleId="FP">
    <w:name w:val="FP"/>
    <w:basedOn w:val="Normal"/>
    <w:rsid w:val="00C80FA2"/>
    <w:pPr>
      <w:spacing w:after="0"/>
    </w:pPr>
  </w:style>
  <w:style w:type="paragraph" w:customStyle="1" w:styleId="LD">
    <w:name w:val="LD"/>
    <w:rsid w:val="00C80FA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C80FA2"/>
    <w:pPr>
      <w:spacing w:after="0"/>
    </w:pPr>
  </w:style>
  <w:style w:type="paragraph" w:customStyle="1" w:styleId="EW">
    <w:name w:val="EW"/>
    <w:basedOn w:val="EX"/>
    <w:rsid w:val="00C80FA2"/>
    <w:pPr>
      <w:spacing w:after="0"/>
    </w:pPr>
  </w:style>
  <w:style w:type="paragraph" w:styleId="TOC6">
    <w:name w:val="toc 6"/>
    <w:basedOn w:val="TOC5"/>
    <w:next w:val="Normal"/>
    <w:semiHidden/>
    <w:rsid w:val="00C80FA2"/>
    <w:pPr>
      <w:ind w:left="1985" w:hanging="1985"/>
    </w:pPr>
  </w:style>
  <w:style w:type="paragraph" w:styleId="TOC7">
    <w:name w:val="toc 7"/>
    <w:basedOn w:val="TOC6"/>
    <w:next w:val="Normal"/>
    <w:semiHidden/>
    <w:rsid w:val="00C80FA2"/>
    <w:pPr>
      <w:ind w:left="2268" w:hanging="2268"/>
    </w:pPr>
  </w:style>
  <w:style w:type="paragraph" w:styleId="ListBullet2">
    <w:name w:val="List Bullet 2"/>
    <w:basedOn w:val="ListBullet"/>
    <w:semiHidden/>
    <w:rsid w:val="00C80FA2"/>
    <w:pPr>
      <w:ind w:left="851"/>
    </w:pPr>
  </w:style>
  <w:style w:type="paragraph" w:styleId="ListBullet3">
    <w:name w:val="List Bullet 3"/>
    <w:basedOn w:val="ListBullet2"/>
    <w:semiHidden/>
    <w:rsid w:val="00C80FA2"/>
    <w:pPr>
      <w:ind w:left="1135"/>
    </w:pPr>
  </w:style>
  <w:style w:type="paragraph" w:styleId="ListNumber">
    <w:name w:val="List Number"/>
    <w:basedOn w:val="List"/>
    <w:semiHidden/>
    <w:rsid w:val="00C80FA2"/>
  </w:style>
  <w:style w:type="paragraph" w:customStyle="1" w:styleId="EQ">
    <w:name w:val="EQ"/>
    <w:basedOn w:val="Normal"/>
    <w:next w:val="Normal"/>
    <w:rsid w:val="00C80FA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80FA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80FA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80FA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C80FA2"/>
    <w:pPr>
      <w:jc w:val="right"/>
    </w:pPr>
  </w:style>
  <w:style w:type="paragraph" w:customStyle="1" w:styleId="H6">
    <w:name w:val="H6"/>
    <w:basedOn w:val="Heading5"/>
    <w:next w:val="Normal"/>
    <w:rsid w:val="00C80FA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80FA2"/>
    <w:pPr>
      <w:ind w:left="851" w:hanging="851"/>
    </w:pPr>
  </w:style>
  <w:style w:type="paragraph" w:customStyle="1" w:styleId="TAL">
    <w:name w:val="TAL"/>
    <w:basedOn w:val="Normal"/>
    <w:rsid w:val="00C80FA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80FA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C80FA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C80FA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C80FA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C80FA2"/>
    <w:pPr>
      <w:framePr w:wrap="notBeside" w:y="16161"/>
    </w:pPr>
  </w:style>
  <w:style w:type="character" w:customStyle="1" w:styleId="ZGSM">
    <w:name w:val="ZGSM"/>
    <w:rsid w:val="00C80FA2"/>
  </w:style>
  <w:style w:type="paragraph" w:styleId="List2">
    <w:name w:val="List 2"/>
    <w:basedOn w:val="List"/>
    <w:semiHidden/>
    <w:rsid w:val="00C80FA2"/>
    <w:pPr>
      <w:ind w:left="851"/>
    </w:pPr>
  </w:style>
  <w:style w:type="paragraph" w:customStyle="1" w:styleId="ZG">
    <w:name w:val="ZG"/>
    <w:rsid w:val="00C80FA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C80FA2"/>
    <w:pPr>
      <w:ind w:left="1135"/>
    </w:pPr>
  </w:style>
  <w:style w:type="paragraph" w:styleId="List4">
    <w:name w:val="List 4"/>
    <w:basedOn w:val="List3"/>
    <w:semiHidden/>
    <w:rsid w:val="00C80FA2"/>
    <w:pPr>
      <w:ind w:left="1418"/>
    </w:pPr>
  </w:style>
  <w:style w:type="paragraph" w:styleId="List5">
    <w:name w:val="List 5"/>
    <w:basedOn w:val="List4"/>
    <w:semiHidden/>
    <w:rsid w:val="00C80FA2"/>
    <w:pPr>
      <w:ind w:left="1702"/>
    </w:pPr>
  </w:style>
  <w:style w:type="paragraph" w:customStyle="1" w:styleId="EditorsNote">
    <w:name w:val="Editor's Note"/>
    <w:basedOn w:val="NO"/>
    <w:rsid w:val="00C80FA2"/>
    <w:rPr>
      <w:color w:val="FF0000"/>
    </w:rPr>
  </w:style>
  <w:style w:type="paragraph" w:styleId="List">
    <w:name w:val="List"/>
    <w:basedOn w:val="Normal"/>
    <w:semiHidden/>
    <w:rsid w:val="00C80FA2"/>
    <w:pPr>
      <w:ind w:left="568" w:hanging="284"/>
    </w:pPr>
  </w:style>
  <w:style w:type="paragraph" w:styleId="ListBullet">
    <w:name w:val="List Bullet"/>
    <w:basedOn w:val="List"/>
    <w:semiHidden/>
    <w:rsid w:val="00C80FA2"/>
  </w:style>
  <w:style w:type="paragraph" w:styleId="ListBullet4">
    <w:name w:val="List Bullet 4"/>
    <w:basedOn w:val="ListBullet3"/>
    <w:semiHidden/>
    <w:rsid w:val="00C80FA2"/>
    <w:pPr>
      <w:ind w:left="1418"/>
    </w:pPr>
  </w:style>
  <w:style w:type="paragraph" w:styleId="ListBullet5">
    <w:name w:val="List Bullet 5"/>
    <w:basedOn w:val="ListBullet4"/>
    <w:semiHidden/>
    <w:rsid w:val="00C80FA2"/>
    <w:pPr>
      <w:ind w:left="1702"/>
    </w:pPr>
  </w:style>
  <w:style w:type="paragraph" w:customStyle="1" w:styleId="B1">
    <w:name w:val="B1"/>
    <w:basedOn w:val="List"/>
    <w:link w:val="B10"/>
    <w:uiPriority w:val="99"/>
    <w:rsid w:val="00C80FA2"/>
  </w:style>
  <w:style w:type="paragraph" w:customStyle="1" w:styleId="B2">
    <w:name w:val="B2"/>
    <w:basedOn w:val="List2"/>
    <w:rsid w:val="00C80FA2"/>
  </w:style>
  <w:style w:type="paragraph" w:customStyle="1" w:styleId="B3">
    <w:name w:val="B3"/>
    <w:basedOn w:val="List3"/>
    <w:rsid w:val="00C80FA2"/>
  </w:style>
  <w:style w:type="paragraph" w:customStyle="1" w:styleId="B4">
    <w:name w:val="B4"/>
    <w:basedOn w:val="List4"/>
    <w:rsid w:val="00C80FA2"/>
  </w:style>
  <w:style w:type="paragraph" w:customStyle="1" w:styleId="B5">
    <w:name w:val="B5"/>
    <w:basedOn w:val="List5"/>
    <w:rsid w:val="00C80FA2"/>
  </w:style>
  <w:style w:type="paragraph" w:styleId="Footer">
    <w:name w:val="footer"/>
    <w:basedOn w:val="Header"/>
    <w:semiHidden/>
    <w:rsid w:val="00C80FA2"/>
    <w:pPr>
      <w:jc w:val="center"/>
    </w:pPr>
    <w:rPr>
      <w:i/>
    </w:rPr>
  </w:style>
  <w:style w:type="paragraph" w:customStyle="1" w:styleId="ZTD">
    <w:name w:val="ZTD"/>
    <w:basedOn w:val="ZB"/>
    <w:rsid w:val="00C80FA2"/>
    <w:pPr>
      <w:framePr w:hRule="auto" w:wrap="notBeside" w:y="852"/>
    </w:pPr>
    <w:rPr>
      <w:i w:val="0"/>
      <w:sz w:val="40"/>
    </w:rPr>
  </w:style>
  <w:style w:type="character" w:styleId="Strong">
    <w:name w:val="Strong"/>
    <w:uiPriority w:val="22"/>
    <w:qFormat/>
    <w:rsid w:val="00806EAC"/>
    <w:rPr>
      <w:b/>
      <w:bCs/>
    </w:rPr>
  </w:style>
  <w:style w:type="character" w:styleId="BookTitle">
    <w:name w:val="Book Title"/>
    <w:basedOn w:val="DefaultParagraphFont"/>
    <w:uiPriority w:val="33"/>
    <w:qFormat/>
    <w:rsid w:val="00806EAC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806EAC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806EAC"/>
    <w:rPr>
      <w:b/>
      <w:bCs/>
      <w:smallCaps/>
      <w:color w:val="4472C4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2B461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61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616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B461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977181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4F4239"/>
    <w:rPr>
      <w:i/>
      <w:iCs/>
      <w:color w:val="4472C4" w:themeColor="accent1"/>
    </w:rPr>
  </w:style>
  <w:style w:type="paragraph" w:styleId="ListParagraph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2349E6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7D57E3"/>
    <w:rPr>
      <w:rFonts w:ascii="Times New Roman" w:hAnsi="Times New Roman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8051F8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6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C9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D0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link w:val="B1"/>
    <w:uiPriority w:val="99"/>
    <w:qFormat/>
    <w:locked/>
    <w:rsid w:val="00C50ABA"/>
    <w:rPr>
      <w:rFonts w:ascii="Times New Roman" w:eastAsia="Times New Roman" w:hAnsi="Times New Roman"/>
      <w:lang w:val="en-GB"/>
    </w:rPr>
  </w:style>
  <w:style w:type="character" w:customStyle="1" w:styleId="colour">
    <w:name w:val="colour"/>
    <w:basedOn w:val="DefaultParagraphFont"/>
    <w:rsid w:val="00A76409"/>
  </w:style>
  <w:style w:type="character" w:styleId="CommentReference">
    <w:name w:val="annotation reference"/>
    <w:basedOn w:val="DefaultParagraphFont"/>
    <w:uiPriority w:val="99"/>
    <w:semiHidden/>
    <w:unhideWhenUsed/>
    <w:rsid w:val="005D7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9E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9ED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9ED"/>
    <w:rPr>
      <w:rFonts w:ascii="Times New Roman" w:hAnsi="Times New Roman"/>
      <w:b/>
      <w:bCs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D7F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D7F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\doc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19788-223A-49F1-A755-905AC155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4</Pages>
  <Words>1308</Words>
  <Characters>7457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ETSI stylesheet (v.7.0)</vt:lpstr>
      <vt:lpstr>ETSI stylesheet (v.7.0)</vt:lpstr>
    </vt:vector>
  </TitlesOfParts>
  <Company>ETSI Sophia Antipolis</Company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Luca Blessent</dc:creator>
  <cp:keywords>ESA, style sheet, Winword</cp:keywords>
  <dc:description/>
  <cp:lastModifiedBy>Luca Blessent</cp:lastModifiedBy>
  <cp:revision>7</cp:revision>
  <cp:lastPrinted>1900-01-01T06:00:00Z</cp:lastPrinted>
  <dcterms:created xsi:type="dcterms:W3CDTF">2020-04-17T14:33:00Z</dcterms:created>
  <dcterms:modified xsi:type="dcterms:W3CDTF">2020-04-17T14:44:00Z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(3)5qG4KzzBGU0OBt3zvfiN8Ke9c8iKkYqLIRhpobgZRQlOKpl55jN5ZrVcIWkaxvZkqCxBO3k4
tXLTaLKeT56klwf+Ht/+iytOSEP6/pBBXc38Li7YOkMgXy2iqrW/Yl4PNRh4h+Tx/K8eNXAG
I0D1a503c2OH8MFED0dM4s5T3XRjRwLGFScACDnZr4plYDoQasp+/MdWjbLFAED893XWO2+Y
lRP2qfFdCAiGS5Ock1</vt:lpwstr>
  </property>
  <property fmtid="{D5CDD505-2E9C-101B-9397-08002B2CF9AE}" pid="3" name="_2015_ms_pID_7253431">
    <vt:lpwstr>B2iyv69G2dacadY70cfD3VFAJMdYTqKaIgfSKhecsR9XpMvoSorM1N
Vkx0DWTKUMHEROnLsUlpN+U9l388dM9kENd4g12KkpER2IZ0O0ywIZ+kUpkKOnxIafsHxg6y
yZ7DnHqe+ege1WGisZB/W3DzjjVSLN+82bPgXKbH5Gw+/ACfbeVh4TCuV+cJx2efaGMd/x3d
XEUfe8osZTkzIgaTVlxbSSG4Y6aTi1JfyUsZ</vt:lpwstr>
  </property>
  <property fmtid="{D5CDD505-2E9C-101B-9397-08002B2CF9AE}" pid="4" name="_2015_ms_pID_7253432">
    <vt:lpwstr>og==</vt:lpwstr>
  </property>
</Properties>
</file>