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9FE22" w14:textId="440E7EF8" w:rsidR="009139CD" w:rsidRPr="00CF195E" w:rsidRDefault="009139CD" w:rsidP="009139C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B517B8" wp14:editId="745BB3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9D07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#100bis-e 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R1-2002676</w:t>
      </w:r>
    </w:p>
    <w:p w14:paraId="39272B4E" w14:textId="77777777" w:rsidR="009139CD" w:rsidRPr="00CF195E" w:rsidRDefault="009139CD" w:rsidP="009139CD">
      <w:pPr>
        <w:jc w:val="left"/>
        <w:rPr>
          <w:b/>
          <w:kern w:val="2"/>
          <w:lang w:eastAsia="zh-CN"/>
        </w:rPr>
      </w:pPr>
      <w:r w:rsidRPr="00F16C22">
        <w:rPr>
          <w:b/>
          <w:bCs/>
          <w:lang w:eastAsia="zh-CN"/>
        </w:rPr>
        <w:t>E-meeting, April 20 - April 30, 2020</w:t>
      </w:r>
    </w:p>
    <w:p w14:paraId="389E2F3C" w14:textId="77777777" w:rsidR="00F652F1" w:rsidRPr="00CF195E" w:rsidRDefault="00F652F1" w:rsidP="00F652F1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786E312" w14:textId="77777777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7.2.</w:t>
      </w:r>
      <w:r w:rsidR="00407864">
        <w:rPr>
          <w:b/>
          <w:kern w:val="2"/>
          <w:lang w:eastAsia="zh-CN"/>
        </w:rPr>
        <w:t>8</w:t>
      </w:r>
      <w:r w:rsidR="00B06F13">
        <w:rPr>
          <w:b/>
          <w:kern w:val="2"/>
          <w:lang w:eastAsia="zh-CN"/>
        </w:rPr>
        <w:t>.</w:t>
      </w:r>
      <w:r w:rsidR="00407864">
        <w:rPr>
          <w:b/>
          <w:kern w:val="2"/>
          <w:lang w:eastAsia="zh-CN"/>
        </w:rPr>
        <w:t>5</w:t>
      </w:r>
    </w:p>
    <w:p w14:paraId="7CC1EDF2" w14:textId="77777777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 w:rsidR="00D5253A">
        <w:rPr>
          <w:b/>
          <w:kern w:val="2"/>
          <w:lang w:eastAsia="zh-CN"/>
        </w:rPr>
        <w:t>, HiSilicon</w:t>
      </w:r>
    </w:p>
    <w:p w14:paraId="36D256E6" w14:textId="77777777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07864" w:rsidRPr="00407864">
        <w:rPr>
          <w:b/>
          <w:kern w:val="2"/>
          <w:lang w:eastAsia="zh-CN"/>
        </w:rPr>
        <w:t>On positioning latency and aperiodic SRS</w:t>
      </w:r>
    </w:p>
    <w:p w14:paraId="3E5C844E" w14:textId="2C84173D" w:rsidR="00F652F1" w:rsidRPr="00CF195E" w:rsidRDefault="008627BA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bookmarkStart w:id="0" w:name="_GoBack"/>
      <w:bookmarkEnd w:id="0"/>
      <w:r w:rsidR="00F652F1" w:rsidRPr="00CF195E">
        <w:rPr>
          <w:b/>
          <w:kern w:val="2"/>
          <w:lang w:eastAsia="zh-CN"/>
        </w:rPr>
        <w:t xml:space="preserve">ecision </w:t>
      </w:r>
    </w:p>
    <w:p w14:paraId="7E4C7A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7047C5B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22392A3" w14:textId="77777777" w:rsidR="00AD7D8E" w:rsidRDefault="00407864" w:rsidP="00C12BC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this contribution, we address the following remaining issue on NR positioning</w:t>
      </w:r>
    </w:p>
    <w:p w14:paraId="09BD606B" w14:textId="77777777" w:rsidR="00407864" w:rsidRDefault="00407864" w:rsidP="00407864">
      <w:pPr>
        <w:pStyle w:val="3GPPAgreements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ositioning latency</w:t>
      </w:r>
    </w:p>
    <w:p w14:paraId="41289D3F" w14:textId="77777777" w:rsidR="00407864" w:rsidRDefault="005C1D9D" w:rsidP="00407864">
      <w:pPr>
        <w:pStyle w:val="3GPPAgreements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407864">
        <w:rPr>
          <w:rFonts w:eastAsiaTheme="minorEastAsia"/>
          <w:lang w:eastAsia="zh-CN"/>
        </w:rPr>
        <w:t>easibility of aperiodic SRS</w:t>
      </w:r>
    </w:p>
    <w:p w14:paraId="4E255274" w14:textId="77777777" w:rsidR="00AD7D8E" w:rsidRDefault="00AD7D8E" w:rsidP="00C12BC1">
      <w:pPr>
        <w:rPr>
          <w:rFonts w:eastAsiaTheme="minorEastAsia"/>
          <w:lang w:eastAsia="zh-CN"/>
        </w:rPr>
      </w:pPr>
    </w:p>
    <w:p w14:paraId="08D8FA72" w14:textId="77777777" w:rsidR="00407864" w:rsidRDefault="00407864" w:rsidP="00407864">
      <w:pPr>
        <w:pStyle w:val="1"/>
        <w:rPr>
          <w:lang w:eastAsia="zh-CN"/>
        </w:rPr>
      </w:pPr>
      <w:r>
        <w:rPr>
          <w:lang w:eastAsia="zh-CN"/>
        </w:rPr>
        <w:t>Positioning latency</w:t>
      </w:r>
    </w:p>
    <w:p w14:paraId="070C93C7" w14:textId="77777777" w:rsidR="00407864" w:rsidRDefault="00407864" w:rsidP="00407864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Rel-16 positioning study item, it was agreed and captured in the TR that the end-to-end latency should target less than 1s,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_Ref36306201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036B0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07864" w14:paraId="0C6B44E7" w14:textId="77777777" w:rsidTr="00407864">
        <w:tc>
          <w:tcPr>
            <w:tcW w:w="9307" w:type="dxa"/>
          </w:tcPr>
          <w:p w14:paraId="088DDACA" w14:textId="77777777" w:rsidR="00407864" w:rsidRPr="00407864" w:rsidRDefault="00407864" w:rsidP="00407864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407864">
              <w:rPr>
                <w:sz w:val="20"/>
                <w:szCs w:val="20"/>
              </w:rPr>
              <w:t>As a starting point for commercial use cases, the following requirements are considered as performance targets for RAT dependent solutions, which are subject to further analysis in terms of performance/ complexity tradeoffs of NR positioning radio-layer solutions:</w:t>
            </w:r>
          </w:p>
          <w:p w14:paraId="450F3247" w14:textId="77777777" w:rsidR="00407864" w:rsidRPr="00407864" w:rsidRDefault="00407864" w:rsidP="0040786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407864">
              <w:rPr>
                <w:sz w:val="20"/>
                <w:szCs w:val="20"/>
              </w:rPr>
              <w:t>-</w:t>
            </w:r>
            <w:r w:rsidRPr="00407864">
              <w:rPr>
                <w:sz w:val="20"/>
                <w:szCs w:val="20"/>
              </w:rPr>
              <w:tab/>
              <w:t>Horizontal positioning error &lt; 3m for 80% of UEs in indoor deployment scenarios</w:t>
            </w:r>
          </w:p>
          <w:p w14:paraId="73089ECA" w14:textId="77777777" w:rsidR="00407864" w:rsidRPr="00407864" w:rsidRDefault="00407864" w:rsidP="0040786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407864">
              <w:rPr>
                <w:sz w:val="20"/>
                <w:szCs w:val="20"/>
              </w:rPr>
              <w:t>-</w:t>
            </w:r>
            <w:r w:rsidRPr="00407864">
              <w:rPr>
                <w:sz w:val="20"/>
                <w:szCs w:val="20"/>
              </w:rPr>
              <w:tab/>
              <w:t>Vertical positioning error &lt; 3m for 80% of UEs in indoor deployment scenarios</w:t>
            </w:r>
          </w:p>
          <w:p w14:paraId="2CC092C9" w14:textId="77777777" w:rsidR="00407864" w:rsidRPr="00407864" w:rsidRDefault="00407864" w:rsidP="0040786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407864">
              <w:rPr>
                <w:sz w:val="20"/>
                <w:szCs w:val="20"/>
              </w:rPr>
              <w:t>-</w:t>
            </w:r>
            <w:r w:rsidRPr="00407864">
              <w:rPr>
                <w:sz w:val="20"/>
                <w:szCs w:val="20"/>
              </w:rPr>
              <w:tab/>
              <w:t xml:space="preserve">Horizontal positioning error &lt; 10m for 80% of UEs in outdoor deployments scenarios </w:t>
            </w:r>
          </w:p>
          <w:p w14:paraId="72CBF5F8" w14:textId="77777777" w:rsidR="00407864" w:rsidRPr="00407864" w:rsidRDefault="00407864" w:rsidP="0040786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407864">
              <w:rPr>
                <w:sz w:val="20"/>
                <w:szCs w:val="20"/>
              </w:rPr>
              <w:t>-</w:t>
            </w:r>
            <w:r w:rsidRPr="00407864">
              <w:rPr>
                <w:sz w:val="20"/>
                <w:szCs w:val="20"/>
              </w:rPr>
              <w:tab/>
              <w:t>Vertical positioning error &lt; 3m for 80% of UEs in outdoor deployment scenarios</w:t>
            </w:r>
          </w:p>
          <w:p w14:paraId="15A819D7" w14:textId="77777777" w:rsidR="00407864" w:rsidRPr="00407864" w:rsidRDefault="00407864" w:rsidP="0040786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color w:val="FF0000"/>
                <w:sz w:val="20"/>
                <w:szCs w:val="20"/>
              </w:rPr>
            </w:pPr>
            <w:r w:rsidRPr="00407864">
              <w:rPr>
                <w:color w:val="FF0000"/>
                <w:sz w:val="20"/>
                <w:szCs w:val="20"/>
              </w:rPr>
              <w:t>-</w:t>
            </w:r>
            <w:r w:rsidRPr="00407864">
              <w:rPr>
                <w:color w:val="FF0000"/>
                <w:sz w:val="20"/>
                <w:szCs w:val="20"/>
              </w:rPr>
              <w:tab/>
              <w:t>End to end latency &lt; 1s</w:t>
            </w:r>
          </w:p>
          <w:p w14:paraId="6CF41290" w14:textId="77777777" w:rsidR="00407864" w:rsidRPr="00407864" w:rsidRDefault="00407864" w:rsidP="0040786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407864">
              <w:rPr>
                <w:sz w:val="20"/>
                <w:szCs w:val="20"/>
              </w:rPr>
              <w:t>-</w:t>
            </w:r>
            <w:r w:rsidRPr="00407864">
              <w:rPr>
                <w:sz w:val="20"/>
                <w:szCs w:val="20"/>
              </w:rPr>
              <w:tab/>
              <w:t>Notes:</w:t>
            </w:r>
          </w:p>
          <w:p w14:paraId="6A7906C3" w14:textId="77777777" w:rsidR="00407864" w:rsidRPr="00407864" w:rsidRDefault="00407864" w:rsidP="00407864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</w:rPr>
            </w:pPr>
            <w:r w:rsidRPr="00407864">
              <w:rPr>
                <w:sz w:val="20"/>
                <w:szCs w:val="20"/>
              </w:rPr>
              <w:t>-</w:t>
            </w:r>
            <w:r w:rsidRPr="00407864">
              <w:rPr>
                <w:sz w:val="20"/>
                <w:szCs w:val="20"/>
              </w:rPr>
              <w:tab/>
              <w:t>This does not eliminate more or less demanding commercial use cases.</w:t>
            </w:r>
          </w:p>
          <w:p w14:paraId="400548C5" w14:textId="77777777" w:rsidR="00407864" w:rsidRPr="00407864" w:rsidRDefault="00407864" w:rsidP="00407864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</w:rPr>
            </w:pPr>
            <w:r w:rsidRPr="00407864">
              <w:rPr>
                <w:sz w:val="20"/>
                <w:szCs w:val="20"/>
              </w:rPr>
              <w:t>-</w:t>
            </w:r>
            <w:r w:rsidRPr="00407864">
              <w:rPr>
                <w:sz w:val="20"/>
                <w:szCs w:val="20"/>
              </w:rPr>
              <w:tab/>
              <w:t>For commercial use cases, indoor deployment means indoor deployed UEs and gNBs.</w:t>
            </w:r>
          </w:p>
          <w:p w14:paraId="25C596EB" w14:textId="77777777" w:rsidR="00407864" w:rsidRPr="00407864" w:rsidRDefault="00407864" w:rsidP="00407864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</w:rPr>
            </w:pPr>
            <w:r w:rsidRPr="00407864">
              <w:rPr>
                <w:sz w:val="20"/>
                <w:szCs w:val="20"/>
              </w:rPr>
              <w:t>-</w:t>
            </w:r>
            <w:r w:rsidRPr="00407864">
              <w:rPr>
                <w:sz w:val="20"/>
                <w:szCs w:val="20"/>
              </w:rPr>
              <w:tab/>
              <w:t>For commercial use cases, outdoor deployment means outdoor deployed UEs and gNBs.</w:t>
            </w:r>
          </w:p>
          <w:p w14:paraId="283B77AF" w14:textId="77777777" w:rsidR="00407864" w:rsidRDefault="00407864" w:rsidP="00407864">
            <w:pPr>
              <w:rPr>
                <w:lang w:eastAsia="zh-CN"/>
              </w:rPr>
            </w:pPr>
            <w:r w:rsidRPr="00407864">
              <w:rPr>
                <w:sz w:val="20"/>
                <w:szCs w:val="20"/>
              </w:rPr>
              <w:t>Note: It is understood that no single positioning technology has to meet all the requirements for every scenario.</w:t>
            </w:r>
          </w:p>
        </w:tc>
      </w:tr>
    </w:tbl>
    <w:p w14:paraId="0A3EFA9C" w14:textId="77777777" w:rsidR="00407864" w:rsidRDefault="00407864" w:rsidP="00407864">
      <w:pPr>
        <w:rPr>
          <w:lang w:eastAsia="zh-CN"/>
        </w:rPr>
      </w:pPr>
    </w:p>
    <w:p w14:paraId="2D20D7FD" w14:textId="2A42D9DE" w:rsidR="00407864" w:rsidRDefault="00407864" w:rsidP="0040786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enable this, UE measurement report should be within 1s upon receiving the </w:t>
      </w:r>
      <w:r>
        <w:rPr>
          <w:i/>
          <w:lang w:eastAsia="zh-CN"/>
        </w:rPr>
        <w:t xml:space="preserve">RequestLocationInformation </w:t>
      </w:r>
      <w:r w:rsidR="007719AD">
        <w:rPr>
          <w:lang w:eastAsia="zh-CN"/>
        </w:rPr>
        <w:t xml:space="preserve">message </w:t>
      </w:r>
      <w:r w:rsidR="009C6D12">
        <w:rPr>
          <w:lang w:eastAsia="zh-CN"/>
        </w:rPr>
        <w:t xml:space="preserve">from </w:t>
      </w:r>
      <w:r w:rsidR="007719AD">
        <w:rPr>
          <w:lang w:eastAsia="zh-CN"/>
        </w:rPr>
        <w:t>LMF and gNB measurement report should also be within 1s upon receiving MEASUREMENT REQUEST message from LMF.</w:t>
      </w:r>
    </w:p>
    <w:p w14:paraId="600AC9EB" w14:textId="41D801A9" w:rsidR="007719AD" w:rsidRDefault="007719AD" w:rsidP="00407864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urrently</w:t>
      </w:r>
      <w:r w:rsidR="009C6D12">
        <w:rPr>
          <w:lang w:eastAsia="zh-CN"/>
        </w:rPr>
        <w:t>,</w:t>
      </w:r>
      <w:r>
        <w:rPr>
          <w:lang w:eastAsia="zh-CN"/>
        </w:rPr>
        <w:t xml:space="preserve"> the LPP provided the following timing requirement</w:t>
      </w:r>
      <w:r w:rsidR="00CC78AF">
        <w:rPr>
          <w:lang w:eastAsia="zh-CN"/>
        </w:rPr>
        <w:t xml:space="preserve"> with the smallest latency being 1s</w:t>
      </w:r>
      <w:r>
        <w:rPr>
          <w:lang w:eastAsia="zh-CN"/>
        </w:rPr>
        <w:t>. For NRPPa, there is no response time defined yet</w:t>
      </w:r>
      <w:r w:rsidR="009C6D12">
        <w:rPr>
          <w:lang w:eastAsia="zh-CN"/>
        </w:rPr>
        <w:t xml:space="preserve"> as</w:t>
      </w:r>
      <w:r>
        <w:rPr>
          <w:lang w:eastAsia="zh-CN"/>
        </w:rPr>
        <w:t xml:space="preserve">, </w:t>
      </w:r>
      <w:r w:rsidR="009C6D12">
        <w:rPr>
          <w:lang w:eastAsia="zh-CN"/>
        </w:rPr>
        <w:t xml:space="preserve">similar to </w:t>
      </w:r>
      <w:r>
        <w:rPr>
          <w:lang w:eastAsia="zh-CN"/>
        </w:rPr>
        <w:t xml:space="preserve">LTE, the number </w:t>
      </w:r>
      <w:r w:rsidR="009C6D12">
        <w:rPr>
          <w:lang w:eastAsia="zh-CN"/>
        </w:rPr>
        <w:t xml:space="preserve">of </w:t>
      </w:r>
      <w:r w:rsidR="005C1D9D">
        <w:rPr>
          <w:lang w:eastAsia="zh-CN"/>
        </w:rPr>
        <w:t xml:space="preserve">SRS periodicities for an LMU to provide a reliable result is implicitly dependent on the SRS characteristics. </w:t>
      </w:r>
    </w:p>
    <w:p w14:paraId="18F12161" w14:textId="77777777" w:rsidR="007719AD" w:rsidRDefault="007719AD" w:rsidP="007719AD">
      <w:pPr>
        <w:pStyle w:val="3GPPAgreements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PP</w:t>
      </w:r>
      <w:r w:rsidR="00CC78AF">
        <w:rPr>
          <w:lang w:eastAsia="zh-CN"/>
        </w:rPr>
        <w:t xml:space="preserve"> </w:t>
      </w:r>
      <w:r w:rsidR="00CC78AF">
        <w:rPr>
          <w:lang w:eastAsia="zh-CN"/>
        </w:rPr>
        <w:fldChar w:fldCharType="begin"/>
      </w:r>
      <w:r w:rsidR="00CC78AF">
        <w:rPr>
          <w:lang w:eastAsia="zh-CN"/>
        </w:rPr>
        <w:instrText xml:space="preserve"> REF _Ref36308621 \r \h </w:instrText>
      </w:r>
      <w:r w:rsidR="00CC78AF">
        <w:rPr>
          <w:lang w:eastAsia="zh-CN"/>
        </w:rPr>
      </w:r>
      <w:r w:rsidR="00CC78AF">
        <w:rPr>
          <w:lang w:eastAsia="zh-CN"/>
        </w:rPr>
        <w:fldChar w:fldCharType="separate"/>
      </w:r>
      <w:r w:rsidR="00E036B0">
        <w:rPr>
          <w:lang w:eastAsia="zh-CN"/>
        </w:rPr>
        <w:t>[2]</w:t>
      </w:r>
      <w:r w:rsidR="00CC78AF">
        <w:rPr>
          <w:lang w:eastAsia="zh-CN"/>
        </w:rPr>
        <w:fldChar w:fldCharType="end"/>
      </w:r>
    </w:p>
    <w:p w14:paraId="759A3404" w14:textId="77777777" w:rsidR="007719AD" w:rsidRPr="00715AD3" w:rsidRDefault="007719AD" w:rsidP="005C1D9D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>ResponseTime ::= SEQUENCE {</w:t>
      </w:r>
    </w:p>
    <w:p w14:paraId="37CA7CFB" w14:textId="77777777" w:rsidR="007719AD" w:rsidRPr="00715AD3" w:rsidRDefault="007719AD" w:rsidP="007719AD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time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INTEGER (1..128),</w:t>
      </w:r>
    </w:p>
    <w:p w14:paraId="6E298904" w14:textId="77777777" w:rsidR="007719AD" w:rsidRPr="00715AD3" w:rsidRDefault="007719AD" w:rsidP="007719AD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...,</w:t>
      </w:r>
      <w:r w:rsidRPr="00715AD3">
        <w:rPr>
          <w:snapToGrid w:val="0"/>
        </w:rPr>
        <w:tab/>
      </w:r>
    </w:p>
    <w:p w14:paraId="4A7A4481" w14:textId="77777777" w:rsidR="007719AD" w:rsidRPr="00715AD3" w:rsidRDefault="007719AD" w:rsidP="007719AD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[[</w:t>
      </w:r>
      <w:r w:rsidRPr="00715AD3">
        <w:rPr>
          <w:snapToGrid w:val="0"/>
        </w:rPr>
        <w:tab/>
        <w:t>responseTimeEarlyFix-r12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INTEGER (1..128)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-- Need ON</w:t>
      </w:r>
    </w:p>
    <w:p w14:paraId="4FA2F1FD" w14:textId="77777777" w:rsidR="007719AD" w:rsidRPr="00715AD3" w:rsidRDefault="007719AD" w:rsidP="007719AD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]],</w:t>
      </w:r>
    </w:p>
    <w:p w14:paraId="392A4AAE" w14:textId="77777777" w:rsidR="007719AD" w:rsidRPr="00715AD3" w:rsidRDefault="007719AD" w:rsidP="007719AD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[[</w:t>
      </w:r>
      <w:r w:rsidRPr="00715AD3">
        <w:rPr>
          <w:snapToGrid w:val="0"/>
        </w:rPr>
        <w:tab/>
        <w:t>unit-r15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ENUMERATED { ten-seconds, ... }</w:t>
      </w:r>
      <w:r w:rsidRPr="00715AD3">
        <w:rPr>
          <w:snapToGrid w:val="0"/>
        </w:rPr>
        <w:tab/>
        <w:t>OPTIONAL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-- Need ON</w:t>
      </w:r>
    </w:p>
    <w:p w14:paraId="267FD1E6" w14:textId="77777777" w:rsidR="007719AD" w:rsidRPr="00715AD3" w:rsidRDefault="007719AD" w:rsidP="007719AD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lastRenderedPageBreak/>
        <w:tab/>
        <w:t>]]</w:t>
      </w:r>
    </w:p>
    <w:p w14:paraId="10A4327C" w14:textId="77777777" w:rsidR="007719AD" w:rsidRPr="00715AD3" w:rsidRDefault="007719AD" w:rsidP="007719AD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>}</w:t>
      </w:r>
    </w:p>
    <w:p w14:paraId="06316EEE" w14:textId="77777777" w:rsidR="007719AD" w:rsidRPr="00715AD3" w:rsidRDefault="007719AD" w:rsidP="007719AD">
      <w:pPr>
        <w:pStyle w:val="PL"/>
        <w:shd w:val="clear" w:color="auto" w:fill="E6E6E6"/>
        <w:rPr>
          <w:snapToGrid w:val="0"/>
        </w:rPr>
      </w:pPr>
    </w:p>
    <w:p w14:paraId="3179568F" w14:textId="77777777" w:rsidR="007719AD" w:rsidRDefault="007719AD" w:rsidP="007719AD">
      <w:pPr>
        <w:pStyle w:val="3GPPAgreements"/>
        <w:numPr>
          <w:ilvl w:val="0"/>
          <w:numId w:val="0"/>
        </w:numPr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719AD" w14:paraId="276E1012" w14:textId="77777777" w:rsidTr="007719AD">
        <w:tc>
          <w:tcPr>
            <w:tcW w:w="9307" w:type="dxa"/>
          </w:tcPr>
          <w:p w14:paraId="16FA8B56" w14:textId="77777777" w:rsidR="007719AD" w:rsidRPr="00715AD3" w:rsidRDefault="007719AD" w:rsidP="007719AD">
            <w:pPr>
              <w:pStyle w:val="B1"/>
              <w:spacing w:after="0"/>
              <w:rPr>
                <w:bCs/>
                <w:noProof/>
              </w:rPr>
            </w:pPr>
            <w:r w:rsidRPr="00715AD3">
              <w:rPr>
                <w:rFonts w:ascii="Arial" w:hAnsi="Arial" w:cs="Arial"/>
                <w:b/>
                <w:i/>
                <w:sz w:val="18"/>
                <w:szCs w:val="18"/>
              </w:rPr>
              <w:t>responseTime</w:t>
            </w:r>
          </w:p>
          <w:p w14:paraId="24C01E7D" w14:textId="77777777" w:rsidR="007719AD" w:rsidRPr="00715AD3" w:rsidRDefault="007719AD" w:rsidP="007719AD">
            <w:pPr>
              <w:pStyle w:val="B2"/>
              <w:spacing w:after="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715AD3">
              <w:rPr>
                <w:noProof/>
              </w:rPr>
              <w:t>-</w:t>
            </w:r>
            <w:r w:rsidRPr="00715AD3">
              <w:rPr>
                <w:snapToGrid w:val="0"/>
              </w:rPr>
              <w:tab/>
            </w:r>
            <w:r w:rsidRPr="00715AD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time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the maximum response time as measured between receipt of the </w:t>
            </w:r>
            <w:r w:rsidRPr="00715AD3">
              <w:rPr>
                <w:rFonts w:ascii="Arial" w:hAnsi="Arial" w:cs="Arial"/>
                <w:i/>
                <w:snapToGrid w:val="0"/>
                <w:sz w:val="18"/>
                <w:szCs w:val="18"/>
              </w:rPr>
              <w:t>RequestLocationInformation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transmission of a </w:t>
            </w:r>
            <w:r w:rsidRPr="00715AD3">
              <w:rPr>
                <w:rFonts w:ascii="Arial" w:hAnsi="Arial" w:cs="Arial"/>
                <w:i/>
                <w:snapToGrid w:val="0"/>
                <w:sz w:val="18"/>
                <w:szCs w:val="18"/>
              </w:rPr>
              <w:t>ProvideLocationInformation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. If the </w:t>
            </w:r>
            <w:r w:rsidRPr="00715AD3">
              <w:rPr>
                <w:rFonts w:ascii="Arial" w:hAnsi="Arial" w:cs="Arial"/>
                <w:i/>
                <w:snapToGrid w:val="0"/>
                <w:sz w:val="18"/>
                <w:szCs w:val="18"/>
              </w:rPr>
              <w:t>unit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is absent, this is given as an integer number of seconds between 1 and 128. If the </w:t>
            </w:r>
            <w:r w:rsidRPr="00715AD3">
              <w:rPr>
                <w:rFonts w:ascii="Arial" w:hAnsi="Arial" w:cs="Arial"/>
                <w:i/>
                <w:snapToGrid w:val="0"/>
                <w:sz w:val="18"/>
                <w:szCs w:val="18"/>
              </w:rPr>
              <w:t>unit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is present, the maximum response time is given in units of 10-seconds, between 10 and 1280 seconds. If the </w:t>
            </w:r>
            <w:r w:rsidRPr="00715AD3">
              <w:rPr>
                <w:rFonts w:ascii="Arial" w:hAnsi="Arial" w:cs="Arial"/>
                <w:i/>
                <w:snapToGrid w:val="0"/>
                <w:sz w:val="18"/>
                <w:szCs w:val="18"/>
              </w:rPr>
              <w:t>periodicalReporting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IE is included in </w:t>
            </w:r>
            <w:r w:rsidRPr="00715AD3">
              <w:rPr>
                <w:rFonts w:ascii="Arial" w:hAnsi="Arial" w:cs="Arial"/>
                <w:i/>
                <w:noProof/>
                <w:sz w:val="18"/>
                <w:szCs w:val="18"/>
              </w:rPr>
              <w:t>CommonIEsRequestLocationInformation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>, this field should not be included by the location server and shall be ignored by the target device (if included).</w:t>
            </w:r>
          </w:p>
          <w:p w14:paraId="795E5662" w14:textId="77777777" w:rsidR="007719AD" w:rsidRPr="00715AD3" w:rsidRDefault="007719AD" w:rsidP="007719AD">
            <w:pPr>
              <w:pStyle w:val="B2"/>
              <w:spacing w:after="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715AD3">
              <w:rPr>
                <w:noProof/>
              </w:rPr>
              <w:t>-</w:t>
            </w:r>
            <w:r w:rsidRPr="00715AD3">
              <w:rPr>
                <w:snapToGrid w:val="0"/>
              </w:rPr>
              <w:tab/>
            </w:r>
            <w:r w:rsidRPr="00715AD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 xml:space="preserve">responseTimeEarlyFix 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indicates the maximum response time 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as measured between receipt of the </w:t>
            </w:r>
            <w:r w:rsidRPr="00715AD3">
              <w:rPr>
                <w:rFonts w:ascii="Arial" w:hAnsi="Arial" w:cs="Arial"/>
                <w:i/>
                <w:snapToGrid w:val="0"/>
                <w:sz w:val="18"/>
                <w:szCs w:val="18"/>
              </w:rPr>
              <w:t>RequestLocationInformation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transmission of a </w:t>
            </w:r>
            <w:r w:rsidRPr="00715AD3">
              <w:rPr>
                <w:rFonts w:ascii="Arial" w:hAnsi="Arial" w:cs="Arial"/>
                <w:i/>
                <w:snapToGrid w:val="0"/>
                <w:sz w:val="18"/>
                <w:szCs w:val="18"/>
              </w:rPr>
              <w:t>ProvideLocationInformation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containing early location measurements or an early location estimate. If the </w:t>
            </w:r>
            <w:r w:rsidRPr="00715AD3">
              <w:rPr>
                <w:rFonts w:ascii="Arial" w:hAnsi="Arial" w:cs="Arial"/>
                <w:i/>
                <w:snapToGrid w:val="0"/>
                <w:sz w:val="18"/>
                <w:szCs w:val="18"/>
              </w:rPr>
              <w:t>unit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is absent, this is given as an integer number of seconds between 1 and 128. If the </w:t>
            </w:r>
            <w:r w:rsidRPr="00715AD3">
              <w:rPr>
                <w:rFonts w:ascii="Arial" w:hAnsi="Arial" w:cs="Arial"/>
                <w:i/>
                <w:snapToGrid w:val="0"/>
                <w:sz w:val="18"/>
                <w:szCs w:val="18"/>
              </w:rPr>
              <w:t>unit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is present, the maximum response time is given in units of 10-seconds, between 10 and 1280 seconds. When this IE is included, a target should send a </w:t>
            </w:r>
            <w:r w:rsidRPr="00715AD3"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(or more than one </w:t>
            </w:r>
            <w:r w:rsidRPr="00715AD3">
              <w:rPr>
                <w:rFonts w:ascii="Arial" w:hAnsi="Arial" w:cs="Arial"/>
                <w:i/>
                <w:snapToGrid w:val="0"/>
                <w:sz w:val="18"/>
                <w:szCs w:val="18"/>
              </w:rPr>
              <w:t>ProvideLocationInformation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if location information will not fit into a single message) containing early location information according to the </w:t>
            </w:r>
            <w:r w:rsidRPr="00715AD3">
              <w:rPr>
                <w:rFonts w:ascii="Arial" w:hAnsi="Arial" w:cs="Arial"/>
                <w:bCs/>
                <w:i/>
                <w:noProof/>
                <w:sz w:val="18"/>
                <w:szCs w:val="18"/>
              </w:rPr>
              <w:t xml:space="preserve">responseTimeEarlyFix 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IE and a subsequent </w:t>
            </w:r>
            <w:r w:rsidRPr="00715AD3"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(or more than one </w:t>
            </w:r>
            <w:r w:rsidRPr="00715AD3">
              <w:rPr>
                <w:rFonts w:ascii="Arial" w:hAnsi="Arial" w:cs="Arial"/>
                <w:i/>
                <w:snapToGrid w:val="0"/>
                <w:sz w:val="18"/>
                <w:szCs w:val="18"/>
              </w:rPr>
              <w:t>ProvideLocationInformation</w:t>
            </w:r>
            <w:r w:rsidRPr="00715AD3">
              <w:rPr>
                <w:rFonts w:ascii="Arial" w:hAnsi="Arial" w:cs="Arial"/>
                <w:snapToGrid w:val="0"/>
                <w:sz w:val="18"/>
                <w:szCs w:val="18"/>
              </w:rPr>
              <w:t xml:space="preserve"> if location information will not fit into a single message) 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containing final location information according to the </w:t>
            </w:r>
            <w:r w:rsidRPr="00715AD3">
              <w:rPr>
                <w:rFonts w:ascii="Arial" w:hAnsi="Arial" w:cs="Arial"/>
                <w:bCs/>
                <w:i/>
                <w:noProof/>
                <w:sz w:val="18"/>
                <w:szCs w:val="18"/>
              </w:rPr>
              <w:t>time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IE. A target shall</w:t>
            </w:r>
            <w:r w:rsidRPr="00715AD3">
              <w:rPr>
                <w:rFonts w:ascii="Arial" w:hAnsi="Arial" w:cs="Arial"/>
                <w:b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>omit sending a</w:t>
            </w:r>
            <w:r w:rsidRPr="00715AD3">
              <w:rPr>
                <w:rFonts w:ascii="Arial" w:hAnsi="Arial" w:cs="Arial"/>
                <w:bCs/>
                <w:i/>
                <w:noProof/>
                <w:sz w:val="18"/>
                <w:szCs w:val="18"/>
              </w:rPr>
              <w:t xml:space="preserve"> ProvideLocationInformation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if the early location information is not available at the expiration of the time value in the </w:t>
            </w:r>
            <w:r w:rsidRPr="00715AD3">
              <w:rPr>
                <w:rFonts w:ascii="Arial" w:hAnsi="Arial" w:cs="Arial"/>
                <w:bCs/>
                <w:i/>
                <w:noProof/>
                <w:sz w:val="18"/>
                <w:szCs w:val="18"/>
              </w:rPr>
              <w:t xml:space="preserve">responseTimeEarlyFix 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IE. A server should set the </w:t>
            </w:r>
            <w:r w:rsidRPr="00715AD3">
              <w:rPr>
                <w:rFonts w:ascii="Arial" w:hAnsi="Arial" w:cs="Arial"/>
                <w:bCs/>
                <w:i/>
                <w:noProof/>
                <w:sz w:val="18"/>
                <w:szCs w:val="18"/>
              </w:rPr>
              <w:t xml:space="preserve">responseTimeEarlyFix 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IE to a value less than that for the </w:t>
            </w:r>
            <w:r w:rsidRPr="00715AD3">
              <w:rPr>
                <w:rFonts w:ascii="Arial" w:hAnsi="Arial" w:cs="Arial"/>
                <w:bCs/>
                <w:i/>
                <w:noProof/>
                <w:sz w:val="18"/>
                <w:szCs w:val="18"/>
              </w:rPr>
              <w:t>time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IE. A target shall ignore the</w:t>
            </w:r>
            <w:r w:rsidRPr="00715AD3">
              <w:rPr>
                <w:rFonts w:ascii="Arial" w:hAnsi="Arial" w:cs="Arial"/>
                <w:bCs/>
                <w:i/>
                <w:noProof/>
                <w:sz w:val="18"/>
                <w:szCs w:val="18"/>
              </w:rPr>
              <w:t xml:space="preserve"> responseTimeEarlyFix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IE if its value is not less than that for the </w:t>
            </w:r>
            <w:r w:rsidRPr="00715AD3">
              <w:rPr>
                <w:rFonts w:ascii="Arial" w:hAnsi="Arial" w:cs="Arial"/>
                <w:bCs/>
                <w:i/>
                <w:noProof/>
                <w:sz w:val="18"/>
                <w:szCs w:val="18"/>
              </w:rPr>
              <w:t xml:space="preserve">time 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>IE.</w:t>
            </w:r>
          </w:p>
          <w:p w14:paraId="3324D78D" w14:textId="77777777" w:rsidR="007719AD" w:rsidRPr="007719AD" w:rsidRDefault="007719AD" w:rsidP="007719AD">
            <w:pPr>
              <w:pStyle w:val="B2"/>
              <w:spacing w:after="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>-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ab/>
            </w:r>
            <w:r w:rsidRPr="00715AD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unit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the unit of the </w:t>
            </w:r>
            <w:r w:rsidRPr="00715AD3">
              <w:rPr>
                <w:rFonts w:ascii="Arial" w:hAnsi="Arial" w:cs="Arial"/>
                <w:bCs/>
                <w:i/>
                <w:noProof/>
                <w:sz w:val="18"/>
                <w:szCs w:val="18"/>
              </w:rPr>
              <w:t>time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and </w:t>
            </w:r>
            <w:r w:rsidRPr="00715AD3">
              <w:rPr>
                <w:rFonts w:ascii="Arial" w:hAnsi="Arial" w:cs="Arial"/>
                <w:bCs/>
                <w:i/>
                <w:noProof/>
                <w:sz w:val="18"/>
                <w:szCs w:val="18"/>
              </w:rPr>
              <w:t>responseTimeEarlyFix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fields. Enumerated value '</w:t>
            </w:r>
            <w:r w:rsidRPr="00715AD3">
              <w:rPr>
                <w:rFonts w:ascii="Arial" w:hAnsi="Arial" w:cs="Arial"/>
                <w:bCs/>
                <w:i/>
                <w:noProof/>
                <w:sz w:val="18"/>
                <w:szCs w:val="18"/>
              </w:rPr>
              <w:t>ten-seconds</w:t>
            </w:r>
            <w:r w:rsidRPr="00715AD3">
              <w:rPr>
                <w:rFonts w:ascii="Arial" w:hAnsi="Arial" w:cs="Arial"/>
                <w:bCs/>
                <w:noProof/>
                <w:sz w:val="18"/>
                <w:szCs w:val="18"/>
              </w:rPr>
              <w:t>' corresponds to a resolution of 10 seconds. If this field is absent, the unit/resolution is 1 second.</w:t>
            </w:r>
          </w:p>
        </w:tc>
      </w:tr>
    </w:tbl>
    <w:p w14:paraId="446B3FD5" w14:textId="77777777" w:rsidR="007719AD" w:rsidRDefault="007719AD" w:rsidP="007719AD">
      <w:pPr>
        <w:pStyle w:val="3GPPAgreements"/>
        <w:numPr>
          <w:ilvl w:val="0"/>
          <w:numId w:val="0"/>
        </w:numPr>
        <w:rPr>
          <w:lang w:eastAsia="zh-CN"/>
        </w:rPr>
      </w:pPr>
    </w:p>
    <w:p w14:paraId="617C982E" w14:textId="77777777" w:rsidR="007719AD" w:rsidRDefault="005C1D9D" w:rsidP="007719AD">
      <w:pPr>
        <w:pStyle w:val="3GPPAgreements"/>
        <w:rPr>
          <w:lang w:eastAsia="zh-CN"/>
        </w:rPr>
      </w:pPr>
      <w:r>
        <w:rPr>
          <w:lang w:eastAsia="zh-CN"/>
        </w:rPr>
        <w:t>LMU requirements</w:t>
      </w:r>
      <w:r w:rsidR="00CC78AF">
        <w:rPr>
          <w:lang w:eastAsia="zh-CN"/>
        </w:rPr>
        <w:t xml:space="preserve"> </w:t>
      </w:r>
      <w:r w:rsidR="00CC78AF">
        <w:rPr>
          <w:lang w:eastAsia="zh-CN"/>
        </w:rPr>
        <w:fldChar w:fldCharType="begin"/>
      </w:r>
      <w:r w:rsidR="00CC78AF">
        <w:rPr>
          <w:lang w:eastAsia="zh-CN"/>
        </w:rPr>
        <w:instrText xml:space="preserve"> REF _Ref36308615 \r \h </w:instrText>
      </w:r>
      <w:r w:rsidR="00CC78AF">
        <w:rPr>
          <w:lang w:eastAsia="zh-CN"/>
        </w:rPr>
      </w:r>
      <w:r w:rsidR="00CC78AF">
        <w:rPr>
          <w:lang w:eastAsia="zh-CN"/>
        </w:rPr>
        <w:fldChar w:fldCharType="separate"/>
      </w:r>
      <w:r w:rsidR="00E036B0">
        <w:rPr>
          <w:lang w:eastAsia="zh-CN"/>
        </w:rPr>
        <w:t>[3]</w:t>
      </w:r>
      <w:r w:rsidR="00CC78AF">
        <w:rPr>
          <w:lang w:eastAsia="zh-CN"/>
        </w:rPr>
        <w:fldChar w:fldCharType="end"/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C1D9D" w14:paraId="512FB6E8" w14:textId="77777777" w:rsidTr="005C1D9D">
        <w:tc>
          <w:tcPr>
            <w:tcW w:w="9307" w:type="dxa"/>
          </w:tcPr>
          <w:p w14:paraId="03E719B2" w14:textId="77777777" w:rsidR="005C1D9D" w:rsidRPr="005C1D9D" w:rsidRDefault="005C1D9D" w:rsidP="005C1D9D">
            <w:pPr>
              <w:overflowPunct w:val="0"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 xml:space="preserve">The LMU shall be able to perform and report a UE's UL RTOA measurements, based in its SRS transmissions, within </w:t>
            </w:r>
            <w:r w:rsidRPr="005C1D9D">
              <w:rPr>
                <w:rFonts w:eastAsia="Times New Roman"/>
                <w:position w:val="-14"/>
                <w:sz w:val="20"/>
                <w:szCs w:val="20"/>
                <w:lang w:val="en-GB" w:eastAsia="ko-KR"/>
              </w:rPr>
              <w:object w:dxaOrig="2160" w:dyaOrig="375" w14:anchorId="42FFBF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5pt;height:18.75pt" o:ole="">
                  <v:imagedata r:id="rId8" o:title=""/>
                </v:shape>
                <o:OLEObject Type="Embed" ProgID="Equation.3" ShapeID="_x0000_i1025" DrawAspect="Content" ObjectID="_1648103093" r:id="rId9"/>
              </w:object>
            </w: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>ms as given below:</w:t>
            </w:r>
          </w:p>
          <w:p w14:paraId="53D1743D" w14:textId="77777777" w:rsidR="005C1D9D" w:rsidRPr="005C1D9D" w:rsidRDefault="005C1D9D" w:rsidP="005C1D9D">
            <w:pPr>
              <w:keepLines/>
              <w:tabs>
                <w:tab w:val="center" w:pos="4536"/>
                <w:tab w:val="right" w:pos="9072"/>
              </w:tabs>
              <w:overflowPunct w:val="0"/>
              <w:snapToGrid/>
              <w:spacing w:after="180"/>
              <w:jc w:val="center"/>
              <w:rPr>
                <w:rFonts w:eastAsia="Times New Roman"/>
                <w:noProof/>
                <w:sz w:val="20"/>
                <w:szCs w:val="20"/>
                <w:lang w:val="en-GB" w:eastAsia="ko-KR"/>
              </w:rPr>
            </w:pPr>
            <w:r w:rsidRPr="005C1D9D">
              <w:rPr>
                <w:rFonts w:eastAsia="MS Mincho"/>
                <w:noProof/>
                <w:sz w:val="20"/>
                <w:szCs w:val="20"/>
                <w:lang w:val="en-GB" w:eastAsia="ko-KR"/>
              </w:rPr>
              <w:object w:dxaOrig="5160" w:dyaOrig="675" w14:anchorId="6857895A">
                <v:shape id="_x0000_i1026" type="#_x0000_t75" style="width:257.95pt;height:33.8pt" o:ole="">
                  <v:imagedata r:id="rId10" o:title=""/>
                </v:shape>
                <o:OLEObject Type="Embed" ProgID="Equation.3" ShapeID="_x0000_i1026" DrawAspect="Content" ObjectID="_1648103094" r:id="rId11"/>
              </w:object>
            </w:r>
            <w:r w:rsidRPr="005C1D9D">
              <w:rPr>
                <w:rFonts w:eastAsia="Times New Roman"/>
                <w:noProof/>
                <w:sz w:val="20"/>
                <w:szCs w:val="20"/>
                <w:lang w:val="en-GB" w:eastAsia="ko-KR"/>
              </w:rPr>
              <w:t>,</w:t>
            </w:r>
          </w:p>
          <w:p w14:paraId="2565394E" w14:textId="77777777" w:rsidR="005C1D9D" w:rsidRPr="005C1D9D" w:rsidRDefault="005C1D9D" w:rsidP="005C1D9D">
            <w:pPr>
              <w:overflowPunct w:val="0"/>
              <w:snapToGrid/>
              <w:spacing w:after="180"/>
              <w:ind w:left="568" w:hanging="284"/>
              <w:jc w:val="left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>-</w:t>
            </w: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ab/>
              <w:t xml:space="preserve">where </w:t>
            </w:r>
            <w:r w:rsidRPr="005C1D9D">
              <w:rPr>
                <w:rFonts w:eastAsia="MS Mincho"/>
                <w:position w:val="-12"/>
                <w:sz w:val="20"/>
                <w:szCs w:val="20"/>
                <w:lang w:val="en-GB" w:eastAsia="ko-KR"/>
              </w:rPr>
              <w:object w:dxaOrig="435" w:dyaOrig="360" w14:anchorId="013D42E0">
                <v:shape id="_x0000_i1027" type="#_x0000_t75" style="width:22.2pt;height:17.75pt" o:ole="">
                  <v:imagedata r:id="rId12" o:title=""/>
                </v:shape>
                <o:OLEObject Type="Embed" ProgID="Equation.3" ShapeID="_x0000_i1027" DrawAspect="Content" ObjectID="_1648103095" r:id="rId13"/>
              </w:object>
            </w: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 xml:space="preserve"> is the SRS periodicity in ms, according to the srsConfiguration IE received by the LMU from the E-SMLC via SLmAP [5];</w:t>
            </w:r>
          </w:p>
          <w:p w14:paraId="37542374" w14:textId="77777777" w:rsidR="005C1D9D" w:rsidRPr="005C1D9D" w:rsidRDefault="005C1D9D" w:rsidP="005C1D9D">
            <w:pPr>
              <w:overflowPunct w:val="0"/>
              <w:snapToGrid/>
              <w:spacing w:after="180"/>
              <w:ind w:left="568" w:hanging="284"/>
              <w:jc w:val="left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>-</w:t>
            </w: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ab/>
            </w:r>
            <w:r w:rsidRPr="005C1D9D">
              <w:rPr>
                <w:rFonts w:eastAsia="MS Mincho"/>
                <w:position w:val="-4"/>
                <w:sz w:val="20"/>
                <w:szCs w:val="20"/>
                <w:lang w:val="en-GB" w:eastAsia="ko-KR"/>
              </w:rPr>
              <w:object w:dxaOrig="315" w:dyaOrig="255" w14:anchorId="263B448C">
                <v:shape id="_x0000_i1028" type="#_x0000_t75" style="width:16.05pt;height:13.3pt" o:ole="">
                  <v:imagedata r:id="rId14" o:title=""/>
                </v:shape>
                <o:OLEObject Type="Embed" ProgID="Equation.3" ShapeID="_x0000_i1028" DrawAspect="Content" ObjectID="_1648103096" r:id="rId15"/>
              </w:object>
            </w: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 xml:space="preserve"> is the number of SRS measurement occasions (depends on the applicable bandwidth);</w:t>
            </w:r>
          </w:p>
          <w:p w14:paraId="31E0E2DF" w14:textId="77777777" w:rsidR="005C1D9D" w:rsidRPr="005C1D9D" w:rsidRDefault="005C1D9D" w:rsidP="005C1D9D">
            <w:pPr>
              <w:overflowPunct w:val="0"/>
              <w:snapToGrid/>
              <w:spacing w:after="180"/>
              <w:ind w:left="568" w:hanging="284"/>
              <w:jc w:val="left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>-</w:t>
            </w: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ab/>
              <w:t>n is the number of requested UL RTOA measurements per carrier;</w:t>
            </w:r>
          </w:p>
          <w:p w14:paraId="1B6C54AA" w14:textId="77777777" w:rsidR="005C1D9D" w:rsidRPr="005C1D9D" w:rsidRDefault="005C1D9D" w:rsidP="005C1D9D">
            <w:pPr>
              <w:overflowPunct w:val="0"/>
              <w:snapToGrid/>
              <w:spacing w:after="180"/>
              <w:ind w:left="568" w:hanging="284"/>
              <w:jc w:val="left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>-</w:t>
            </w: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ab/>
              <w:t>N is the minimum number of UL RTOA measurements per uplink carrier frequency for different UEs that can be measured in parallel, and</w:t>
            </w:r>
          </w:p>
          <w:p w14:paraId="25F8B475" w14:textId="77777777" w:rsidR="005C1D9D" w:rsidRPr="005C1D9D" w:rsidRDefault="005C1D9D" w:rsidP="005C1D9D">
            <w:pPr>
              <w:overflowPunct w:val="0"/>
              <w:snapToGrid/>
              <w:spacing w:after="180"/>
              <w:ind w:left="568" w:hanging="284"/>
              <w:jc w:val="left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>-</w:t>
            </w: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ab/>
            </w:r>
            <w:r w:rsidRPr="005C1D9D">
              <w:rPr>
                <w:rFonts w:eastAsia="MS Mincho"/>
                <w:position w:val="-4"/>
                <w:sz w:val="20"/>
                <w:szCs w:val="20"/>
                <w:lang w:val="en-GB" w:eastAsia="ko-KR"/>
              </w:rPr>
              <w:object w:dxaOrig="225" w:dyaOrig="255" w14:anchorId="4AC1790A">
                <v:shape id="_x0000_i1029" type="#_x0000_t75" style="width:11.25pt;height:13.3pt" o:ole="">
                  <v:imagedata r:id="rId16" o:title=""/>
                </v:shape>
                <o:OLEObject Type="Embed" ProgID="Equation.3" ShapeID="_x0000_i1029" DrawAspect="Content" ObjectID="_1648103097" r:id="rId17"/>
              </w:object>
            </w:r>
            <w:r w:rsidRPr="005C1D9D">
              <w:rPr>
                <w:rFonts w:eastAsia="Times New Roman"/>
                <w:sz w:val="20"/>
                <w:szCs w:val="20"/>
                <w:lang w:val="en-GB" w:eastAsia="ko-KR"/>
              </w:rPr>
              <w:t>=50 ms is a margin to account e.g. for the time necessary for sampling and processing.</w:t>
            </w:r>
          </w:p>
        </w:tc>
      </w:tr>
    </w:tbl>
    <w:p w14:paraId="2E88CA48" w14:textId="77777777" w:rsidR="007719AD" w:rsidRDefault="007719AD" w:rsidP="007719AD">
      <w:pPr>
        <w:pStyle w:val="3GPPAgreements"/>
        <w:numPr>
          <w:ilvl w:val="0"/>
          <w:numId w:val="0"/>
        </w:numPr>
        <w:rPr>
          <w:lang w:eastAsia="zh-CN"/>
        </w:rPr>
      </w:pPr>
    </w:p>
    <w:p w14:paraId="50C50A7E" w14:textId="0E81BFC1" w:rsidR="005C1D9D" w:rsidRDefault="005C1D9D" w:rsidP="007719AD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E036B0"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The shortest latency for LPP is 1s in the current </w:t>
      </w:r>
      <w:r w:rsidR="009C6D12">
        <w:rPr>
          <w:b/>
          <w:i/>
        </w:rPr>
        <w:t xml:space="preserve"> LPP specification </w:t>
      </w:r>
      <w:r>
        <w:rPr>
          <w:b/>
          <w:i/>
        </w:rPr>
        <w:t>and there is no latency defined yet for NRPPa.</w:t>
      </w:r>
    </w:p>
    <w:p w14:paraId="3230518D" w14:textId="77777777" w:rsidR="005C1D9D" w:rsidRDefault="005C1D9D" w:rsidP="007719AD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Therefore, in order to meet the target latency requirement for Rel-16, we propose to address the latency aspects, by allowing smaller value of requested response time in the respective measurement request message.</w:t>
      </w:r>
    </w:p>
    <w:p w14:paraId="02B55688" w14:textId="22A60D02" w:rsidR="005C1D9D" w:rsidRDefault="00FF5541" w:rsidP="00F61E65">
      <w:pPr>
        <w:rPr>
          <w:b/>
          <w:i/>
        </w:rPr>
      </w:pPr>
      <w:bookmarkStart w:id="3" w:name="_Ref129681832"/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E036B0"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 w:rsidR="00DA0E57">
        <w:rPr>
          <w:b/>
          <w:i/>
        </w:rPr>
        <w:t xml:space="preserve"> </w:t>
      </w:r>
      <w:r w:rsidR="005C1D9D">
        <w:rPr>
          <w:b/>
          <w:i/>
        </w:rPr>
        <w:t>Add (new) requested response time in the measurement request message, e.g.</w:t>
      </w:r>
      <w:r w:rsidR="009C6D12">
        <w:rPr>
          <w:b/>
          <w:i/>
        </w:rPr>
        <w:t>,</w:t>
      </w:r>
      <w:r w:rsidR="005C1D9D">
        <w:rPr>
          <w:b/>
          <w:i/>
        </w:rPr>
        <w:t xml:space="preserve"> RequestLocationInformation in LPP and MEASUREMENT REQUEST in NRPPa.</w:t>
      </w:r>
    </w:p>
    <w:p w14:paraId="01C55DC0" w14:textId="77777777" w:rsidR="00FF5541" w:rsidRDefault="005C1D9D" w:rsidP="005C1D9D">
      <w:pPr>
        <w:pStyle w:val="af0"/>
        <w:numPr>
          <w:ilvl w:val="0"/>
          <w:numId w:val="20"/>
        </w:numPr>
        <w:ind w:firstLineChars="0"/>
        <w:rPr>
          <w:b/>
          <w:i/>
        </w:rPr>
      </w:pPr>
      <w:r>
        <w:rPr>
          <w:b/>
          <w:i/>
        </w:rPr>
        <w:t xml:space="preserve">The </w:t>
      </w:r>
      <w:r w:rsidRPr="005C1D9D">
        <w:rPr>
          <w:b/>
          <w:i/>
        </w:rPr>
        <w:t>minimum time is 100ms or 160ms.</w:t>
      </w:r>
    </w:p>
    <w:p w14:paraId="0BAA4707" w14:textId="77777777" w:rsidR="005C1D9D" w:rsidRDefault="005C1D9D" w:rsidP="005C1D9D">
      <w:pPr>
        <w:pStyle w:val="af0"/>
        <w:numPr>
          <w:ilvl w:val="0"/>
          <w:numId w:val="20"/>
        </w:numPr>
        <w:ind w:firstLineChars="0"/>
        <w:rPr>
          <w:b/>
          <w:i/>
        </w:rPr>
      </w:pPr>
      <w:r>
        <w:rPr>
          <w:b/>
          <w:i/>
        </w:rPr>
        <w:lastRenderedPageBreak/>
        <w:t>Send an LS to RAN2 and RAN3.</w:t>
      </w:r>
    </w:p>
    <w:p w14:paraId="6CB74E67" w14:textId="089D96CF" w:rsidR="00597B2A" w:rsidRPr="005C1D9D" w:rsidRDefault="00597B2A" w:rsidP="005C1D9D">
      <w:pPr>
        <w:pStyle w:val="af0"/>
        <w:numPr>
          <w:ilvl w:val="0"/>
          <w:numId w:val="20"/>
        </w:numPr>
        <w:ind w:firstLineChars="0"/>
        <w:rPr>
          <w:b/>
          <w:i/>
        </w:rPr>
      </w:pPr>
      <w:r>
        <w:rPr>
          <w:b/>
          <w:i/>
        </w:rPr>
        <w:t>Note: Network ensures that the normal report latency is complied with latency requirements defined in RAN4 to meet the performance requirement.</w:t>
      </w:r>
    </w:p>
    <w:p w14:paraId="1E738B77" w14:textId="77777777" w:rsidR="00407864" w:rsidRDefault="00407864" w:rsidP="00F61E65">
      <w:pPr>
        <w:rPr>
          <w:b/>
          <w:i/>
          <w:lang w:eastAsia="zh-CN"/>
        </w:rPr>
      </w:pPr>
    </w:p>
    <w:p w14:paraId="51BA21B9" w14:textId="77777777" w:rsidR="005C1D9D" w:rsidRDefault="005C1D9D" w:rsidP="005C1D9D">
      <w:pPr>
        <w:pStyle w:val="1"/>
        <w:rPr>
          <w:lang w:eastAsia="zh-CN"/>
        </w:rPr>
      </w:pPr>
      <w:r w:rsidRPr="005C1D9D">
        <w:rPr>
          <w:lang w:eastAsia="zh-CN"/>
        </w:rPr>
        <w:t>Feasibility of aperiodic SRS</w:t>
      </w:r>
    </w:p>
    <w:p w14:paraId="6CACA77F" w14:textId="3655CCBC" w:rsidR="005C1D9D" w:rsidRDefault="005C1D9D" w:rsidP="005C1D9D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AN1 has been discussing a lot on the support of aperiodic SRS, and even designed the resource-level slot offset for AP-SRS triggering. However, it is unclear how to describe the timing of the SRS for the neighbouring gNB</w:t>
      </w:r>
      <w:r w:rsidR="009C6D12">
        <w:rPr>
          <w:lang w:eastAsia="zh-CN"/>
        </w:rPr>
        <w:t xml:space="preserve"> </w:t>
      </w:r>
      <w:r>
        <w:rPr>
          <w:lang w:eastAsia="zh-CN"/>
        </w:rPr>
        <w:t xml:space="preserve">since the neighbouring gNB </w:t>
      </w:r>
      <w:r w:rsidR="009C6D12">
        <w:rPr>
          <w:lang w:eastAsia="zh-CN"/>
        </w:rPr>
        <w:t>does not</w:t>
      </w:r>
      <w:r>
        <w:rPr>
          <w:lang w:eastAsia="zh-CN"/>
        </w:rPr>
        <w:t xml:space="preserve"> monitor any DCI from the serving gNB, and therefore</w:t>
      </w:r>
      <w:r w:rsidR="009C6D12">
        <w:rPr>
          <w:lang w:eastAsia="zh-CN"/>
        </w:rPr>
        <w:t>,</w:t>
      </w:r>
      <w:r>
        <w:rPr>
          <w:lang w:eastAsia="zh-CN"/>
        </w:rPr>
        <w:t xml:space="preserve"> the slot level AP triggering offset should be not transmitted to the neighbouring gNB.</w:t>
      </w:r>
    </w:p>
    <w:p w14:paraId="36A2A58E" w14:textId="0E63D080" w:rsidR="00CC78AF" w:rsidRDefault="009C6D12" w:rsidP="005C1D9D">
      <w:pPr>
        <w:rPr>
          <w:lang w:eastAsia="zh-CN"/>
        </w:rPr>
      </w:pPr>
      <w:r>
        <w:rPr>
          <w:lang w:eastAsia="zh-CN"/>
        </w:rPr>
        <w:t>To summarize</w:t>
      </w:r>
      <w:r w:rsidR="00CC78AF">
        <w:rPr>
          <w:lang w:eastAsia="zh-CN"/>
        </w:rPr>
        <w:t xml:space="preserve">, it is not clear how to provide the timing to the neighbouring gNB to receive the SRS, </w:t>
      </w:r>
      <w:r w:rsidR="00597B2A">
        <w:rPr>
          <w:lang w:eastAsia="zh-CN"/>
        </w:rPr>
        <w:t xml:space="preserve">in particular </w:t>
      </w:r>
      <w:r w:rsidR="00CC78AF">
        <w:rPr>
          <w:lang w:eastAsia="zh-CN"/>
        </w:rPr>
        <w:t xml:space="preserve">if </w:t>
      </w:r>
      <w:r w:rsidR="00597B2A">
        <w:rPr>
          <w:lang w:eastAsia="zh-CN"/>
        </w:rPr>
        <w:t>the SRS configuration from LMF to gNBs is not the same as the SRS configuration from the serving gNB to the UE.</w:t>
      </w:r>
      <w:r w:rsidR="00597B2A" w:rsidDel="00597B2A">
        <w:rPr>
          <w:lang w:eastAsia="zh-CN"/>
        </w:rPr>
        <w:t xml:space="preserve"> </w:t>
      </w:r>
    </w:p>
    <w:p w14:paraId="18B5FA27" w14:textId="77777777" w:rsidR="00CC78AF" w:rsidRDefault="00CC78AF" w:rsidP="005C1D9D">
      <w:pPr>
        <w:rPr>
          <w:lang w:eastAsia="zh-CN"/>
        </w:rPr>
      </w:pPr>
      <w:r>
        <w:rPr>
          <w:lang w:eastAsia="zh-CN"/>
        </w:rPr>
        <w:t>In conclusion, we think the AP SRS feature for positioning should be postponed to Rel-17.</w:t>
      </w:r>
    </w:p>
    <w:p w14:paraId="184A5B2C" w14:textId="26427D11" w:rsidR="00CC78AF" w:rsidRDefault="00CC78AF" w:rsidP="005C1D9D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E036B0"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Postpone AP SRS support for positioning to Rel-17.</w:t>
      </w:r>
    </w:p>
    <w:p w14:paraId="779878E1" w14:textId="77777777" w:rsidR="00CC78AF" w:rsidRPr="005C1D9D" w:rsidRDefault="00CC78AF" w:rsidP="00CC78AF">
      <w:pPr>
        <w:pStyle w:val="af0"/>
        <w:numPr>
          <w:ilvl w:val="0"/>
          <w:numId w:val="22"/>
        </w:numPr>
        <w:ind w:firstLineChars="0"/>
        <w:rPr>
          <w:lang w:eastAsia="zh-CN"/>
        </w:rPr>
      </w:pPr>
      <w:r>
        <w:rPr>
          <w:b/>
          <w:i/>
          <w:lang w:eastAsia="zh-CN"/>
        </w:rPr>
        <w:t>The existing agreement will be the starting point for Rel-17.</w:t>
      </w:r>
    </w:p>
    <w:p w14:paraId="2F623E09" w14:textId="77777777" w:rsidR="005C1D9D" w:rsidRPr="00E036B0" w:rsidRDefault="005C1D9D" w:rsidP="00F61E65">
      <w:pPr>
        <w:rPr>
          <w:b/>
          <w:i/>
          <w:lang w:eastAsia="zh-CN"/>
        </w:rPr>
      </w:pPr>
    </w:p>
    <w:p w14:paraId="66F2A121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2C33CD49" w14:textId="25596322" w:rsidR="00E036B0" w:rsidRPr="00E036B0" w:rsidRDefault="00E036B0" w:rsidP="00E036B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provided our views on the aspects having both physical layer impact and higher layer specification. Based on the discussion, we have the following proposals.</w:t>
      </w:r>
    </w:p>
    <w:p w14:paraId="7BCC6084" w14:textId="77777777" w:rsidR="00E036B0" w:rsidRDefault="00E036B0" w:rsidP="00E036B0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Add (new) requested response time in the measurement request message, e.g., RequestLocationInformation in LPP and MEASUREMENT REQUEST in NRPPa.</w:t>
      </w:r>
    </w:p>
    <w:p w14:paraId="6A9FA588" w14:textId="77777777" w:rsidR="00E036B0" w:rsidRDefault="00E036B0" w:rsidP="00E036B0">
      <w:pPr>
        <w:pStyle w:val="af0"/>
        <w:numPr>
          <w:ilvl w:val="0"/>
          <w:numId w:val="20"/>
        </w:numPr>
        <w:ind w:firstLineChars="0"/>
        <w:rPr>
          <w:b/>
          <w:i/>
        </w:rPr>
      </w:pPr>
      <w:r>
        <w:rPr>
          <w:b/>
          <w:i/>
        </w:rPr>
        <w:t xml:space="preserve">The </w:t>
      </w:r>
      <w:r w:rsidRPr="005C1D9D">
        <w:rPr>
          <w:b/>
          <w:i/>
        </w:rPr>
        <w:t>minimum time is 100ms or 160ms.</w:t>
      </w:r>
    </w:p>
    <w:p w14:paraId="099E3CBC" w14:textId="77777777" w:rsidR="00E036B0" w:rsidRDefault="00E036B0" w:rsidP="00E036B0">
      <w:pPr>
        <w:pStyle w:val="af0"/>
        <w:numPr>
          <w:ilvl w:val="0"/>
          <w:numId w:val="20"/>
        </w:numPr>
        <w:ind w:firstLineChars="0"/>
        <w:rPr>
          <w:b/>
          <w:i/>
        </w:rPr>
      </w:pPr>
      <w:r>
        <w:rPr>
          <w:b/>
          <w:i/>
        </w:rPr>
        <w:t>Send an LS to RAN2 and RAN3.</w:t>
      </w:r>
    </w:p>
    <w:p w14:paraId="168CA21C" w14:textId="77777777" w:rsidR="00E036B0" w:rsidRPr="005C1D9D" w:rsidRDefault="00E036B0" w:rsidP="00E036B0">
      <w:pPr>
        <w:pStyle w:val="af0"/>
        <w:numPr>
          <w:ilvl w:val="0"/>
          <w:numId w:val="20"/>
        </w:numPr>
        <w:ind w:firstLineChars="0"/>
        <w:rPr>
          <w:b/>
          <w:i/>
        </w:rPr>
      </w:pPr>
      <w:r>
        <w:rPr>
          <w:b/>
          <w:i/>
        </w:rPr>
        <w:t>Note: Network ensures that the normal report latency is complied with latency requirements defined in RAN4 to meet the performance requirement.</w:t>
      </w:r>
    </w:p>
    <w:p w14:paraId="354B9F67" w14:textId="77777777" w:rsidR="00E036B0" w:rsidRDefault="00E036B0" w:rsidP="00E036B0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Postpone AP SRS support for positioning to Rel-17.</w:t>
      </w:r>
    </w:p>
    <w:p w14:paraId="312F12A1" w14:textId="77777777" w:rsidR="00E036B0" w:rsidRPr="005C1D9D" w:rsidRDefault="00E036B0" w:rsidP="00E036B0">
      <w:pPr>
        <w:pStyle w:val="af0"/>
        <w:numPr>
          <w:ilvl w:val="0"/>
          <w:numId w:val="22"/>
        </w:numPr>
        <w:ind w:firstLineChars="0"/>
        <w:rPr>
          <w:lang w:eastAsia="zh-CN"/>
        </w:rPr>
      </w:pPr>
      <w:r>
        <w:rPr>
          <w:b/>
          <w:i/>
          <w:lang w:eastAsia="zh-CN"/>
        </w:rPr>
        <w:t>The existing agreement will be the starting point for Rel-17.</w:t>
      </w:r>
    </w:p>
    <w:p w14:paraId="051C623B" w14:textId="77777777" w:rsidR="006B1FD5" w:rsidRPr="00E036B0" w:rsidRDefault="006B1FD5" w:rsidP="006B1FD5">
      <w:pPr>
        <w:rPr>
          <w:kern w:val="2"/>
          <w:lang w:eastAsia="zh-CN"/>
        </w:rPr>
      </w:pPr>
    </w:p>
    <w:p w14:paraId="2CF132D9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14:paraId="3C387843" w14:textId="77777777" w:rsidR="00136A23" w:rsidRDefault="00407864" w:rsidP="00407864">
      <w:pPr>
        <w:pStyle w:val="References"/>
        <w:rPr>
          <w:kern w:val="2"/>
          <w:lang w:eastAsia="zh-CN"/>
        </w:rPr>
      </w:pPr>
      <w:bookmarkStart w:id="7" w:name="_Ref36306201"/>
      <w:bookmarkEnd w:id="4"/>
      <w:bookmarkEnd w:id="5"/>
      <w:bookmarkEnd w:id="6"/>
      <w:r>
        <w:rPr>
          <w:rFonts w:hint="eastAsia"/>
          <w:kern w:val="2"/>
          <w:lang w:eastAsia="zh-CN"/>
        </w:rPr>
        <w:t>3</w:t>
      </w:r>
      <w:r>
        <w:rPr>
          <w:kern w:val="2"/>
          <w:lang w:eastAsia="zh-CN"/>
        </w:rPr>
        <w:t xml:space="preserve">GPP TR 38.855, </w:t>
      </w:r>
      <w:r w:rsidRPr="00407864">
        <w:rPr>
          <w:kern w:val="2"/>
          <w:lang w:eastAsia="zh-CN"/>
        </w:rPr>
        <w:t>Study on NR positioning support</w:t>
      </w:r>
      <w:r>
        <w:rPr>
          <w:kern w:val="2"/>
          <w:lang w:eastAsia="zh-CN"/>
        </w:rPr>
        <w:t>.</w:t>
      </w:r>
      <w:bookmarkEnd w:id="7"/>
    </w:p>
    <w:p w14:paraId="5D6A7C7A" w14:textId="77777777" w:rsidR="00CC78AF" w:rsidRDefault="00CC78AF" w:rsidP="00CC78AF">
      <w:pPr>
        <w:pStyle w:val="References"/>
        <w:rPr>
          <w:kern w:val="2"/>
          <w:lang w:eastAsia="zh-CN"/>
        </w:rPr>
      </w:pPr>
      <w:bookmarkStart w:id="8" w:name="_Ref36308621"/>
      <w:r>
        <w:rPr>
          <w:kern w:val="2"/>
          <w:lang w:eastAsia="zh-CN"/>
        </w:rPr>
        <w:t xml:space="preserve">3GPP TS 37.355, </w:t>
      </w:r>
      <w:r w:rsidRPr="00CC78AF">
        <w:rPr>
          <w:kern w:val="2"/>
          <w:lang w:eastAsia="zh-CN"/>
        </w:rPr>
        <w:t>LTE Positioning Protocol (LPP)</w:t>
      </w:r>
      <w:r>
        <w:rPr>
          <w:kern w:val="2"/>
          <w:lang w:eastAsia="zh-CN"/>
        </w:rPr>
        <w:t>.</w:t>
      </w:r>
      <w:bookmarkEnd w:id="8"/>
    </w:p>
    <w:p w14:paraId="593641DD" w14:textId="77777777" w:rsidR="00CC78AF" w:rsidRPr="00CC78AF" w:rsidRDefault="00CC78AF" w:rsidP="00986292">
      <w:pPr>
        <w:pStyle w:val="References"/>
        <w:rPr>
          <w:kern w:val="2"/>
          <w:lang w:eastAsia="zh-CN"/>
        </w:rPr>
      </w:pPr>
      <w:bookmarkStart w:id="9" w:name="_Ref36308615"/>
      <w:r w:rsidRPr="00CC78AF">
        <w:rPr>
          <w:kern w:val="2"/>
          <w:lang w:eastAsia="zh-CN"/>
        </w:rPr>
        <w:t>3GPP TS 36.111, Location Measurement Unit (LMU) performance specification; Network based positioning systems in Evolved Universal Terrestrial Radio Access Network (E-UTRAN)</w:t>
      </w:r>
      <w:r>
        <w:rPr>
          <w:kern w:val="2"/>
          <w:lang w:eastAsia="zh-CN"/>
        </w:rPr>
        <w:t>.</w:t>
      </w:r>
      <w:bookmarkEnd w:id="9"/>
    </w:p>
    <w:bookmarkEnd w:id="3"/>
    <w:p w14:paraId="1189AA8F" w14:textId="77777777" w:rsidR="00164952" w:rsidRPr="00164952" w:rsidRDefault="00164952" w:rsidP="00093DD0">
      <w:pPr>
        <w:rPr>
          <w:kern w:val="2"/>
          <w:lang w:eastAsia="zh-CN"/>
        </w:rPr>
      </w:pPr>
    </w:p>
    <w:sectPr w:rsidR="00164952" w:rsidRPr="0016495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C4A69" w14:textId="77777777" w:rsidR="00F13F41" w:rsidRDefault="00F13F41">
      <w:r>
        <w:separator/>
      </w:r>
    </w:p>
  </w:endnote>
  <w:endnote w:type="continuationSeparator" w:id="0">
    <w:p w14:paraId="1654D46B" w14:textId="77777777" w:rsidR="00F13F41" w:rsidRDefault="00F1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A3A61" w14:textId="77777777" w:rsidR="00F13F41" w:rsidRDefault="00F13F41">
      <w:r>
        <w:separator/>
      </w:r>
    </w:p>
  </w:footnote>
  <w:footnote w:type="continuationSeparator" w:id="0">
    <w:p w14:paraId="7EA565B4" w14:textId="77777777" w:rsidR="00F13F41" w:rsidRDefault="00F13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7A5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E3AFC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320E4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660C11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94115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2349E0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510E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5420AF"/>
    <w:multiLevelType w:val="multilevel"/>
    <w:tmpl w:val="35CE5E3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ED01303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032BB8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565C1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E1D2F55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779382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4257F5"/>
    <w:multiLevelType w:val="hybridMultilevel"/>
    <w:tmpl w:val="00F03B94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B45CF7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567041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E53AC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DCA0AE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0"/>
  </w:num>
  <w:num w:numId="3">
    <w:abstractNumId w:val="15"/>
  </w:num>
  <w:num w:numId="4">
    <w:abstractNumId w:val="7"/>
  </w:num>
  <w:num w:numId="5">
    <w:abstractNumId w:val="0"/>
  </w:num>
  <w:num w:numId="6">
    <w:abstractNumId w:val="6"/>
  </w:num>
  <w:num w:numId="7">
    <w:abstractNumId w:val="16"/>
  </w:num>
  <w:num w:numId="8">
    <w:abstractNumId w:val="1"/>
  </w:num>
  <w:num w:numId="9">
    <w:abstractNumId w:val="4"/>
  </w:num>
  <w:num w:numId="10">
    <w:abstractNumId w:val="14"/>
  </w:num>
  <w:num w:numId="11">
    <w:abstractNumId w:val="19"/>
  </w:num>
  <w:num w:numId="12">
    <w:abstractNumId w:val="17"/>
  </w:num>
  <w:num w:numId="13">
    <w:abstractNumId w:val="9"/>
  </w:num>
  <w:num w:numId="14">
    <w:abstractNumId w:val="11"/>
  </w:num>
  <w:num w:numId="15">
    <w:abstractNumId w:val="8"/>
  </w:num>
  <w:num w:numId="16">
    <w:abstractNumId w:val="2"/>
  </w:num>
  <w:num w:numId="17">
    <w:abstractNumId w:val="5"/>
  </w:num>
  <w:num w:numId="18">
    <w:abstractNumId w:val="7"/>
  </w:num>
  <w:num w:numId="19">
    <w:abstractNumId w:val="7"/>
  </w:num>
  <w:num w:numId="20">
    <w:abstractNumId w:val="3"/>
  </w:num>
  <w:num w:numId="21">
    <w:abstractNumId w:val="18"/>
  </w:num>
  <w:num w:numId="22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E43"/>
    <w:rsid w:val="00015EFB"/>
    <w:rsid w:val="000165E2"/>
    <w:rsid w:val="000172BE"/>
    <w:rsid w:val="00017D8A"/>
    <w:rsid w:val="00023388"/>
    <w:rsid w:val="00023425"/>
    <w:rsid w:val="000241BE"/>
    <w:rsid w:val="000242F2"/>
    <w:rsid w:val="00025709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444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952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7F8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C91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D1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86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03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B2A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1D9D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2942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B98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9AD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47B6"/>
    <w:rsid w:val="0081581D"/>
    <w:rsid w:val="008172BE"/>
    <w:rsid w:val="00817B71"/>
    <w:rsid w:val="00820244"/>
    <w:rsid w:val="008203A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27BA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9CD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229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DA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BE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D1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395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07BAD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8C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F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D8E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D1D"/>
    <w:rsid w:val="00B06F13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CA5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40E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2FC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C78AF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F30"/>
    <w:rsid w:val="00D437D8"/>
    <w:rsid w:val="00D44994"/>
    <w:rsid w:val="00D45DF3"/>
    <w:rsid w:val="00D46174"/>
    <w:rsid w:val="00D47DD0"/>
    <w:rsid w:val="00D50183"/>
    <w:rsid w:val="00D51D12"/>
    <w:rsid w:val="00D5253A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0E57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1F7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36B0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A16"/>
    <w:rsid w:val="00E671C9"/>
    <w:rsid w:val="00E6743F"/>
    <w:rsid w:val="00E6758E"/>
    <w:rsid w:val="00E67E23"/>
    <w:rsid w:val="00E70016"/>
    <w:rsid w:val="00E70BC7"/>
    <w:rsid w:val="00E70FBC"/>
    <w:rsid w:val="00E71AA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D73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3F41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E65"/>
    <w:rsid w:val="00F61FD8"/>
    <w:rsid w:val="00F62DBF"/>
    <w:rsid w:val="00F641FC"/>
    <w:rsid w:val="00F647F7"/>
    <w:rsid w:val="00F652F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F6E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736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541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16688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"/>
    <w:rsid w:val="00AD7D8E"/>
    <w:pPr>
      <w:numPr>
        <w:numId w:val="4"/>
      </w:numPr>
    </w:pPr>
  </w:style>
  <w:style w:type="paragraph" w:customStyle="1" w:styleId="PL">
    <w:name w:val="PL"/>
    <w:link w:val="PLChar"/>
    <w:qFormat/>
    <w:rsid w:val="00047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47444"/>
    <w:rPr>
      <w:rFonts w:ascii="Courier New" w:eastAsiaTheme="minorEastAsia" w:hAnsi="Courier New"/>
      <w:noProof/>
      <w:sz w:val="16"/>
      <w:lang w:val="en-GB"/>
    </w:rPr>
  </w:style>
  <w:style w:type="paragraph" w:customStyle="1" w:styleId="TAL">
    <w:name w:val="TAL"/>
    <w:basedOn w:val="a"/>
    <w:link w:val="TALChar"/>
    <w:qFormat/>
    <w:rsid w:val="001F67F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1F67F8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basedOn w:val="a0"/>
    <w:qFormat/>
    <w:locked/>
    <w:rsid w:val="001F67F8"/>
    <w:rPr>
      <w:rFonts w:ascii="Arial" w:eastAsiaTheme="minorEastAsia" w:hAnsi="Arial"/>
      <w:sz w:val="18"/>
      <w:lang w:val="en-GB" w:eastAsia="en-US"/>
    </w:rPr>
  </w:style>
  <w:style w:type="paragraph" w:styleId="af0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B05D1D"/>
    <w:pPr>
      <w:ind w:firstLineChars="200" w:firstLine="420"/>
    </w:pPr>
  </w:style>
  <w:style w:type="paragraph" w:styleId="21">
    <w:name w:val="List 2"/>
    <w:basedOn w:val="a"/>
    <w:semiHidden/>
    <w:unhideWhenUsed/>
    <w:rsid w:val="00B05D1D"/>
    <w:pPr>
      <w:ind w:leftChars="200" w:left="100" w:hangingChars="200" w:hanging="200"/>
      <w:contextualSpacing/>
    </w:p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164952"/>
    <w:rPr>
      <w:sz w:val="22"/>
      <w:szCs w:val="22"/>
    </w:rPr>
  </w:style>
  <w:style w:type="paragraph" w:customStyle="1" w:styleId="B1">
    <w:name w:val="B1"/>
    <w:basedOn w:val="a"/>
    <w:qFormat/>
    <w:rsid w:val="007719AD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719AD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9C6D12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9C6D12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9C6D12"/>
  </w:style>
  <w:style w:type="paragraph" w:styleId="af3">
    <w:name w:val="annotation subject"/>
    <w:basedOn w:val="af2"/>
    <w:next w:val="af2"/>
    <w:link w:val="Char5"/>
    <w:semiHidden/>
    <w:unhideWhenUsed/>
    <w:rsid w:val="009C6D12"/>
    <w:rPr>
      <w:b/>
      <w:bCs/>
    </w:rPr>
  </w:style>
  <w:style w:type="character" w:customStyle="1" w:styleId="Char5">
    <w:name w:val="批注主题 Char"/>
    <w:basedOn w:val="Char4"/>
    <w:link w:val="af3"/>
    <w:semiHidden/>
    <w:rsid w:val="009C6D12"/>
    <w:rPr>
      <w:b/>
      <w:bCs/>
    </w:rPr>
  </w:style>
  <w:style w:type="paragraph" w:styleId="af4">
    <w:name w:val="Revision"/>
    <w:hidden/>
    <w:uiPriority w:val="99"/>
    <w:semiHidden/>
    <w:rsid w:val="009C6D1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0DB8B-DC29-4EE9-AB00-25C422687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1254</Words>
  <Characters>6624</Characters>
  <Application>Microsoft Office Word</Application>
  <DocSecurity>0</DocSecurity>
  <Lines>129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6</cp:revision>
  <cp:lastPrinted>2007-06-18T22:08:00Z</cp:lastPrinted>
  <dcterms:created xsi:type="dcterms:W3CDTF">2020-04-09T04:21:00Z</dcterms:created>
  <dcterms:modified xsi:type="dcterms:W3CDTF">2020-04-11T01:23:00Z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(3)Qg4S0ZF/wl93PRG+3P/6EzCJwmuvp4JW5Hkv2K3rhl4itSI4KT5+TaR+zkyxPae4ueouFYEd
bT+D8vZXh09nTT0XG5H9TKNp4GOTt+BnjVURR2vbhH2bKAPIIV7BCdi3j1CwgGrVxkFJ1Jni
FDlk5HAF9Y3a9cu8MJccFHyKnIScgDrQmh/hGpdm/MxwwzPAixH+/j9riGP8hJOkm8if52/Q
Yuo8aleBwww5jYpYX1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deBAexqvcAoPGFAeQr48SrHbVyWBxZEUiYS2X59sZDmDUCJWgJj37b
rNjFP+fCndsVe/BhizCbvrdOLRHfgEUOA/WjrsJHFKpTrbU7he9D1+ihaEzJxTFJWqhAh7Y3
2NTLJHFUbDrDIVplMXUVJTIJED9yX8bsh7+M/7LF2+gHs9z47lpHDEusVP+KJtJlhwEzB4nu
xB6aAiJQ7M5Mf06vCjOc/L1suZNgW71md9iY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7J47AfvFPevpSCDOoYacZBZkv8SxEi7nxT6t
aJ02uXaW9OC4M7RaVFJ8+1vPw+39hw==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