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1A8C8009" w:rsidR="00693AE2" w:rsidRPr="0056520D" w:rsidRDefault="00693AE2" w:rsidP="00693AE2">
      <w:pPr>
        <w:pStyle w:val="Header"/>
        <w:rPr>
          <w:lang w:val="de-DE"/>
        </w:rPr>
      </w:pPr>
      <w:r w:rsidRPr="0056520D">
        <w:rPr>
          <w:lang w:val="de-DE"/>
        </w:rPr>
        <w:t>3GPP TSG-RAN WG1</w:t>
      </w:r>
      <w:r w:rsidR="00416929">
        <w:rPr>
          <w:lang w:val="de-DE"/>
        </w:rPr>
        <w:t xml:space="preserve"> #</w:t>
      </w:r>
      <w:r w:rsidR="00651E5A">
        <w:t>100-e</w:t>
      </w:r>
      <w:r>
        <w:tab/>
      </w:r>
      <w:r>
        <w:rPr>
          <w:lang w:val="de-DE"/>
        </w:rPr>
        <w:tab/>
      </w:r>
      <w:r w:rsidR="00D22B67" w:rsidRPr="00D22B67">
        <w:rPr>
          <w:lang w:val="de-DE"/>
        </w:rPr>
        <w:t>R1-</w:t>
      </w:r>
      <w:r w:rsidR="00651E5A">
        <w:rPr>
          <w:lang w:val="de-DE"/>
        </w:rPr>
        <w:t>20</w:t>
      </w:r>
      <w:r w:rsidR="009C4756">
        <w:rPr>
          <w:lang w:val="de-DE"/>
        </w:rPr>
        <w:t>00883</w:t>
      </w:r>
    </w:p>
    <w:p w14:paraId="718953D8" w14:textId="4DC7641E" w:rsidR="00693AE2" w:rsidRDefault="00651E5A" w:rsidP="00693AE2">
      <w:pPr>
        <w:pStyle w:val="Header"/>
        <w:rPr>
          <w:lang w:val="de-DE"/>
        </w:rPr>
      </w:pPr>
      <w:r w:rsidRPr="00651E5A">
        <w:rPr>
          <w:lang w:val="de-DE"/>
        </w:rPr>
        <w:t>e-Meeting, February 24th – March 6th, 2020</w:t>
      </w:r>
    </w:p>
    <w:p w14:paraId="7558B307" w14:textId="77777777" w:rsidR="00651E5A" w:rsidRPr="000833FA" w:rsidRDefault="00651E5A"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04950D32" w:rsidR="00693AE2" w:rsidRPr="00E220C0" w:rsidRDefault="00693AE2" w:rsidP="00693AE2">
      <w:pPr>
        <w:pStyle w:val="Header"/>
        <w:tabs>
          <w:tab w:val="clear" w:pos="4536"/>
          <w:tab w:val="left" w:pos="1800"/>
        </w:tabs>
      </w:pPr>
      <w:r w:rsidRPr="0003368D">
        <w:t>Title:</w:t>
      </w:r>
      <w:bookmarkStart w:id="0" w:name="Title"/>
      <w:bookmarkEnd w:id="0"/>
      <w:r w:rsidRPr="0003368D">
        <w:tab/>
      </w:r>
      <w:r w:rsidR="00651E5A">
        <w:t>RAN1 aspects of UL Tx switching</w:t>
      </w:r>
    </w:p>
    <w:p w14:paraId="4C50045B" w14:textId="132B6966" w:rsidR="00693AE2" w:rsidRPr="00E220C0" w:rsidRDefault="00693AE2" w:rsidP="00693AE2">
      <w:pPr>
        <w:pStyle w:val="Header"/>
        <w:tabs>
          <w:tab w:val="left" w:pos="1800"/>
        </w:tabs>
      </w:pPr>
      <w:r w:rsidRPr="00E220C0">
        <w:t>Agenda Item:</w:t>
      </w:r>
      <w:bookmarkStart w:id="1" w:name="Source"/>
      <w:bookmarkEnd w:id="1"/>
      <w:r w:rsidRPr="00E220C0">
        <w:tab/>
      </w:r>
      <w:r w:rsidR="00651E5A">
        <w:t>5.1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bookmarkStart w:id="3" w:name="_GoBack"/>
      <w:bookmarkEnd w:id="3"/>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6E56AF14" w14:textId="3849B771" w:rsidR="00436517" w:rsidRDefault="00235FA3" w:rsidP="00693AE2">
      <w:pPr>
        <w:pStyle w:val="BodyText"/>
        <w:rPr>
          <w:lang w:val="en-AU"/>
        </w:rPr>
      </w:pPr>
      <w:bookmarkStart w:id="4" w:name="_Ref178064866"/>
      <w:r w:rsidRPr="159382A1">
        <w:rPr>
          <w:lang w:val="en-AU"/>
        </w:rPr>
        <w:t>In</w:t>
      </w:r>
      <w:r w:rsidR="00FA1A92">
        <w:rPr>
          <w:lang w:val="en-AU"/>
        </w:rPr>
        <w:t xml:space="preserve"> this document, we discuss </w:t>
      </w:r>
      <w:r w:rsidR="00651E5A">
        <w:rPr>
          <w:lang w:val="en-AU"/>
        </w:rPr>
        <w:t xml:space="preserve">some </w:t>
      </w:r>
      <w:r w:rsidR="00FA1A92">
        <w:rPr>
          <w:lang w:val="en-AU"/>
        </w:rPr>
        <w:t xml:space="preserve">remaining </w:t>
      </w:r>
      <w:r w:rsidR="00651E5A">
        <w:rPr>
          <w:lang w:val="en-AU"/>
        </w:rPr>
        <w:t xml:space="preserve">RAN1 aspects for the below objective of the RAN4 led WI on </w:t>
      </w:r>
      <w:r w:rsidR="00651E5A" w:rsidRPr="00651E5A">
        <w:rPr>
          <w:lang w:val="en-AU"/>
        </w:rPr>
        <w:t>RF requirements for NR frequency range 1 (FR1)</w:t>
      </w:r>
      <w:r w:rsidR="00FA1A92">
        <w:rPr>
          <w:lang w:val="en-AU"/>
        </w:rPr>
        <w:t>.</w:t>
      </w:r>
    </w:p>
    <w:p w14:paraId="25E2922B" w14:textId="6DC49219" w:rsidR="00651E5A" w:rsidRPr="00E96CF9" w:rsidRDefault="64AC73CA" w:rsidP="00651E5A">
      <w:pPr>
        <w:pStyle w:val="BodyText"/>
        <w:jc w:val="center"/>
        <w:rPr>
          <w:szCs w:val="20"/>
        </w:rPr>
      </w:pPr>
      <w:r>
        <w:rPr>
          <w:noProof/>
        </w:rPr>
        <w:drawing>
          <wp:inline distT="0" distB="0" distL="0" distR="0" wp14:anchorId="2925CCF5" wp14:editId="2F0F6249">
            <wp:extent cx="4797422" cy="3011609"/>
            <wp:effectExtent l="0" t="0" r="3810" b="0"/>
            <wp:docPr id="1836506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4797422" cy="3011609"/>
                    </a:xfrm>
                    <a:prstGeom prst="rect">
                      <a:avLst/>
                    </a:prstGeom>
                  </pic:spPr>
                </pic:pic>
              </a:graphicData>
            </a:graphic>
          </wp:inline>
        </w:drawing>
      </w:r>
    </w:p>
    <w:bookmarkEnd w:id="4"/>
    <w:p w14:paraId="1CC7D15D" w14:textId="77777777" w:rsidR="00693AE2" w:rsidRDefault="00693AE2" w:rsidP="00693AE2">
      <w:pPr>
        <w:pStyle w:val="Heading1"/>
      </w:pPr>
      <w:r>
        <w:t>Discussion</w:t>
      </w:r>
    </w:p>
    <w:p w14:paraId="02CCB054" w14:textId="60FB5FBC" w:rsidR="00CF3DF8" w:rsidRPr="00CF3DF8" w:rsidRDefault="00CF3DF8" w:rsidP="006B4C06">
      <w:pPr>
        <w:pStyle w:val="Heading2"/>
        <w:rPr>
          <w:u w:val="single"/>
        </w:rPr>
      </w:pPr>
      <w:r>
        <w:rPr>
          <w:u w:val="single"/>
        </w:rPr>
        <w:t>Impact on PUSCH preparation time</w:t>
      </w:r>
    </w:p>
    <w:p w14:paraId="7A4A16A8" w14:textId="0E129835" w:rsidR="00CF3DF8" w:rsidRDefault="00CF3DF8" w:rsidP="006B4C06">
      <w:pPr>
        <w:pStyle w:val="BodyText"/>
      </w:pPr>
      <w:r>
        <w:t>For PUSCH preparation time, the following was agreed in RAN1#99</w:t>
      </w:r>
    </w:p>
    <w:p w14:paraId="4A92B745" w14:textId="77777777" w:rsidR="00CF3DF8" w:rsidRPr="00CF3DF8" w:rsidRDefault="00CF3DF8" w:rsidP="00CF3DF8">
      <w:pPr>
        <w:overflowPunct w:val="0"/>
        <w:autoSpaceDE w:val="0"/>
        <w:autoSpaceDN w:val="0"/>
        <w:adjustRightInd w:val="0"/>
        <w:spacing w:after="180"/>
        <w:ind w:left="420"/>
        <w:textAlignment w:val="baseline"/>
        <w:rPr>
          <w:i/>
          <w:iCs/>
          <w:szCs w:val="20"/>
          <w:lang w:eastAsia="zh-CN"/>
        </w:rPr>
      </w:pPr>
      <w:r w:rsidRPr="00CF3DF8">
        <w:rPr>
          <w:i/>
          <w:iCs/>
          <w:szCs w:val="20"/>
          <w:highlight w:val="green"/>
          <w:lang w:eastAsia="zh-CN"/>
        </w:rPr>
        <w:t>Agreements</w:t>
      </w:r>
      <w:r w:rsidRPr="00CF3DF8">
        <w:rPr>
          <w:i/>
          <w:iCs/>
          <w:szCs w:val="20"/>
          <w:lang w:eastAsia="zh-CN"/>
        </w:rPr>
        <w:t>:</w:t>
      </w:r>
    </w:p>
    <w:p w14:paraId="798DB50B" w14:textId="77777777" w:rsidR="00CF3DF8" w:rsidRPr="00CF3DF8" w:rsidRDefault="00CF3DF8" w:rsidP="00CF3DF8">
      <w:pPr>
        <w:numPr>
          <w:ilvl w:val="0"/>
          <w:numId w:val="9"/>
        </w:numPr>
        <w:overflowPunct w:val="0"/>
        <w:autoSpaceDE w:val="0"/>
        <w:autoSpaceDN w:val="0"/>
        <w:adjustRightInd w:val="0"/>
        <w:spacing w:after="180"/>
        <w:ind w:left="840"/>
        <w:jc w:val="both"/>
        <w:textAlignment w:val="baseline"/>
        <w:rPr>
          <w:bCs/>
          <w:i/>
          <w:iCs/>
          <w:szCs w:val="20"/>
        </w:rPr>
      </w:pPr>
      <w:r w:rsidRPr="00CF3DF8">
        <w:rPr>
          <w:rFonts w:hint="eastAsia"/>
          <w:bCs/>
          <w:i/>
          <w:iCs/>
          <w:szCs w:val="20"/>
        </w:rPr>
        <w:t xml:space="preserve">If </w:t>
      </w:r>
      <w:r w:rsidRPr="00CF3DF8">
        <w:rPr>
          <w:bCs/>
          <w:i/>
          <w:iCs/>
          <w:szCs w:val="20"/>
        </w:rPr>
        <w:t>the UL switching period</w:t>
      </w:r>
      <w:r w:rsidRPr="00CF3DF8">
        <w:rPr>
          <w:rFonts w:hint="eastAsia"/>
          <w:bCs/>
          <w:i/>
          <w:iCs/>
          <w:szCs w:val="20"/>
        </w:rPr>
        <w:t xml:space="preserve"> does not exist, </w:t>
      </w:r>
      <w:r w:rsidRPr="00CF3DF8">
        <w:rPr>
          <w:bCs/>
          <w:i/>
          <w:iCs/>
          <w:szCs w:val="20"/>
        </w:rPr>
        <w:t xml:space="preserve">additional time is </w:t>
      </w:r>
      <w:r w:rsidRPr="00CF3DF8">
        <w:rPr>
          <w:rFonts w:hint="eastAsia"/>
          <w:bCs/>
          <w:i/>
          <w:iCs/>
          <w:szCs w:val="20"/>
        </w:rPr>
        <w:t xml:space="preserve">not </w:t>
      </w:r>
      <w:r w:rsidRPr="00CF3DF8">
        <w:rPr>
          <w:bCs/>
          <w:i/>
          <w:iCs/>
          <w:szCs w:val="20"/>
        </w:rPr>
        <w:t>needed for PUSCH preparation procedure</w:t>
      </w:r>
      <w:r w:rsidRPr="00CF3DF8">
        <w:rPr>
          <w:rFonts w:hint="eastAsia"/>
          <w:bCs/>
          <w:i/>
          <w:iCs/>
          <w:szCs w:val="20"/>
        </w:rPr>
        <w:t>.</w:t>
      </w:r>
    </w:p>
    <w:p w14:paraId="4C67652D" w14:textId="77777777" w:rsidR="00CF3DF8" w:rsidRPr="00CF3DF8" w:rsidRDefault="00CF3DF8" w:rsidP="00CF3DF8">
      <w:pPr>
        <w:numPr>
          <w:ilvl w:val="0"/>
          <w:numId w:val="9"/>
        </w:numPr>
        <w:overflowPunct w:val="0"/>
        <w:autoSpaceDE w:val="0"/>
        <w:autoSpaceDN w:val="0"/>
        <w:adjustRightInd w:val="0"/>
        <w:spacing w:after="180"/>
        <w:ind w:left="840"/>
        <w:jc w:val="both"/>
        <w:textAlignment w:val="baseline"/>
        <w:rPr>
          <w:bCs/>
          <w:i/>
          <w:iCs/>
          <w:szCs w:val="20"/>
        </w:rPr>
      </w:pPr>
      <w:r w:rsidRPr="00CF3DF8">
        <w:rPr>
          <w:rFonts w:hint="eastAsia"/>
          <w:bCs/>
          <w:i/>
          <w:iCs/>
          <w:szCs w:val="20"/>
        </w:rPr>
        <w:t xml:space="preserve">If </w:t>
      </w:r>
      <w:r w:rsidRPr="00CF3DF8">
        <w:rPr>
          <w:bCs/>
          <w:i/>
          <w:iCs/>
          <w:szCs w:val="20"/>
        </w:rPr>
        <w:t>the UL switching period actually exists due to Tx switching</w:t>
      </w:r>
    </w:p>
    <w:p w14:paraId="35A144B1" w14:textId="77777777" w:rsidR="00CF3DF8" w:rsidRPr="00CF3DF8" w:rsidRDefault="00CF3DF8" w:rsidP="00CF3DF8">
      <w:pPr>
        <w:numPr>
          <w:ilvl w:val="0"/>
          <w:numId w:val="10"/>
        </w:numPr>
        <w:tabs>
          <w:tab w:val="clear" w:pos="644"/>
          <w:tab w:val="num" w:pos="1064"/>
          <w:tab w:val="left" w:pos="5103"/>
        </w:tabs>
        <w:snapToGrid w:val="0"/>
        <w:spacing w:after="100"/>
        <w:ind w:left="1064"/>
        <w:rPr>
          <w:bCs/>
          <w:i/>
          <w:iCs/>
          <w:szCs w:val="20"/>
          <w:lang w:eastAsia="zh-CN"/>
        </w:rPr>
      </w:pPr>
      <w:r w:rsidRPr="00CF3DF8">
        <w:rPr>
          <w:rFonts w:hint="eastAsia"/>
          <w:bCs/>
          <w:i/>
          <w:iCs/>
          <w:szCs w:val="20"/>
          <w:lang w:eastAsia="zh-CN"/>
        </w:rPr>
        <w:t>A</w:t>
      </w:r>
      <w:r w:rsidRPr="00CF3DF8">
        <w:rPr>
          <w:bCs/>
          <w:i/>
          <w:iCs/>
          <w:szCs w:val="20"/>
          <w:lang w:eastAsia="zh-CN"/>
        </w:rPr>
        <w:t>dditional time is needed for PUSCH preparation procedure</w:t>
      </w:r>
      <w:r w:rsidRPr="00CF3DF8">
        <w:rPr>
          <w:rFonts w:hint="eastAsia"/>
          <w:bCs/>
          <w:i/>
          <w:iCs/>
          <w:szCs w:val="20"/>
          <w:lang w:eastAsia="zh-CN"/>
        </w:rPr>
        <w:t xml:space="preserve"> time.</w:t>
      </w:r>
    </w:p>
    <w:p w14:paraId="06D50FDF" w14:textId="77777777" w:rsidR="00CF3DF8" w:rsidRPr="00CF3DF8" w:rsidRDefault="00CF3DF8" w:rsidP="00CF3DF8">
      <w:pPr>
        <w:numPr>
          <w:ilvl w:val="0"/>
          <w:numId w:val="10"/>
        </w:numPr>
        <w:tabs>
          <w:tab w:val="clear" w:pos="644"/>
          <w:tab w:val="num" w:pos="1064"/>
          <w:tab w:val="left" w:pos="5103"/>
        </w:tabs>
        <w:snapToGrid w:val="0"/>
        <w:spacing w:after="100"/>
        <w:ind w:left="1064"/>
        <w:rPr>
          <w:bCs/>
          <w:i/>
          <w:iCs/>
          <w:szCs w:val="20"/>
          <w:lang w:eastAsia="zh-CN"/>
        </w:rPr>
      </w:pPr>
      <w:r w:rsidRPr="00CF3DF8">
        <w:rPr>
          <w:rFonts w:hint="eastAsia"/>
          <w:bCs/>
          <w:i/>
          <w:iCs/>
          <w:szCs w:val="20"/>
          <w:lang w:eastAsia="zh-CN"/>
        </w:rPr>
        <w:t xml:space="preserve">The length of the </w:t>
      </w:r>
      <w:r w:rsidRPr="00CF3DF8">
        <w:rPr>
          <w:bCs/>
          <w:i/>
          <w:iCs/>
          <w:szCs w:val="20"/>
          <w:lang w:eastAsia="zh-CN"/>
        </w:rPr>
        <w:t>additional</w:t>
      </w:r>
      <w:r w:rsidRPr="00CF3DF8">
        <w:rPr>
          <w:rFonts w:hint="eastAsia"/>
          <w:bCs/>
          <w:i/>
          <w:iCs/>
          <w:szCs w:val="20"/>
          <w:lang w:eastAsia="zh-CN"/>
        </w:rPr>
        <w:t xml:space="preserve"> time will be decided in next RAN1 meeting.</w:t>
      </w:r>
    </w:p>
    <w:p w14:paraId="224ED83D" w14:textId="77777777" w:rsidR="00797136" w:rsidRDefault="00797136" w:rsidP="006B4C06">
      <w:pPr>
        <w:pStyle w:val="BodyText"/>
      </w:pPr>
    </w:p>
    <w:p w14:paraId="0DCB47EB" w14:textId="29D5B99F" w:rsidR="00CF3DF8" w:rsidRDefault="00CF3DF8" w:rsidP="006B4C06">
      <w:pPr>
        <w:pStyle w:val="BodyText"/>
      </w:pPr>
      <w:r>
        <w:t xml:space="preserve">The required </w:t>
      </w:r>
      <w:bookmarkStart w:id="5" w:name="_Hlk32335896"/>
      <w:r>
        <w:t xml:space="preserve">additional PUSCH preparation time need not be any longer than the </w:t>
      </w:r>
      <w:r w:rsidRPr="00CF3DF8">
        <w:t>length of UL switching period</w:t>
      </w:r>
      <w:r>
        <w:t xml:space="preserve"> being discussed in RAN4</w:t>
      </w:r>
      <w:bookmarkEnd w:id="5"/>
      <w:r>
        <w:t xml:space="preserve"> [1]. </w:t>
      </w:r>
      <w:r w:rsidR="003F1F60">
        <w:t>and</w:t>
      </w:r>
      <w:r>
        <w:t xml:space="preserve"> can be captured in RAN1 specs as shown in below TP to 38.214</w:t>
      </w:r>
      <w:r w:rsidR="00797136">
        <w:t>.</w:t>
      </w:r>
    </w:p>
    <w:p w14:paraId="55AE1A6D" w14:textId="77777777" w:rsidR="00797136" w:rsidRDefault="00797136" w:rsidP="006B4C06">
      <w:pPr>
        <w:pStyle w:val="BodyText"/>
      </w:pPr>
    </w:p>
    <w:p w14:paraId="4DDBD9F5" w14:textId="77777777" w:rsidR="00A127AF" w:rsidRDefault="00A127AF" w:rsidP="00A127AF">
      <w:pPr>
        <w:pStyle w:val="BodyText"/>
      </w:pPr>
      <w:r>
        <w:t>--------------- start TP1 to sub clause 6.4 of TS 38.214 ------------------------------</w:t>
      </w:r>
    </w:p>
    <w:p w14:paraId="064559A2" w14:textId="77777777" w:rsidR="00A127AF" w:rsidRDefault="00A127AF" w:rsidP="00A127AF">
      <w:pPr>
        <w:ind w:left="284"/>
        <w:rPr>
          <w:rFonts w:ascii="Arial" w:hAnsi="Arial" w:cs="Arial"/>
          <w:color w:val="000000"/>
          <w:sz w:val="32"/>
          <w:szCs w:val="40"/>
        </w:rPr>
      </w:pPr>
      <w:r w:rsidRPr="00A127AF">
        <w:rPr>
          <w:rFonts w:ascii="Arial" w:hAnsi="Arial" w:cs="Arial"/>
          <w:color w:val="000000"/>
          <w:sz w:val="32"/>
          <w:szCs w:val="40"/>
        </w:rPr>
        <w:t>6.4</w:t>
      </w:r>
      <w:r w:rsidRPr="00A127AF">
        <w:rPr>
          <w:rFonts w:ascii="Arial" w:hAnsi="Arial" w:cs="Arial"/>
          <w:color w:val="000000"/>
          <w:sz w:val="32"/>
          <w:szCs w:val="40"/>
        </w:rPr>
        <w:tab/>
        <w:t>UE PUSCH preparation procedure time</w:t>
      </w:r>
    </w:p>
    <w:p w14:paraId="2D8C5639" w14:textId="77777777" w:rsidR="00A127AF" w:rsidRDefault="00A127AF" w:rsidP="00A127AF">
      <w:pPr>
        <w:ind w:left="284"/>
        <w:rPr>
          <w:color w:val="000000"/>
        </w:rPr>
      </w:pPr>
    </w:p>
    <w:p w14:paraId="7BD48F49" w14:textId="77777777" w:rsidR="00A127AF" w:rsidRPr="0048482F" w:rsidRDefault="00A127AF" w:rsidP="00A127AF">
      <w:pPr>
        <w:ind w:left="284"/>
        <w:rPr>
          <w:color w:val="000000"/>
          <w:lang w:val="en-AU"/>
        </w:rPr>
      </w:pPr>
      <w:r w:rsidRPr="0048482F">
        <w:rPr>
          <w:color w:val="000000"/>
        </w:rPr>
        <w:lastRenderedPageBreak/>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3E0E94">
        <w:rPr>
          <w:strike/>
          <w:color w:val="000000"/>
          <w:position w:val="-16"/>
        </w:rPr>
        <w:object w:dxaOrig="4760" w:dyaOrig="440" w14:anchorId="50D2A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45pt;height:22pt" o:ole="">
            <v:imagedata r:id="rId9" o:title=""/>
          </v:shape>
          <o:OLEObject Type="Embed" ProgID="Equation.DSMT4" ShapeID="_x0000_i1059" DrawAspect="Content" ObjectID="_1643227720" r:id="rId10"/>
        </w:object>
      </w:r>
      <w:r w:rsidRPr="003E0E94">
        <w:rPr>
          <w:color w:val="C00000"/>
          <w:position w:val="-16"/>
          <w:u w:val="single"/>
        </w:rPr>
        <w:object w:dxaOrig="5460" w:dyaOrig="440" w14:anchorId="3D6EB0FB">
          <v:shape id="_x0000_i1060" type="#_x0000_t75" style="width:272pt;height:22pt" o:ole="">
            <v:imagedata r:id="rId11" o:title=""/>
          </v:shape>
          <o:OLEObject Type="Embed" ProgID="Equation.DSMT4" ShapeID="_x0000_i1060" DrawAspect="Content" ObjectID="_1643227721" r:id="rId12"/>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2489E7C5" w14:textId="77777777" w:rsidR="00A127AF" w:rsidRPr="0048482F" w:rsidRDefault="00A127AF" w:rsidP="00A127AF">
      <w:pPr>
        <w:pStyle w:val="B1"/>
        <w:ind w:left="852"/>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598D3AF8" w14:textId="77777777" w:rsidR="00A127AF" w:rsidRDefault="00A127AF" w:rsidP="00A127AF">
      <w:pPr>
        <w:pStyle w:val="B1"/>
        <w:ind w:left="852"/>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1A1C2419" w14:textId="77777777" w:rsidR="00A127AF" w:rsidRDefault="00A127AF" w:rsidP="00A127AF">
      <w:pPr>
        <w:pStyle w:val="B1"/>
        <w:ind w:left="852"/>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4A18B0E" w14:textId="77777777" w:rsidR="00A127AF" w:rsidRDefault="00A127AF" w:rsidP="00A127AF">
      <w:pPr>
        <w:pStyle w:val="B1"/>
        <w:ind w:left="852"/>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046065DE" w14:textId="77777777" w:rsidR="00A127AF" w:rsidRPr="00E11EC0" w:rsidRDefault="00A127AF" w:rsidP="00A127AF">
      <w:pPr>
        <w:pStyle w:val="B1"/>
        <w:ind w:left="852"/>
        <w:rPr>
          <w:color w:val="000000"/>
        </w:rPr>
      </w:pPr>
      <w:r>
        <w:rPr>
          <w:lang w:val="en-AU"/>
        </w:rPr>
        <w:t>-</w:t>
      </w:r>
      <w:r>
        <w:rPr>
          <w:lang w:val="en-AU"/>
        </w:rPr>
        <w:tab/>
      </w:r>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p>
    <w:p w14:paraId="01309798" w14:textId="77777777" w:rsidR="00A127AF" w:rsidRDefault="00A127AF" w:rsidP="00A127AF">
      <w:pPr>
        <w:pStyle w:val="B1"/>
        <w:ind w:left="852"/>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4034608F" w14:textId="77777777" w:rsidR="00A127AF" w:rsidRPr="002B22E7" w:rsidRDefault="00A127AF" w:rsidP="00A127AF">
      <w:pPr>
        <w:pStyle w:val="B1"/>
        <w:ind w:left="852"/>
        <w:rPr>
          <w:lang w:val="en-US"/>
        </w:rPr>
      </w:pPr>
      <w:r w:rsidRPr="55ABD066">
        <w:rPr>
          <w:lang w:val="en-AU"/>
        </w:rPr>
        <w:t>-</w:t>
      </w:r>
      <w:r>
        <w:rPr>
          <w:lang w:val="en-AU"/>
        </w:rPr>
        <w:tab/>
      </w:r>
      <w:r w:rsidRPr="003E0E94">
        <w:rPr>
          <w:color w:val="C00000"/>
          <w:lang w:val="en-AU"/>
        </w:rPr>
        <w:t xml:space="preserve">If the UE is configured with multiple uplink carriers or EN-DC, and configured with a switching gap for the serving cell with the PUSCH transmission,   </w:t>
      </w:r>
      <w:r w:rsidRPr="003E0E94">
        <w:rPr>
          <w:color w:val="C00000"/>
          <w:position w:val="-12"/>
        </w:rPr>
        <w:object w:dxaOrig="540" w:dyaOrig="360" w14:anchorId="5A885F3B">
          <v:shape id="_x0000_i1061" type="#_x0000_t75" style="width:22.5pt;height:15pt" o:ole="">
            <v:imagedata r:id="rId13" o:title=""/>
          </v:shape>
          <o:OLEObject Type="Embed" ProgID="Equation.DSMT4" ShapeID="_x0000_i1061" DrawAspect="Content" ObjectID="_1643227722" r:id="rId14"/>
        </w:object>
      </w:r>
      <w:r w:rsidRPr="003E0E94">
        <w:rPr>
          <w:color w:val="C00000"/>
          <w:lang w:val="en-US"/>
        </w:rPr>
        <w:t xml:space="preserve"> is given by the parameter </w:t>
      </w:r>
      <w:r>
        <w:rPr>
          <w:color w:val="C00000"/>
          <w:lang w:val="en-US"/>
        </w:rPr>
        <w:t>&lt;</w:t>
      </w:r>
      <w:r w:rsidRPr="003E0E94">
        <w:rPr>
          <w:i/>
          <w:iCs/>
          <w:color w:val="C00000"/>
          <w:lang w:val="en-US"/>
        </w:rPr>
        <w:t>switching_time_case1_case2</w:t>
      </w:r>
      <w:r>
        <w:rPr>
          <w:i/>
          <w:iCs/>
          <w:color w:val="C00000"/>
          <w:lang w:val="en-US"/>
        </w:rPr>
        <w:t>&gt;</w:t>
      </w:r>
      <w:r w:rsidRPr="003E0E94">
        <w:rPr>
          <w:color w:val="C00000"/>
          <w:lang w:val="en-US"/>
        </w:rPr>
        <w:t xml:space="preserve"> supported by the UE; otherwise </w:t>
      </w:r>
      <w:r w:rsidRPr="003E0E94">
        <w:rPr>
          <w:color w:val="C00000"/>
          <w:position w:val="-12"/>
        </w:rPr>
        <w:object w:dxaOrig="920" w:dyaOrig="360" w14:anchorId="3CBA304D">
          <v:shape id="_x0000_i1062" type="#_x0000_t75" style="width:38pt;height:15pt" o:ole="">
            <v:imagedata r:id="rId15" o:title=""/>
          </v:shape>
          <o:OLEObject Type="Embed" ProgID="Equation.DSMT4" ShapeID="_x0000_i1062" DrawAspect="Content" ObjectID="_1643227723" r:id="rId16"/>
        </w:object>
      </w:r>
    </w:p>
    <w:p w14:paraId="34692C96" w14:textId="77777777" w:rsidR="00A127AF" w:rsidRDefault="00A127AF" w:rsidP="00A127AF">
      <w:pPr>
        <w:ind w:left="284"/>
        <w:rPr>
          <w:color w:val="000000"/>
          <w:lang w:val="en-AU"/>
        </w:rPr>
      </w:pPr>
      <w:r w:rsidRPr="0048482F">
        <w:rPr>
          <w:color w:val="000000"/>
          <w:lang w:val="en-AU"/>
        </w:rPr>
        <w:t xml:space="preserve">Otherwise the UE may ignore the scheduling DCI. </w:t>
      </w:r>
    </w:p>
    <w:p w14:paraId="41E0453E" w14:textId="77777777" w:rsidR="00A127AF" w:rsidRDefault="00A127AF" w:rsidP="00A127AF">
      <w:pPr>
        <w:pStyle w:val="BodyText"/>
        <w:ind w:left="720"/>
      </w:pPr>
    </w:p>
    <w:p w14:paraId="53CD31B1" w14:textId="77777777" w:rsidR="00A127AF" w:rsidRPr="00A127AF" w:rsidRDefault="00A127AF" w:rsidP="00A127AF">
      <w:pPr>
        <w:pStyle w:val="BodyText"/>
        <w:rPr>
          <w:color w:val="C00000"/>
        </w:rPr>
      </w:pPr>
      <w:r w:rsidRPr="00A127AF">
        <w:rPr>
          <w:color w:val="C00000"/>
        </w:rPr>
        <w:t>&lt;unchanged part omitted&gt;</w:t>
      </w:r>
    </w:p>
    <w:p w14:paraId="01F828CC" w14:textId="77777777" w:rsidR="00A127AF" w:rsidRDefault="00A127AF" w:rsidP="00A127AF">
      <w:pPr>
        <w:pStyle w:val="BodyText"/>
      </w:pPr>
      <w:r>
        <w:t>------------------- end TP1 ---------------------------------------</w:t>
      </w:r>
    </w:p>
    <w:p w14:paraId="18F7F0ED" w14:textId="36C3B639" w:rsidR="00CF3DF8" w:rsidRDefault="00CF3DF8" w:rsidP="006B4C06">
      <w:pPr>
        <w:pStyle w:val="BodyText"/>
      </w:pPr>
    </w:p>
    <w:p w14:paraId="14DA9740" w14:textId="77777777" w:rsidR="000C1F70" w:rsidRPr="00615F68" w:rsidRDefault="000C1F70" w:rsidP="000C1F70">
      <w:pPr>
        <w:pStyle w:val="BodyText"/>
        <w:rPr>
          <w:b/>
          <w:u w:val="single"/>
        </w:rPr>
      </w:pPr>
      <w:r w:rsidRPr="00615F68">
        <w:rPr>
          <w:b/>
          <w:u w:val="single"/>
        </w:rPr>
        <w:t>Proposal 1</w:t>
      </w:r>
    </w:p>
    <w:p w14:paraId="20E9298D" w14:textId="77A53F9A" w:rsidR="000C1F70" w:rsidRDefault="000C1F70" w:rsidP="000C1F70">
      <w:pPr>
        <w:pStyle w:val="BodyText"/>
        <w:numPr>
          <w:ilvl w:val="0"/>
          <w:numId w:val="2"/>
        </w:numPr>
        <w:rPr>
          <w:b/>
        </w:rPr>
      </w:pPr>
      <w:r>
        <w:rPr>
          <w:b/>
        </w:rPr>
        <w:t>A</w:t>
      </w:r>
      <w:r w:rsidRPr="000C1F70">
        <w:rPr>
          <w:b/>
        </w:rPr>
        <w:t xml:space="preserve">dditional PUSCH preparation time </w:t>
      </w:r>
      <w:r>
        <w:rPr>
          <w:b/>
        </w:rPr>
        <w:t>due to UL tx switching is same as the s</w:t>
      </w:r>
      <w:r w:rsidRPr="000C1F70">
        <w:rPr>
          <w:b/>
        </w:rPr>
        <w:t>witching period discussed in RAN4</w:t>
      </w:r>
      <w:r>
        <w:rPr>
          <w:b/>
        </w:rPr>
        <w:t xml:space="preserve">. </w:t>
      </w:r>
    </w:p>
    <w:p w14:paraId="1985EC36" w14:textId="051CDAA2" w:rsidR="000C1F70" w:rsidRPr="00422A8A" w:rsidRDefault="000C1F70" w:rsidP="000C1F70">
      <w:pPr>
        <w:pStyle w:val="BodyText"/>
        <w:numPr>
          <w:ilvl w:val="0"/>
          <w:numId w:val="2"/>
        </w:numPr>
        <w:rPr>
          <w:b/>
        </w:rPr>
      </w:pPr>
      <w:r>
        <w:rPr>
          <w:b/>
        </w:rPr>
        <w:t>Agree to TP1.</w:t>
      </w:r>
    </w:p>
    <w:p w14:paraId="0D326A7F" w14:textId="622C500B" w:rsidR="000C1F70" w:rsidRDefault="000C1F70" w:rsidP="006B4C06">
      <w:pPr>
        <w:pStyle w:val="BodyText"/>
      </w:pPr>
    </w:p>
    <w:p w14:paraId="0DA429F2" w14:textId="29ABA722" w:rsidR="00797136" w:rsidRPr="00CF3DF8" w:rsidRDefault="00797136" w:rsidP="00797136">
      <w:pPr>
        <w:pStyle w:val="Heading2"/>
        <w:rPr>
          <w:u w:val="single"/>
        </w:rPr>
      </w:pPr>
      <w:r>
        <w:rPr>
          <w:u w:val="single"/>
        </w:rPr>
        <w:t>Condition and Presence of switching period</w:t>
      </w:r>
    </w:p>
    <w:p w14:paraId="6F468070" w14:textId="2DB0EE76" w:rsidR="00797136" w:rsidRDefault="00797136" w:rsidP="006B4C06">
      <w:pPr>
        <w:pStyle w:val="BodyText"/>
      </w:pPr>
      <w:r>
        <w:t xml:space="preserve">Following was concluded in RAN1#99 regarding the condition and presence of switching period </w:t>
      </w:r>
    </w:p>
    <w:p w14:paraId="7BAB93E1" w14:textId="77777777" w:rsidR="00797136" w:rsidRPr="00797136" w:rsidRDefault="00797136" w:rsidP="00797136">
      <w:pPr>
        <w:ind w:left="420"/>
        <w:rPr>
          <w:b/>
          <w:bCs/>
          <w:i/>
          <w:iCs/>
          <w:szCs w:val="20"/>
          <w:u w:val="single"/>
          <w:lang w:eastAsia="x-none"/>
        </w:rPr>
      </w:pPr>
      <w:r w:rsidRPr="00797136">
        <w:rPr>
          <w:b/>
          <w:bCs/>
          <w:i/>
          <w:iCs/>
          <w:szCs w:val="20"/>
          <w:u w:val="single"/>
          <w:lang w:eastAsia="x-none"/>
        </w:rPr>
        <w:t>Conclusion:</w:t>
      </w:r>
    </w:p>
    <w:p w14:paraId="00550A6A" w14:textId="77777777" w:rsidR="00797136" w:rsidRPr="00797136" w:rsidRDefault="00797136" w:rsidP="00797136">
      <w:pPr>
        <w:pStyle w:val="BodyText"/>
        <w:numPr>
          <w:ilvl w:val="1"/>
          <w:numId w:val="11"/>
        </w:numPr>
        <w:overflowPunct w:val="0"/>
        <w:autoSpaceDE w:val="0"/>
        <w:autoSpaceDN w:val="0"/>
        <w:adjustRightInd w:val="0"/>
        <w:ind w:left="1260"/>
        <w:textAlignment w:val="baseline"/>
        <w:rPr>
          <w:i/>
          <w:iCs/>
          <w:szCs w:val="20"/>
          <w:lang w:eastAsia="zh-CN"/>
        </w:rPr>
      </w:pPr>
      <w:r w:rsidRPr="00797136">
        <w:rPr>
          <w:i/>
          <w:iCs/>
          <w:szCs w:val="20"/>
          <w:lang w:eastAsia="zh-CN"/>
        </w:rPr>
        <w:t xml:space="preserve">The condition of the presence of the switching period for inter-band UL CA and inter-band EN-DC without SUL are to be captured in RAN1. </w:t>
      </w:r>
    </w:p>
    <w:p w14:paraId="597D38BB" w14:textId="77777777" w:rsidR="00797136" w:rsidRPr="00797136" w:rsidRDefault="00797136" w:rsidP="00797136">
      <w:pPr>
        <w:pStyle w:val="BodyText"/>
        <w:numPr>
          <w:ilvl w:val="2"/>
          <w:numId w:val="11"/>
        </w:numPr>
        <w:overflowPunct w:val="0"/>
        <w:autoSpaceDE w:val="0"/>
        <w:autoSpaceDN w:val="0"/>
        <w:adjustRightInd w:val="0"/>
        <w:ind w:left="1680"/>
        <w:textAlignment w:val="baseline"/>
        <w:rPr>
          <w:i/>
          <w:iCs/>
          <w:szCs w:val="20"/>
          <w:lang w:eastAsia="zh-CN"/>
        </w:rPr>
      </w:pPr>
      <w:r w:rsidRPr="00797136">
        <w:rPr>
          <w:i/>
          <w:iCs/>
          <w:szCs w:val="20"/>
          <w:lang w:eastAsia="zh-CN"/>
        </w:rPr>
        <w:t>RAN1 will continue discussing the related issue and solutions (including the applicability period of switching (in terms of number of slot(s)).</w:t>
      </w:r>
    </w:p>
    <w:p w14:paraId="33F64EEE" w14:textId="77777777" w:rsidR="00797136" w:rsidRPr="00797136" w:rsidRDefault="00797136" w:rsidP="00797136">
      <w:pPr>
        <w:pStyle w:val="BodyText"/>
        <w:numPr>
          <w:ilvl w:val="2"/>
          <w:numId w:val="11"/>
        </w:numPr>
        <w:overflowPunct w:val="0"/>
        <w:autoSpaceDE w:val="0"/>
        <w:autoSpaceDN w:val="0"/>
        <w:adjustRightInd w:val="0"/>
        <w:ind w:left="1680"/>
        <w:textAlignment w:val="baseline"/>
        <w:rPr>
          <w:i/>
          <w:iCs/>
          <w:szCs w:val="20"/>
          <w:lang w:eastAsia="zh-CN"/>
        </w:rPr>
      </w:pPr>
      <w:r w:rsidRPr="00797136">
        <w:rPr>
          <w:i/>
          <w:iCs/>
          <w:szCs w:val="20"/>
          <w:lang w:eastAsia="zh-CN"/>
        </w:rPr>
        <w:t>There is no additional RAN4 impact.</w:t>
      </w:r>
    </w:p>
    <w:p w14:paraId="6926417F" w14:textId="77777777" w:rsidR="00797136" w:rsidRDefault="00797136" w:rsidP="006B4C06">
      <w:pPr>
        <w:pStyle w:val="BodyText"/>
      </w:pPr>
    </w:p>
    <w:p w14:paraId="7BEFB216" w14:textId="1B78851C" w:rsidR="00797136" w:rsidRDefault="00797136" w:rsidP="006B4C06">
      <w:pPr>
        <w:pStyle w:val="BodyText"/>
      </w:pPr>
      <w:r>
        <w:t xml:space="preserve">For UL CA case, following two options were considered </w:t>
      </w:r>
      <w:r w:rsidR="00795B94">
        <w:t>in the</w:t>
      </w:r>
      <w:r>
        <w:t xml:space="preserve"> discussions in </w:t>
      </w:r>
      <w:r w:rsidR="00795B94">
        <w:t>RAN1#99</w:t>
      </w:r>
      <w:r w:rsidR="00BA0F45">
        <w:t xml:space="preserve"> </w:t>
      </w:r>
    </w:p>
    <w:p w14:paraId="667B6A9B" w14:textId="27B5B086" w:rsidR="00A64A92" w:rsidRDefault="00A64A92" w:rsidP="006B4C06">
      <w:pPr>
        <w:pStyle w:val="BodyText"/>
      </w:pPr>
    </w:p>
    <w:p w14:paraId="786D1838" w14:textId="77777777" w:rsidR="00A64A92" w:rsidRPr="00A64A92" w:rsidRDefault="00A64A92" w:rsidP="00A64A92">
      <w:pPr>
        <w:pStyle w:val="BodyText"/>
        <w:numPr>
          <w:ilvl w:val="0"/>
          <w:numId w:val="12"/>
        </w:numPr>
        <w:overflowPunct w:val="0"/>
        <w:autoSpaceDE w:val="0"/>
        <w:autoSpaceDN w:val="0"/>
        <w:adjustRightInd w:val="0"/>
        <w:textAlignment w:val="baseline"/>
        <w:rPr>
          <w:b/>
          <w:sz w:val="21"/>
          <w:szCs w:val="21"/>
        </w:rPr>
      </w:pPr>
      <w:r w:rsidRPr="00A64A92">
        <w:rPr>
          <w:b/>
          <w:sz w:val="21"/>
          <w:szCs w:val="21"/>
        </w:rPr>
        <w:t>O</w:t>
      </w:r>
      <w:r w:rsidRPr="00A64A92">
        <w:rPr>
          <w:rFonts w:hint="eastAsia"/>
          <w:b/>
          <w:sz w:val="21"/>
          <w:szCs w:val="21"/>
        </w:rPr>
        <w:t xml:space="preserve">ption 1: </w:t>
      </w:r>
      <w:r w:rsidRPr="00A64A92">
        <w:rPr>
          <w:b/>
          <w:sz w:val="21"/>
          <w:szCs w:val="21"/>
        </w:rPr>
        <w:t>UE can only be scheduled UL transmission on carrier 1 for case 1.</w:t>
      </w:r>
    </w:p>
    <w:p w14:paraId="379EDAAF" w14:textId="77777777" w:rsidR="00A64A92" w:rsidRPr="00A64A92" w:rsidRDefault="00A64A92" w:rsidP="00A64A92">
      <w:pPr>
        <w:pStyle w:val="BodyText"/>
        <w:numPr>
          <w:ilvl w:val="0"/>
          <w:numId w:val="12"/>
        </w:numPr>
        <w:overflowPunct w:val="0"/>
        <w:autoSpaceDE w:val="0"/>
        <w:autoSpaceDN w:val="0"/>
        <w:adjustRightInd w:val="0"/>
        <w:textAlignment w:val="baseline"/>
        <w:rPr>
          <w:b/>
          <w:sz w:val="21"/>
          <w:szCs w:val="21"/>
        </w:rPr>
      </w:pPr>
      <w:r w:rsidRPr="00A64A92">
        <w:rPr>
          <w:b/>
          <w:sz w:val="21"/>
          <w:szCs w:val="21"/>
        </w:rPr>
        <w:t>Option 2: UE can be scheduled UL transmission on both carrier 1 and carrier 2 for case 1</w:t>
      </w:r>
      <w:r w:rsidRPr="00A64A92">
        <w:rPr>
          <w:rFonts w:hint="eastAsia"/>
          <w:b/>
          <w:sz w:val="21"/>
          <w:szCs w:val="21"/>
          <w:lang w:eastAsia="zh-CN"/>
        </w:rPr>
        <w:t xml:space="preserve"> simultaneously</w:t>
      </w:r>
    </w:p>
    <w:p w14:paraId="0041D3F5" w14:textId="0BF3AF75" w:rsidR="00A64A92" w:rsidRDefault="00A64A92" w:rsidP="006B4C06">
      <w:pPr>
        <w:pStyle w:val="BodyText"/>
      </w:pPr>
    </w:p>
    <w:p w14:paraId="1E9ECDEF" w14:textId="79973E70" w:rsidR="00A64A92" w:rsidRDefault="0BF5E2E6" w:rsidP="006B4C06">
      <w:pPr>
        <w:pStyle w:val="BodyText"/>
      </w:pPr>
      <w:r>
        <w:t>Figure</w:t>
      </w:r>
      <w:r w:rsidR="0FBC413A">
        <w:t>s</w:t>
      </w:r>
      <w:r>
        <w:t xml:space="preserve"> 1-3 below illustrate the options. Figure 1 is </w:t>
      </w:r>
      <w:r w:rsidR="0FBC413A">
        <w:t xml:space="preserve">the </w:t>
      </w:r>
      <w:r>
        <w:t>baseline CA case possible with Rel15. Figures 2 and 3 are Option 1 and Option 2 respectively that were discussed in RAN1#99. In the figures</w:t>
      </w:r>
      <w:r w:rsidR="00795B94">
        <w:t>,</w:t>
      </w:r>
      <w:r>
        <w:t xml:space="preserve"> light green indicates UL slot with 1layer transmission and dark green is slot with UL MIMO 2layer transmission. Shaded parts are switching gaps. While exact switching gap durations are yet to be decided in RAN4</w:t>
      </w:r>
      <w:r w:rsidR="00795B94">
        <w:t>[2]</w:t>
      </w:r>
      <w:r>
        <w:t>, gap durations between 35us to 250us are being discussed.</w:t>
      </w:r>
    </w:p>
    <w:p w14:paraId="28C3BB49" w14:textId="77F4AF9D" w:rsidR="00A64A92" w:rsidRDefault="00A64A92" w:rsidP="006B4C06">
      <w:pPr>
        <w:pStyle w:val="BodyText"/>
      </w:pPr>
    </w:p>
    <w:p w14:paraId="010220E9" w14:textId="1EB6FC24" w:rsidR="00A64A92" w:rsidRDefault="0BF5E2E6" w:rsidP="006B4C06">
      <w:pPr>
        <w:pStyle w:val="BodyText"/>
      </w:pPr>
      <w:r>
        <w:rPr>
          <w:noProof/>
        </w:rPr>
        <w:drawing>
          <wp:inline distT="0" distB="0" distL="0" distR="0" wp14:anchorId="515E3168" wp14:editId="18EB6A67">
            <wp:extent cx="6149317" cy="1301750"/>
            <wp:effectExtent l="0" t="0" r="0" b="0"/>
            <wp:docPr id="13403786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6149317" cy="1301750"/>
                    </a:xfrm>
                    <a:prstGeom prst="rect">
                      <a:avLst/>
                    </a:prstGeom>
                  </pic:spPr>
                </pic:pic>
              </a:graphicData>
            </a:graphic>
          </wp:inline>
        </w:drawing>
      </w:r>
    </w:p>
    <w:p w14:paraId="6CF3A2AE" w14:textId="18A0DADF" w:rsidR="00A64A92" w:rsidRPr="00A64A92" w:rsidRDefault="00A64A92" w:rsidP="00A64A92">
      <w:pPr>
        <w:pStyle w:val="BodyText"/>
        <w:jc w:val="center"/>
        <w:rPr>
          <w:rFonts w:ascii="Arial" w:hAnsi="Arial" w:cs="Arial"/>
          <w:b/>
          <w:bCs/>
          <w:u w:val="single"/>
        </w:rPr>
      </w:pPr>
      <w:r>
        <w:rPr>
          <w:rFonts w:ascii="Arial" w:hAnsi="Arial" w:cs="Arial"/>
          <w:b/>
          <w:bCs/>
          <w:u w:val="single"/>
        </w:rPr>
        <w:t>Figure 1 – Baseline Rel15 CA</w:t>
      </w:r>
      <w:r w:rsidR="005F0FA4">
        <w:rPr>
          <w:rFonts w:ascii="Arial" w:hAnsi="Arial" w:cs="Arial"/>
          <w:b/>
          <w:bCs/>
          <w:u w:val="single"/>
        </w:rPr>
        <w:t xml:space="preserve"> (assuming 1 layer for TDD band)</w:t>
      </w:r>
    </w:p>
    <w:p w14:paraId="48C2E093" w14:textId="6E4B16A7" w:rsidR="00797136" w:rsidRDefault="00797136" w:rsidP="006B4C06">
      <w:pPr>
        <w:pStyle w:val="BodyText"/>
      </w:pPr>
    </w:p>
    <w:p w14:paraId="51B0EB65" w14:textId="5B5CC41C" w:rsidR="00A64A92" w:rsidRDefault="0BF5E2E6" w:rsidP="006B4C06">
      <w:pPr>
        <w:pStyle w:val="BodyText"/>
      </w:pPr>
      <w:r>
        <w:rPr>
          <w:noProof/>
        </w:rPr>
        <w:drawing>
          <wp:inline distT="0" distB="0" distL="0" distR="0" wp14:anchorId="26CBFB80" wp14:editId="67A36F82">
            <wp:extent cx="6127815" cy="1308100"/>
            <wp:effectExtent l="0" t="0" r="0" b="6350"/>
            <wp:docPr id="5502893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6127815" cy="1308100"/>
                    </a:xfrm>
                    <a:prstGeom prst="rect">
                      <a:avLst/>
                    </a:prstGeom>
                  </pic:spPr>
                </pic:pic>
              </a:graphicData>
            </a:graphic>
          </wp:inline>
        </w:drawing>
      </w:r>
    </w:p>
    <w:p w14:paraId="2DBCE0DB" w14:textId="2A210BF5" w:rsidR="00A64A92" w:rsidRPr="00A64A92" w:rsidRDefault="00A64A92" w:rsidP="00A64A92">
      <w:pPr>
        <w:pStyle w:val="BodyText"/>
        <w:jc w:val="center"/>
        <w:rPr>
          <w:rFonts w:ascii="Arial" w:hAnsi="Arial" w:cs="Arial"/>
          <w:b/>
          <w:bCs/>
          <w:u w:val="single"/>
        </w:rPr>
      </w:pPr>
      <w:r>
        <w:rPr>
          <w:rFonts w:ascii="Arial" w:hAnsi="Arial" w:cs="Arial"/>
          <w:b/>
          <w:bCs/>
          <w:u w:val="single"/>
        </w:rPr>
        <w:t>Figure 2 – Rel16 CA with UL tx switching between carriers enabled using Option 1</w:t>
      </w:r>
    </w:p>
    <w:p w14:paraId="36067FE1" w14:textId="35AD7AB6" w:rsidR="00A64A92" w:rsidRDefault="00A64A92" w:rsidP="006B4C06">
      <w:pPr>
        <w:pStyle w:val="BodyText"/>
      </w:pPr>
    </w:p>
    <w:p w14:paraId="5B4976E6" w14:textId="02190452" w:rsidR="00A64A92" w:rsidRDefault="0BF5E2E6" w:rsidP="006B4C06">
      <w:pPr>
        <w:pStyle w:val="BodyText"/>
      </w:pPr>
      <w:r>
        <w:rPr>
          <w:noProof/>
        </w:rPr>
        <w:drawing>
          <wp:inline distT="0" distB="0" distL="0" distR="0" wp14:anchorId="78933405" wp14:editId="4F162A33">
            <wp:extent cx="5986014" cy="1276350"/>
            <wp:effectExtent l="0" t="0" r="0" b="0"/>
            <wp:docPr id="10420317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28A0092B-C50C-407E-A947-70E740481C1C}">
                          <a14:useLocalDpi xmlns:a14="http://schemas.microsoft.com/office/drawing/2010/main" val="0"/>
                        </a:ext>
                      </a:extLst>
                    </a:blip>
                    <a:stretch>
                      <a:fillRect/>
                    </a:stretch>
                  </pic:blipFill>
                  <pic:spPr>
                    <a:xfrm>
                      <a:off x="0" y="0"/>
                      <a:ext cx="5986014" cy="1276350"/>
                    </a:xfrm>
                    <a:prstGeom prst="rect">
                      <a:avLst/>
                    </a:prstGeom>
                  </pic:spPr>
                </pic:pic>
              </a:graphicData>
            </a:graphic>
          </wp:inline>
        </w:drawing>
      </w:r>
    </w:p>
    <w:p w14:paraId="00A5BC70" w14:textId="215F8474" w:rsidR="00A64A92" w:rsidRPr="00A64A92" w:rsidRDefault="00A64A92" w:rsidP="00A64A92">
      <w:pPr>
        <w:pStyle w:val="BodyText"/>
        <w:jc w:val="center"/>
        <w:rPr>
          <w:rFonts w:ascii="Arial" w:hAnsi="Arial" w:cs="Arial"/>
          <w:b/>
          <w:bCs/>
          <w:u w:val="single"/>
        </w:rPr>
      </w:pPr>
      <w:r>
        <w:rPr>
          <w:rFonts w:ascii="Arial" w:hAnsi="Arial" w:cs="Arial"/>
          <w:b/>
          <w:bCs/>
          <w:u w:val="single"/>
        </w:rPr>
        <w:t>Figure 3 – Rel16 CA with UL tx switching between carriers enabled using Option 2</w:t>
      </w:r>
    </w:p>
    <w:p w14:paraId="4FC49EC5" w14:textId="451B4440" w:rsidR="00A64A92" w:rsidRDefault="00A64A92" w:rsidP="006B4C06">
      <w:pPr>
        <w:pStyle w:val="BodyText"/>
      </w:pPr>
    </w:p>
    <w:p w14:paraId="421614E8" w14:textId="415C07FD" w:rsidR="00A64A92" w:rsidRDefault="00A64A92" w:rsidP="006B4C06">
      <w:pPr>
        <w:pStyle w:val="BodyText"/>
      </w:pPr>
      <w:r>
        <w:t>As seen from the figures, the primary difference between options 1</w:t>
      </w:r>
      <w:r w:rsidR="00AA0122">
        <w:t xml:space="preserve"> </w:t>
      </w:r>
      <w:r>
        <w:t xml:space="preserve">and 2 is </w:t>
      </w:r>
      <w:r w:rsidR="009561CB">
        <w:t xml:space="preserve">that option </w:t>
      </w:r>
      <w:r w:rsidR="00ED0166">
        <w:t xml:space="preserve">2 </w:t>
      </w:r>
      <w:r w:rsidR="009561CB">
        <w:t xml:space="preserve">allows the case of FDD-1layer+TDD-1layer while Option </w:t>
      </w:r>
      <w:r w:rsidR="00ED0166">
        <w:t xml:space="preserve">1 </w:t>
      </w:r>
      <w:r w:rsidR="009561CB">
        <w:t>precludes this case.</w:t>
      </w:r>
      <w:r>
        <w:t xml:space="preserve"> </w:t>
      </w:r>
    </w:p>
    <w:p w14:paraId="47372245" w14:textId="77777777" w:rsidR="00795B94" w:rsidRDefault="00795B94" w:rsidP="005F0FA4">
      <w:pPr>
        <w:pStyle w:val="BodyText"/>
      </w:pPr>
    </w:p>
    <w:p w14:paraId="083578D3" w14:textId="21EC1442" w:rsidR="00AA0122" w:rsidRDefault="005F0FA4" w:rsidP="005F0FA4">
      <w:pPr>
        <w:pStyle w:val="BodyText"/>
      </w:pPr>
      <w:r>
        <w:t>Table 1</w:t>
      </w:r>
      <w:r w:rsidR="00AA0122">
        <w:t xml:space="preserve"> below shows UE </w:t>
      </w:r>
      <w:r>
        <w:t>spectral efficiency (</w:t>
      </w:r>
      <w:r w:rsidR="00795B94">
        <w:t>user throughput</w:t>
      </w:r>
      <w:r>
        <w:t xml:space="preserve"> </w:t>
      </w:r>
      <w:r w:rsidR="00AA0122">
        <w:t>scaled by BW</w:t>
      </w:r>
      <w:r>
        <w:t xml:space="preserve">) </w:t>
      </w:r>
      <w:r w:rsidR="00AA0122">
        <w:t xml:space="preserve">(bps/Hz) </w:t>
      </w:r>
      <w:r w:rsidR="00B263D0">
        <w:t xml:space="preserve">measured from system simulations for </w:t>
      </w:r>
      <w:proofErr w:type="spellStart"/>
      <w:r w:rsidR="00AA0122">
        <w:t>U</w:t>
      </w:r>
      <w:r w:rsidR="00ED5DEF">
        <w:t>M</w:t>
      </w:r>
      <w:r w:rsidR="00AA0122">
        <w:t>i</w:t>
      </w:r>
      <w:proofErr w:type="spellEnd"/>
      <w:r w:rsidR="00AA0122">
        <w:t xml:space="preserve"> deployment scenario for an example FDD band (1.8GHz) and </w:t>
      </w:r>
      <w:r w:rsidR="00795B94">
        <w:t xml:space="preserve">a </w:t>
      </w:r>
      <w:r w:rsidR="00AA0122">
        <w:t xml:space="preserve">TDD band (3.5GHz). </w:t>
      </w:r>
    </w:p>
    <w:p w14:paraId="3A271917" w14:textId="77777777" w:rsidR="00B263D0" w:rsidRDefault="00B263D0" w:rsidP="00B263D0">
      <w:pPr>
        <w:pStyle w:val="BodyText"/>
        <w:jc w:val="center"/>
        <w:rPr>
          <w:rFonts w:ascii="Arial" w:hAnsi="Arial" w:cs="Arial"/>
          <w:b/>
          <w:bCs/>
          <w:u w:val="single"/>
        </w:rPr>
      </w:pPr>
    </w:p>
    <w:p w14:paraId="2D14F846" w14:textId="73237FA9" w:rsidR="00B263D0" w:rsidRDefault="00B263D0" w:rsidP="00B263D0">
      <w:pPr>
        <w:pStyle w:val="BodyText"/>
        <w:jc w:val="center"/>
        <w:rPr>
          <w:rFonts w:ascii="Arial" w:hAnsi="Arial" w:cs="Arial"/>
          <w:b/>
          <w:bCs/>
          <w:u w:val="single"/>
        </w:rPr>
      </w:pPr>
      <w:r>
        <w:rPr>
          <w:rFonts w:ascii="Arial" w:hAnsi="Arial" w:cs="Arial"/>
          <w:b/>
          <w:bCs/>
          <w:u w:val="single"/>
        </w:rPr>
        <w:t>Table 1 – UE spectral efficiency (UMi)</w:t>
      </w:r>
    </w:p>
    <w:p w14:paraId="22C5EBA3" w14:textId="77777777" w:rsidR="00B263D0" w:rsidRPr="00A64A92" w:rsidRDefault="00B263D0" w:rsidP="00B263D0">
      <w:pPr>
        <w:pStyle w:val="BodyText"/>
        <w:rPr>
          <w:rFonts w:ascii="Arial" w:hAnsi="Arial" w:cs="Arial"/>
          <w:b/>
          <w:bCs/>
          <w:u w:val="single"/>
        </w:rPr>
      </w:pPr>
    </w:p>
    <w:tbl>
      <w:tblPr>
        <w:tblStyle w:val="TableGrid"/>
        <w:tblW w:w="0" w:type="auto"/>
        <w:jc w:val="center"/>
        <w:tblLook w:val="04A0" w:firstRow="1" w:lastRow="0" w:firstColumn="1" w:lastColumn="0" w:noHBand="0" w:noVBand="1"/>
      </w:tblPr>
      <w:tblGrid>
        <w:gridCol w:w="2784"/>
        <w:gridCol w:w="1981"/>
        <w:gridCol w:w="1800"/>
        <w:gridCol w:w="1800"/>
      </w:tblGrid>
      <w:tr w:rsidR="005F0FA4" w:rsidRPr="005F0FA4" w14:paraId="188758F5" w14:textId="77777777" w:rsidTr="55ABD066">
        <w:trPr>
          <w:jc w:val="center"/>
        </w:trPr>
        <w:tc>
          <w:tcPr>
            <w:tcW w:w="2784" w:type="dxa"/>
            <w:vMerge w:val="restart"/>
            <w:vAlign w:val="center"/>
          </w:tcPr>
          <w:p w14:paraId="06FC9D70" w14:textId="2D107059" w:rsidR="005F0FA4" w:rsidRPr="005F0FA4" w:rsidRDefault="005F0FA4" w:rsidP="005F0FA4">
            <w:pPr>
              <w:pStyle w:val="BodyText"/>
              <w:jc w:val="center"/>
              <w:rPr>
                <w:rFonts w:ascii="Arial" w:hAnsi="Arial" w:cs="Arial"/>
                <w:b/>
                <w:bCs/>
              </w:rPr>
            </w:pPr>
            <w:r w:rsidRPr="005F0FA4">
              <w:rPr>
                <w:rFonts w:ascii="Arial" w:hAnsi="Arial" w:cs="Arial"/>
                <w:b/>
                <w:bCs/>
              </w:rPr>
              <w:t>Case</w:t>
            </w:r>
          </w:p>
        </w:tc>
        <w:tc>
          <w:tcPr>
            <w:tcW w:w="5581" w:type="dxa"/>
            <w:gridSpan w:val="3"/>
            <w:vAlign w:val="center"/>
          </w:tcPr>
          <w:p w14:paraId="6DEC15E1" w14:textId="78D1E7AA" w:rsidR="005F0FA4" w:rsidRDefault="005F0FA4" w:rsidP="005F0FA4">
            <w:pPr>
              <w:pStyle w:val="BodyText"/>
              <w:jc w:val="center"/>
              <w:rPr>
                <w:rFonts w:ascii="Arial" w:hAnsi="Arial" w:cs="Arial"/>
                <w:b/>
                <w:bCs/>
              </w:rPr>
            </w:pPr>
            <w:r>
              <w:rPr>
                <w:rFonts w:ascii="Arial" w:hAnsi="Arial" w:cs="Arial"/>
                <w:b/>
                <w:bCs/>
              </w:rPr>
              <w:t xml:space="preserve">UE spectral efficiency (bps/Hz) for </w:t>
            </w:r>
            <w:proofErr w:type="spellStart"/>
            <w:r>
              <w:rPr>
                <w:rFonts w:ascii="Arial" w:hAnsi="Arial" w:cs="Arial"/>
                <w:b/>
                <w:bCs/>
              </w:rPr>
              <w:t>U</w:t>
            </w:r>
            <w:r w:rsidR="00ED5DEF">
              <w:rPr>
                <w:rFonts w:ascii="Arial" w:hAnsi="Arial" w:cs="Arial"/>
                <w:b/>
                <w:bCs/>
              </w:rPr>
              <w:t>M</w:t>
            </w:r>
            <w:r>
              <w:rPr>
                <w:rFonts w:ascii="Arial" w:hAnsi="Arial" w:cs="Arial"/>
                <w:b/>
                <w:bCs/>
              </w:rPr>
              <w:t>i</w:t>
            </w:r>
            <w:proofErr w:type="spellEnd"/>
            <w:r>
              <w:rPr>
                <w:rFonts w:ascii="Arial" w:hAnsi="Arial" w:cs="Arial"/>
                <w:b/>
                <w:bCs/>
              </w:rPr>
              <w:t xml:space="preserve"> scenario</w:t>
            </w:r>
          </w:p>
        </w:tc>
      </w:tr>
      <w:tr w:rsidR="005F0FA4" w:rsidRPr="005F0FA4" w14:paraId="0552F9E2" w14:textId="77777777" w:rsidTr="55ABD066">
        <w:trPr>
          <w:jc w:val="center"/>
        </w:trPr>
        <w:tc>
          <w:tcPr>
            <w:tcW w:w="2784" w:type="dxa"/>
            <w:vMerge/>
            <w:vAlign w:val="center"/>
          </w:tcPr>
          <w:p w14:paraId="410E0727" w14:textId="6DA9FB09" w:rsidR="005F0FA4" w:rsidRPr="005F0FA4" w:rsidRDefault="005F0FA4" w:rsidP="005F0FA4">
            <w:pPr>
              <w:pStyle w:val="BodyText"/>
              <w:jc w:val="center"/>
              <w:rPr>
                <w:rFonts w:ascii="Arial" w:hAnsi="Arial" w:cs="Arial"/>
                <w:b/>
                <w:bCs/>
              </w:rPr>
            </w:pPr>
          </w:p>
        </w:tc>
        <w:tc>
          <w:tcPr>
            <w:tcW w:w="1981" w:type="dxa"/>
            <w:vAlign w:val="center"/>
          </w:tcPr>
          <w:p w14:paraId="52352CF9" w14:textId="6D9E5DAA" w:rsidR="005F0FA4" w:rsidRPr="005F0FA4" w:rsidRDefault="005F0FA4" w:rsidP="005F0FA4">
            <w:pPr>
              <w:pStyle w:val="BodyText"/>
              <w:jc w:val="center"/>
              <w:rPr>
                <w:rFonts w:ascii="Arial" w:hAnsi="Arial" w:cs="Arial"/>
                <w:b/>
                <w:bCs/>
              </w:rPr>
            </w:pPr>
            <w:r>
              <w:rPr>
                <w:rFonts w:ascii="Arial" w:hAnsi="Arial" w:cs="Arial"/>
                <w:b/>
                <w:bCs/>
              </w:rPr>
              <w:t xml:space="preserve">Median </w:t>
            </w:r>
          </w:p>
        </w:tc>
        <w:tc>
          <w:tcPr>
            <w:tcW w:w="1800" w:type="dxa"/>
            <w:vAlign w:val="center"/>
          </w:tcPr>
          <w:p w14:paraId="5D0B2313" w14:textId="12759539" w:rsidR="005F0FA4" w:rsidRPr="005F0FA4" w:rsidRDefault="005F0FA4" w:rsidP="005F0FA4">
            <w:pPr>
              <w:pStyle w:val="BodyText"/>
              <w:jc w:val="center"/>
              <w:rPr>
                <w:rFonts w:ascii="Arial" w:hAnsi="Arial" w:cs="Arial"/>
                <w:b/>
                <w:bCs/>
              </w:rPr>
            </w:pPr>
            <w:r>
              <w:rPr>
                <w:rFonts w:ascii="Arial" w:hAnsi="Arial" w:cs="Arial"/>
                <w:b/>
                <w:bCs/>
              </w:rPr>
              <w:t xml:space="preserve">5%le </w:t>
            </w:r>
          </w:p>
        </w:tc>
        <w:tc>
          <w:tcPr>
            <w:tcW w:w="1800" w:type="dxa"/>
            <w:vAlign w:val="center"/>
          </w:tcPr>
          <w:p w14:paraId="0F4D68D8" w14:textId="43EA63FA" w:rsidR="005F0FA4" w:rsidRPr="005F0FA4" w:rsidRDefault="005F0FA4" w:rsidP="005F0FA4">
            <w:pPr>
              <w:pStyle w:val="BodyText"/>
              <w:jc w:val="center"/>
              <w:rPr>
                <w:rFonts w:ascii="Arial" w:hAnsi="Arial" w:cs="Arial"/>
                <w:b/>
                <w:bCs/>
              </w:rPr>
            </w:pPr>
            <w:r>
              <w:rPr>
                <w:rFonts w:ascii="Arial" w:hAnsi="Arial" w:cs="Arial"/>
                <w:b/>
                <w:bCs/>
              </w:rPr>
              <w:t xml:space="preserve">95%le </w:t>
            </w:r>
          </w:p>
        </w:tc>
      </w:tr>
      <w:tr w:rsidR="00390355" w14:paraId="632AD7D7" w14:textId="77777777" w:rsidTr="55ABD066">
        <w:trPr>
          <w:jc w:val="center"/>
        </w:trPr>
        <w:tc>
          <w:tcPr>
            <w:tcW w:w="2784" w:type="dxa"/>
          </w:tcPr>
          <w:p w14:paraId="5B48FC63" w14:textId="3A7A2ECE" w:rsidR="00390355" w:rsidRDefault="03308362" w:rsidP="00390355">
            <w:pPr>
              <w:pStyle w:val="BodyText"/>
            </w:pPr>
            <w:r>
              <w:t>FDD band (1.8GHz) 1 port with max power set to 20dBm</w:t>
            </w:r>
          </w:p>
        </w:tc>
        <w:tc>
          <w:tcPr>
            <w:tcW w:w="1981" w:type="dxa"/>
            <w:vAlign w:val="center"/>
          </w:tcPr>
          <w:p w14:paraId="1A073F07" w14:textId="7FAD62A2" w:rsidR="00390355" w:rsidRDefault="00390355" w:rsidP="00390355">
            <w:pPr>
              <w:pStyle w:val="BodyText"/>
              <w:jc w:val="center"/>
            </w:pPr>
            <w:r w:rsidRPr="00390355">
              <w:t>1.58</w:t>
            </w:r>
          </w:p>
        </w:tc>
        <w:tc>
          <w:tcPr>
            <w:tcW w:w="1800" w:type="dxa"/>
            <w:vAlign w:val="center"/>
          </w:tcPr>
          <w:p w14:paraId="2309B9F3" w14:textId="39ADD238" w:rsidR="00390355" w:rsidRDefault="00390355" w:rsidP="00390355">
            <w:pPr>
              <w:pStyle w:val="BodyText"/>
              <w:jc w:val="center"/>
            </w:pPr>
            <w:r w:rsidRPr="00390355">
              <w:t>0.66</w:t>
            </w:r>
          </w:p>
        </w:tc>
        <w:tc>
          <w:tcPr>
            <w:tcW w:w="1800" w:type="dxa"/>
            <w:vAlign w:val="center"/>
          </w:tcPr>
          <w:p w14:paraId="472F60EA" w14:textId="5C668170" w:rsidR="00390355" w:rsidRDefault="00390355" w:rsidP="00390355">
            <w:pPr>
              <w:pStyle w:val="BodyText"/>
              <w:jc w:val="center"/>
            </w:pPr>
            <w:r w:rsidRPr="00390355">
              <w:t>4.67</w:t>
            </w:r>
          </w:p>
        </w:tc>
      </w:tr>
      <w:tr w:rsidR="00390355" w14:paraId="475DEF9F" w14:textId="77777777" w:rsidTr="55ABD066">
        <w:trPr>
          <w:jc w:val="center"/>
        </w:trPr>
        <w:tc>
          <w:tcPr>
            <w:tcW w:w="2784" w:type="dxa"/>
          </w:tcPr>
          <w:p w14:paraId="67541A8D" w14:textId="3DD1B021" w:rsidR="00390355" w:rsidRDefault="00390355" w:rsidP="00390355">
            <w:pPr>
              <w:pStyle w:val="BodyText"/>
            </w:pPr>
            <w:r>
              <w:t>FDD band (1.8GHz) 1 port with max power set to 23dBm</w:t>
            </w:r>
          </w:p>
        </w:tc>
        <w:tc>
          <w:tcPr>
            <w:tcW w:w="1981" w:type="dxa"/>
            <w:vAlign w:val="center"/>
          </w:tcPr>
          <w:p w14:paraId="208B85B7" w14:textId="63809062" w:rsidR="00390355" w:rsidRDefault="00390355" w:rsidP="00390355">
            <w:pPr>
              <w:pStyle w:val="BodyText"/>
              <w:jc w:val="center"/>
            </w:pPr>
            <w:r w:rsidRPr="00390355">
              <w:t>1.64</w:t>
            </w:r>
          </w:p>
        </w:tc>
        <w:tc>
          <w:tcPr>
            <w:tcW w:w="1800" w:type="dxa"/>
            <w:vAlign w:val="center"/>
          </w:tcPr>
          <w:p w14:paraId="239585F0" w14:textId="562FF29E" w:rsidR="00390355" w:rsidRDefault="00390355" w:rsidP="00390355">
            <w:pPr>
              <w:pStyle w:val="BodyText"/>
              <w:jc w:val="center"/>
            </w:pPr>
            <w:r w:rsidRPr="00390355">
              <w:t>0.73</w:t>
            </w:r>
          </w:p>
        </w:tc>
        <w:tc>
          <w:tcPr>
            <w:tcW w:w="1800" w:type="dxa"/>
            <w:vAlign w:val="center"/>
          </w:tcPr>
          <w:p w14:paraId="3A401477" w14:textId="087B6A46" w:rsidR="00390355" w:rsidRDefault="00390355" w:rsidP="00390355">
            <w:pPr>
              <w:pStyle w:val="BodyText"/>
              <w:jc w:val="center"/>
            </w:pPr>
            <w:r w:rsidRPr="00390355">
              <w:t>4.78</w:t>
            </w:r>
          </w:p>
        </w:tc>
      </w:tr>
      <w:tr w:rsidR="00390355" w14:paraId="21DA5660" w14:textId="77777777" w:rsidTr="55ABD066">
        <w:trPr>
          <w:jc w:val="center"/>
        </w:trPr>
        <w:tc>
          <w:tcPr>
            <w:tcW w:w="2784" w:type="dxa"/>
          </w:tcPr>
          <w:p w14:paraId="7DA745BE" w14:textId="0AFA6BB3" w:rsidR="00390355" w:rsidRDefault="00390355" w:rsidP="00390355">
            <w:pPr>
              <w:pStyle w:val="BodyText"/>
            </w:pPr>
            <w:r>
              <w:t>TDD band (3.5GHz) 1 port with max power set to 20dBm</w:t>
            </w:r>
          </w:p>
        </w:tc>
        <w:tc>
          <w:tcPr>
            <w:tcW w:w="1981" w:type="dxa"/>
            <w:vAlign w:val="center"/>
          </w:tcPr>
          <w:p w14:paraId="152B86C8" w14:textId="01A8AEDD" w:rsidR="00390355" w:rsidRDefault="00390355" w:rsidP="00390355">
            <w:pPr>
              <w:pStyle w:val="BodyText"/>
              <w:jc w:val="center"/>
            </w:pPr>
            <w:r w:rsidRPr="00390355">
              <w:t>1.32</w:t>
            </w:r>
          </w:p>
        </w:tc>
        <w:tc>
          <w:tcPr>
            <w:tcW w:w="1800" w:type="dxa"/>
            <w:vAlign w:val="center"/>
          </w:tcPr>
          <w:p w14:paraId="41DE6AC4" w14:textId="3F4906F0" w:rsidR="00390355" w:rsidRDefault="00390355" w:rsidP="00390355">
            <w:pPr>
              <w:pStyle w:val="BodyText"/>
              <w:jc w:val="center"/>
            </w:pPr>
            <w:r w:rsidRPr="00390355">
              <w:t>0.21</w:t>
            </w:r>
          </w:p>
        </w:tc>
        <w:tc>
          <w:tcPr>
            <w:tcW w:w="1800" w:type="dxa"/>
            <w:vAlign w:val="center"/>
          </w:tcPr>
          <w:p w14:paraId="0CB2BF51" w14:textId="6F9BF6EF" w:rsidR="00390355" w:rsidRDefault="00390355" w:rsidP="00390355">
            <w:pPr>
              <w:pStyle w:val="BodyText"/>
              <w:jc w:val="center"/>
            </w:pPr>
            <w:r w:rsidRPr="00390355">
              <w:t>4.60</w:t>
            </w:r>
          </w:p>
        </w:tc>
      </w:tr>
      <w:tr w:rsidR="00390355" w14:paraId="1A2F96A0" w14:textId="77777777" w:rsidTr="55ABD066">
        <w:trPr>
          <w:jc w:val="center"/>
        </w:trPr>
        <w:tc>
          <w:tcPr>
            <w:tcW w:w="2784" w:type="dxa"/>
          </w:tcPr>
          <w:p w14:paraId="21F998DE" w14:textId="5A53B59E" w:rsidR="00390355" w:rsidRDefault="00390355" w:rsidP="00390355">
            <w:pPr>
              <w:pStyle w:val="BodyText"/>
            </w:pPr>
            <w:r>
              <w:t>TDD band (3.5GHz) 1 port with max power set to 23dBm</w:t>
            </w:r>
          </w:p>
        </w:tc>
        <w:tc>
          <w:tcPr>
            <w:tcW w:w="1981" w:type="dxa"/>
            <w:vAlign w:val="center"/>
          </w:tcPr>
          <w:p w14:paraId="7F6A2E19" w14:textId="4D5D1AA5" w:rsidR="00390355" w:rsidRDefault="00390355" w:rsidP="00390355">
            <w:pPr>
              <w:pStyle w:val="BodyText"/>
              <w:jc w:val="center"/>
            </w:pPr>
            <w:r w:rsidRPr="00390355">
              <w:t>1.40</w:t>
            </w:r>
          </w:p>
        </w:tc>
        <w:tc>
          <w:tcPr>
            <w:tcW w:w="1800" w:type="dxa"/>
            <w:vAlign w:val="center"/>
          </w:tcPr>
          <w:p w14:paraId="277770CA" w14:textId="07D41478" w:rsidR="00390355" w:rsidRDefault="00390355" w:rsidP="00390355">
            <w:pPr>
              <w:pStyle w:val="BodyText"/>
              <w:jc w:val="center"/>
            </w:pPr>
            <w:r w:rsidRPr="00390355">
              <w:t>0.32</w:t>
            </w:r>
          </w:p>
        </w:tc>
        <w:tc>
          <w:tcPr>
            <w:tcW w:w="1800" w:type="dxa"/>
            <w:vAlign w:val="center"/>
          </w:tcPr>
          <w:p w14:paraId="2C2ECB07" w14:textId="6E2201FA" w:rsidR="00390355" w:rsidRDefault="00390355" w:rsidP="00390355">
            <w:pPr>
              <w:pStyle w:val="BodyText"/>
              <w:jc w:val="center"/>
            </w:pPr>
            <w:r w:rsidRPr="00390355">
              <w:t>4.72</w:t>
            </w:r>
          </w:p>
        </w:tc>
      </w:tr>
      <w:tr w:rsidR="00390355" w14:paraId="54534EFF" w14:textId="77777777" w:rsidTr="55ABD066">
        <w:trPr>
          <w:jc w:val="center"/>
        </w:trPr>
        <w:tc>
          <w:tcPr>
            <w:tcW w:w="2784" w:type="dxa"/>
          </w:tcPr>
          <w:p w14:paraId="503063B6" w14:textId="4D6DC016" w:rsidR="00390355" w:rsidRDefault="00390355" w:rsidP="00390355">
            <w:pPr>
              <w:pStyle w:val="BodyText"/>
            </w:pPr>
            <w:r>
              <w:t>TDD band (3.5GHz) 2 layers (</w:t>
            </w:r>
            <w:r w:rsidR="00ED7F61">
              <w:t>always</w:t>
            </w:r>
            <w:r>
              <w:t>) with max power set to 20</w:t>
            </w:r>
            <w:r w:rsidR="00773F19">
              <w:t>dBm</w:t>
            </w:r>
            <w:r>
              <w:t>+20</w:t>
            </w:r>
            <w:r w:rsidR="00773F19">
              <w:t>dBm</w:t>
            </w:r>
            <w:r>
              <w:t>=23dBm</w:t>
            </w:r>
            <w:r w:rsidR="00773F19">
              <w:t xml:space="preserve"> (i.e., 20dBm per port)</w:t>
            </w:r>
          </w:p>
        </w:tc>
        <w:tc>
          <w:tcPr>
            <w:tcW w:w="1981" w:type="dxa"/>
            <w:vAlign w:val="center"/>
          </w:tcPr>
          <w:p w14:paraId="6B6E17DA" w14:textId="29B2D17A" w:rsidR="00390355" w:rsidRDefault="00390355" w:rsidP="00390355">
            <w:pPr>
              <w:pStyle w:val="BodyText"/>
              <w:jc w:val="center"/>
            </w:pPr>
            <w:r w:rsidRPr="00390355">
              <w:t>1.86</w:t>
            </w:r>
          </w:p>
        </w:tc>
        <w:tc>
          <w:tcPr>
            <w:tcW w:w="1800" w:type="dxa"/>
            <w:vAlign w:val="center"/>
          </w:tcPr>
          <w:p w14:paraId="7996051F" w14:textId="4C1B0053" w:rsidR="00390355" w:rsidRDefault="00390355" w:rsidP="00390355">
            <w:pPr>
              <w:pStyle w:val="BodyText"/>
              <w:jc w:val="center"/>
            </w:pPr>
            <w:r w:rsidRPr="00390355">
              <w:t>0.18</w:t>
            </w:r>
          </w:p>
        </w:tc>
        <w:tc>
          <w:tcPr>
            <w:tcW w:w="1800" w:type="dxa"/>
            <w:vAlign w:val="center"/>
          </w:tcPr>
          <w:p w14:paraId="0B4F6B14" w14:textId="42E8432C" w:rsidR="00390355" w:rsidRDefault="00390355" w:rsidP="00390355">
            <w:pPr>
              <w:pStyle w:val="BodyText"/>
              <w:jc w:val="center"/>
            </w:pPr>
            <w:r w:rsidRPr="00390355">
              <w:t>6.90</w:t>
            </w:r>
          </w:p>
        </w:tc>
      </w:tr>
    </w:tbl>
    <w:p w14:paraId="49BB9583" w14:textId="5FC4E92D" w:rsidR="005F0FA4" w:rsidRDefault="005F0FA4" w:rsidP="002E3CE3">
      <w:pPr>
        <w:pStyle w:val="BodyText"/>
      </w:pPr>
    </w:p>
    <w:p w14:paraId="203257F0" w14:textId="2AF8A274" w:rsidR="00390355" w:rsidRDefault="00B263D0" w:rsidP="002E3CE3">
      <w:pPr>
        <w:pStyle w:val="BodyText"/>
      </w:pPr>
      <w:r>
        <w:t xml:space="preserve">Achievable user throughput for below scenarios can then be estimated using the data in Table 1 and assuming full buffer traffic </w:t>
      </w:r>
    </w:p>
    <w:p w14:paraId="368CE0E1" w14:textId="5F745149" w:rsidR="00B263D0" w:rsidRDefault="00B263D0" w:rsidP="00B263D0">
      <w:pPr>
        <w:pStyle w:val="ListParagraph"/>
        <w:numPr>
          <w:ilvl w:val="0"/>
          <w:numId w:val="16"/>
        </w:numPr>
        <w:spacing w:after="160" w:line="259" w:lineRule="auto"/>
      </w:pPr>
      <w:r w:rsidRPr="000D7A4B">
        <w:t>'r15CA-1lfdd-2ltdd(3tx)'</w:t>
      </w:r>
      <w:r>
        <w:t xml:space="preserve"> = Rel15 CA </w:t>
      </w:r>
      <w:r w:rsidR="003D7BCB">
        <w:t xml:space="preserve">with </w:t>
      </w:r>
      <w:r>
        <w:t>UE supporting 1 tx-chain for FDD band and 2 tx-chains for TDD band (so total 3tx chains)</w:t>
      </w:r>
    </w:p>
    <w:p w14:paraId="559BDFBE" w14:textId="4848EEFE" w:rsidR="00B263D0" w:rsidRDefault="00B263D0" w:rsidP="00B263D0">
      <w:pPr>
        <w:pStyle w:val="ListParagraph"/>
        <w:numPr>
          <w:ilvl w:val="0"/>
          <w:numId w:val="16"/>
        </w:numPr>
        <w:spacing w:after="160" w:line="259" w:lineRule="auto"/>
      </w:pPr>
      <w:r w:rsidRPr="000D7A4B">
        <w:t>'r15CA-1lfdd-</w:t>
      </w:r>
      <w:r>
        <w:t>1</w:t>
      </w:r>
      <w:r w:rsidRPr="000D7A4B">
        <w:t>ltdd(</w:t>
      </w:r>
      <w:r>
        <w:t>2</w:t>
      </w:r>
      <w:r w:rsidRPr="000D7A4B">
        <w:t>tx)'</w:t>
      </w:r>
      <w:r>
        <w:t xml:space="preserve"> = Rel15 CA </w:t>
      </w:r>
      <w:r w:rsidR="003D7BCB">
        <w:t xml:space="preserve">with </w:t>
      </w:r>
      <w:r>
        <w:t xml:space="preserve">UE supporting 1 tx-chain for FDD band and 1 tx-chain for TDD band (so total 2tx chains. Baseline for </w:t>
      </w:r>
      <w:r w:rsidR="003E434B">
        <w:t>comparison</w:t>
      </w:r>
      <w:r>
        <w:t>)</w:t>
      </w:r>
    </w:p>
    <w:p w14:paraId="57E36B37" w14:textId="57FFEB34" w:rsidR="00B263D0" w:rsidRDefault="3F47C4ED" w:rsidP="00B263D0">
      <w:pPr>
        <w:pStyle w:val="ListParagraph"/>
        <w:numPr>
          <w:ilvl w:val="0"/>
          <w:numId w:val="16"/>
        </w:numPr>
        <w:spacing w:after="160" w:line="259" w:lineRule="auto"/>
      </w:pPr>
      <w:r>
        <w:t>'r16CA-switch-op1(2tx)' = Option</w:t>
      </w:r>
      <w:r w:rsidR="009C2EA4">
        <w:t xml:space="preserve"> 1</w:t>
      </w:r>
      <w:r w:rsidR="7FFDED8B">
        <w:t xml:space="preserve"> Rel16 CA with UE supporting</w:t>
      </w:r>
      <w:r>
        <w:t xml:space="preserve"> </w:t>
      </w:r>
      <w:r w:rsidR="234301AB">
        <w:t xml:space="preserve">2tx chains and </w:t>
      </w:r>
      <w:r>
        <w:t xml:space="preserve">UL </w:t>
      </w:r>
      <w:proofErr w:type="spellStart"/>
      <w:r>
        <w:t>tx</w:t>
      </w:r>
      <w:proofErr w:type="spellEnd"/>
      <w:r>
        <w:t xml:space="preserve"> switching </w:t>
      </w:r>
      <w:r w:rsidR="7FFDED8B">
        <w:t xml:space="preserve">between FDD and TDD bands </w:t>
      </w:r>
      <w:r w:rsidR="0036734D">
        <w:t xml:space="preserve">without support for 1layerFDD+1layerTDD transmission </w:t>
      </w:r>
      <w:r>
        <w:t>(</w:t>
      </w:r>
      <w:r w:rsidR="3F1F8524">
        <w:t>as in Figure 2</w:t>
      </w:r>
      <w:r>
        <w:t>)</w:t>
      </w:r>
    </w:p>
    <w:p w14:paraId="4A950C19" w14:textId="0FEF15CA" w:rsidR="00B263D0" w:rsidRDefault="3F47C4ED" w:rsidP="00B263D0">
      <w:pPr>
        <w:pStyle w:val="ListParagraph"/>
        <w:numPr>
          <w:ilvl w:val="0"/>
          <w:numId w:val="16"/>
        </w:numPr>
        <w:spacing w:after="160" w:line="259" w:lineRule="auto"/>
      </w:pPr>
      <w:r>
        <w:t xml:space="preserve">'r16CA-switch-op2(2tx)' = </w:t>
      </w:r>
      <w:r w:rsidR="7FFDED8B">
        <w:t>Option</w:t>
      </w:r>
      <w:r w:rsidR="009C2EA4">
        <w:t xml:space="preserve"> 2</w:t>
      </w:r>
      <w:r w:rsidR="7FFDED8B">
        <w:t xml:space="preserve"> Rel16 CA with UE supporting 2tx chains and UL tx switching between FDD and TDD bands </w:t>
      </w:r>
      <w:r>
        <w:t>(</w:t>
      </w:r>
      <w:r w:rsidR="3F1F8524">
        <w:t>as in Figure 3</w:t>
      </w:r>
      <w:r>
        <w:t>)</w:t>
      </w:r>
    </w:p>
    <w:p w14:paraId="4E6BC1E1" w14:textId="6223AF70" w:rsidR="00B263D0" w:rsidRDefault="00103353" w:rsidP="00103353">
      <w:pPr>
        <w:pStyle w:val="BodyText"/>
      </w:pPr>
      <w:r>
        <w:t>Figures 4-6 below show estimated UE throughput assuming 20MHz FDD BW, different TDD BWs</w:t>
      </w:r>
      <w:r w:rsidR="003D7BCB">
        <w:t xml:space="preserve"> (</w:t>
      </w:r>
      <w:r w:rsidR="0055129B">
        <w:t>20</w:t>
      </w:r>
      <w:r w:rsidR="00795B94">
        <w:t>MHz</w:t>
      </w:r>
      <w:r w:rsidR="0055129B">
        <w:t>-100MHz</w:t>
      </w:r>
      <w:r w:rsidR="003D7BCB">
        <w:t>)</w:t>
      </w:r>
      <w:r>
        <w:t xml:space="preserve"> and 35us/140us switching time (as these are two candidate values being discussed in RAN4). Since Pcell is expected to be in low band (i.e., FDD) carrying PUCCH, switching gaps are assumed </w:t>
      </w:r>
      <w:r w:rsidR="0055129B">
        <w:t xml:space="preserve">to be within </w:t>
      </w:r>
      <w:r>
        <w:t xml:space="preserve">the </w:t>
      </w:r>
      <w:r w:rsidR="0055129B">
        <w:t xml:space="preserve">PUSCH slots of </w:t>
      </w:r>
      <w:r>
        <w:t>TDD band.</w:t>
      </w:r>
      <w:r w:rsidR="0055129B">
        <w:t xml:space="preserve"> </w:t>
      </w:r>
    </w:p>
    <w:p w14:paraId="4A28797B" w14:textId="2D84D589" w:rsidR="00B263D0" w:rsidRDefault="003D7BCB" w:rsidP="002E3CE3">
      <w:pPr>
        <w:pStyle w:val="BodyText"/>
      </w:pPr>
      <w:r>
        <w:t xml:space="preserve">Figure 4 shows estimated UE throughput for </w:t>
      </w:r>
      <w:r w:rsidR="00703B38">
        <w:t>‘</w:t>
      </w:r>
      <w:r>
        <w:t>median UE</w:t>
      </w:r>
      <w:r w:rsidR="00703B38">
        <w:t>’</w:t>
      </w:r>
      <w:r>
        <w:t xml:space="preserve"> </w:t>
      </w:r>
      <w:r w:rsidR="00795B94">
        <w:t xml:space="preserve">and </w:t>
      </w:r>
      <w:r>
        <w:t xml:space="preserve">assuming </w:t>
      </w:r>
      <w:r w:rsidR="00703B38">
        <w:t>80</w:t>
      </w:r>
      <w:r w:rsidR="006E2A5F">
        <w:t>%</w:t>
      </w:r>
      <w:r w:rsidR="00703B38">
        <w:t xml:space="preserve"> </w:t>
      </w:r>
      <w:r w:rsidR="00A96532">
        <w:t xml:space="preserve">availability of </w:t>
      </w:r>
      <w:proofErr w:type="gramStart"/>
      <w:r w:rsidR="00703B38">
        <w:t>2</w:t>
      </w:r>
      <w:r w:rsidR="007F24E3">
        <w:t xml:space="preserve"> </w:t>
      </w:r>
      <w:r w:rsidR="00703B38">
        <w:t>layer</w:t>
      </w:r>
      <w:proofErr w:type="gramEnd"/>
      <w:r>
        <w:t xml:space="preserve"> transmissions </w:t>
      </w:r>
      <w:r w:rsidR="00703B38">
        <w:t>on</w:t>
      </w:r>
      <w:r>
        <w:t xml:space="preserve"> TDD band</w:t>
      </w:r>
      <w:r w:rsidR="00703B38">
        <w:t xml:space="preserve"> (FDD band is always 1layer</w:t>
      </w:r>
      <w:r w:rsidR="00EF3A99">
        <w:t>, 20MHz BW</w:t>
      </w:r>
      <w:r w:rsidR="00703B38">
        <w:t>)</w:t>
      </w:r>
      <w:r w:rsidR="00C76473">
        <w:t xml:space="preserve">. </w:t>
      </w:r>
    </w:p>
    <w:p w14:paraId="08AC83B6" w14:textId="7D9269F1" w:rsidR="00703B38" w:rsidRDefault="574E49F4" w:rsidP="002E3CE3">
      <w:pPr>
        <w:pStyle w:val="BodyText"/>
      </w:pPr>
      <w:r w:rsidRPr="00703B38">
        <w:t xml:space="preserve"> </w:t>
      </w:r>
      <w:r w:rsidR="00AD7F59" w:rsidRPr="00AD7F59">
        <w:rPr>
          <w:noProof/>
        </w:rPr>
        <w:drawing>
          <wp:inline distT="0" distB="0" distL="0" distR="0" wp14:anchorId="660879F5" wp14:editId="74F73D81">
            <wp:extent cx="2834640" cy="21214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5545E77F" w:rsidRPr="00AD7F59">
        <w:t xml:space="preserve"> </w:t>
      </w:r>
      <w:r w:rsidR="00AD7F59" w:rsidRPr="00AD7F59">
        <w:rPr>
          <w:noProof/>
        </w:rPr>
        <w:drawing>
          <wp:inline distT="0" distB="0" distL="0" distR="0" wp14:anchorId="70B4FA38" wp14:editId="4BFF80EA">
            <wp:extent cx="2834640" cy="21214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69107FD4" w14:textId="4331C5BA" w:rsidR="00703B38" w:rsidRPr="00A64A92" w:rsidRDefault="00703B38" w:rsidP="00703B38">
      <w:pPr>
        <w:pStyle w:val="BodyText"/>
        <w:jc w:val="center"/>
        <w:rPr>
          <w:rFonts w:ascii="Arial" w:hAnsi="Arial" w:cs="Arial"/>
          <w:b/>
          <w:bCs/>
          <w:u w:val="single"/>
        </w:rPr>
      </w:pPr>
      <w:r>
        <w:rPr>
          <w:rFonts w:ascii="Arial" w:hAnsi="Arial" w:cs="Arial"/>
          <w:b/>
          <w:bCs/>
          <w:u w:val="single"/>
        </w:rPr>
        <w:t xml:space="preserve">Figure 4 – CA performance </w:t>
      </w:r>
      <w:r w:rsidR="00C76473">
        <w:rPr>
          <w:rFonts w:ascii="Arial" w:hAnsi="Arial" w:cs="Arial"/>
          <w:b/>
          <w:bCs/>
          <w:u w:val="single"/>
        </w:rPr>
        <w:t xml:space="preserve">with </w:t>
      </w:r>
      <w:r>
        <w:rPr>
          <w:rFonts w:ascii="Arial" w:hAnsi="Arial" w:cs="Arial"/>
          <w:b/>
          <w:bCs/>
          <w:u w:val="single"/>
        </w:rPr>
        <w:t>UL tx switching (‘median UE’)</w:t>
      </w:r>
    </w:p>
    <w:p w14:paraId="7FF0B1BC" w14:textId="5416D066" w:rsidR="00703B38" w:rsidRDefault="00703B38" w:rsidP="002E3CE3">
      <w:pPr>
        <w:pStyle w:val="BodyText"/>
      </w:pPr>
    </w:p>
    <w:p w14:paraId="2E09B715" w14:textId="52BAE71E" w:rsidR="007F24E3" w:rsidRDefault="007F24E3" w:rsidP="007F24E3">
      <w:pPr>
        <w:pStyle w:val="BodyText"/>
      </w:pPr>
      <w:r>
        <w:lastRenderedPageBreak/>
        <w:t xml:space="preserve">Figure 5 shows estimated UE throughput for ‘95%le UE’ </w:t>
      </w:r>
      <w:r w:rsidR="00795B94">
        <w:t xml:space="preserve">and </w:t>
      </w:r>
      <w:r>
        <w:t xml:space="preserve">assuming 100% </w:t>
      </w:r>
      <w:r w:rsidR="00A96532">
        <w:t xml:space="preserve">availability of </w:t>
      </w:r>
      <w:proofErr w:type="gramStart"/>
      <w:r>
        <w:t>2 layer</w:t>
      </w:r>
      <w:proofErr w:type="gramEnd"/>
      <w:r>
        <w:t xml:space="preserve"> transmissions on TDD band (FDD band is always 1layer, 20MHz BW)</w:t>
      </w:r>
      <w:r w:rsidR="00265C5C">
        <w:t xml:space="preserve">. </w:t>
      </w:r>
    </w:p>
    <w:p w14:paraId="5D8E5C0B" w14:textId="77777777" w:rsidR="00265C5C" w:rsidRDefault="00265C5C" w:rsidP="007F24E3">
      <w:pPr>
        <w:pStyle w:val="BodyText"/>
      </w:pPr>
    </w:p>
    <w:p w14:paraId="0C4B2C88" w14:textId="2D0C2B4D" w:rsidR="003C3998" w:rsidRDefault="2A16840D" w:rsidP="007F24E3">
      <w:pPr>
        <w:pStyle w:val="BodyText"/>
      </w:pPr>
      <w:r w:rsidRPr="003C3998">
        <w:t xml:space="preserve"> </w:t>
      </w:r>
      <w:r w:rsidR="00AD7F59" w:rsidRPr="00AD7F59">
        <w:rPr>
          <w:noProof/>
        </w:rPr>
        <w:drawing>
          <wp:inline distT="0" distB="0" distL="0" distR="0" wp14:anchorId="1FD4EC8F" wp14:editId="6112676F">
            <wp:extent cx="2834640" cy="21214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62DEA0F7" w:rsidRPr="00657D45">
        <w:t xml:space="preserve"> </w:t>
      </w:r>
      <w:r w:rsidR="00AD7F59" w:rsidRPr="00AD7F59">
        <w:rPr>
          <w:noProof/>
        </w:rPr>
        <w:drawing>
          <wp:inline distT="0" distB="0" distL="0" distR="0" wp14:anchorId="322BEE20" wp14:editId="1A17073C">
            <wp:extent cx="2834640" cy="21214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3038FBB6" w14:textId="60A7CD8A" w:rsidR="00C76473" w:rsidRPr="00A64A92" w:rsidRDefault="00C76473" w:rsidP="00C76473">
      <w:pPr>
        <w:pStyle w:val="BodyText"/>
        <w:jc w:val="center"/>
        <w:rPr>
          <w:rFonts w:ascii="Arial" w:hAnsi="Arial" w:cs="Arial"/>
          <w:b/>
          <w:bCs/>
          <w:u w:val="single"/>
        </w:rPr>
      </w:pPr>
      <w:r>
        <w:rPr>
          <w:rFonts w:ascii="Arial" w:hAnsi="Arial" w:cs="Arial"/>
          <w:b/>
          <w:bCs/>
          <w:u w:val="single"/>
        </w:rPr>
        <w:t>Figure 5 – CA performance with UL tx switching (‘95%le UE’)</w:t>
      </w:r>
    </w:p>
    <w:p w14:paraId="4A68C421" w14:textId="77777777" w:rsidR="00C76473" w:rsidRDefault="00C76473" w:rsidP="007F24E3">
      <w:pPr>
        <w:pStyle w:val="BodyText"/>
      </w:pPr>
    </w:p>
    <w:p w14:paraId="6EDEE1E0" w14:textId="02ECEBB2" w:rsidR="007F24E3" w:rsidRDefault="007F24E3" w:rsidP="007F24E3">
      <w:pPr>
        <w:pStyle w:val="BodyText"/>
      </w:pPr>
      <w:r>
        <w:t>Figure 6 shows estimated UE throughput for ‘5%le UE’</w:t>
      </w:r>
      <w:r w:rsidR="00795B94">
        <w:t>, and</w:t>
      </w:r>
      <w:r>
        <w:t xml:space="preserve"> assuming 100% </w:t>
      </w:r>
      <w:proofErr w:type="gramStart"/>
      <w:r>
        <w:t>1 layer</w:t>
      </w:r>
      <w:proofErr w:type="gramEnd"/>
      <w:r>
        <w:t xml:space="preserve"> transmissions on TDD band (FDD band is always 1layer, 20MHz BW)</w:t>
      </w:r>
      <w:r w:rsidR="00265C5C">
        <w:t>. Since all TDD slots have 1layer transmission, throughput for option 2 and will be same as CA with 2Tx.</w:t>
      </w:r>
    </w:p>
    <w:p w14:paraId="50CBA536" w14:textId="77777777" w:rsidR="00265C5C" w:rsidRDefault="00265C5C" w:rsidP="007F24E3">
      <w:pPr>
        <w:pStyle w:val="BodyText"/>
      </w:pPr>
    </w:p>
    <w:p w14:paraId="0B138A08" w14:textId="1AF2F1B9" w:rsidR="00C76473" w:rsidRDefault="00AD7F59" w:rsidP="002E3CE3">
      <w:pPr>
        <w:pStyle w:val="BodyText"/>
      </w:pPr>
      <w:r w:rsidRPr="00AD7F59">
        <w:rPr>
          <w:noProof/>
        </w:rPr>
        <w:drawing>
          <wp:inline distT="0" distB="0" distL="0" distR="0" wp14:anchorId="09E42F6C" wp14:editId="752FF76F">
            <wp:extent cx="2834640" cy="21214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B9A306A" w:rsidRPr="00265C5C">
        <w:t xml:space="preserve"> </w:t>
      </w:r>
      <w:r w:rsidRPr="00AD7F59">
        <w:rPr>
          <w:noProof/>
        </w:rPr>
        <w:drawing>
          <wp:inline distT="0" distB="0" distL="0" distR="0" wp14:anchorId="348DA7FB" wp14:editId="4C344420">
            <wp:extent cx="2834640" cy="21214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2946C4D9" w14:textId="18BC9E3D" w:rsidR="00C76473" w:rsidRPr="00A64A92" w:rsidRDefault="00C76473" w:rsidP="00C76473">
      <w:pPr>
        <w:pStyle w:val="BodyText"/>
        <w:jc w:val="center"/>
        <w:rPr>
          <w:rFonts w:ascii="Arial" w:hAnsi="Arial" w:cs="Arial"/>
          <w:b/>
          <w:bCs/>
          <w:u w:val="single"/>
        </w:rPr>
      </w:pPr>
      <w:r>
        <w:rPr>
          <w:rFonts w:ascii="Arial" w:hAnsi="Arial" w:cs="Arial"/>
          <w:b/>
          <w:bCs/>
          <w:u w:val="single"/>
        </w:rPr>
        <w:t>Figure 6 – CA performance with UL tx switching (‘5%le UE’)</w:t>
      </w:r>
    </w:p>
    <w:p w14:paraId="716931D8" w14:textId="77777777" w:rsidR="00265C5C" w:rsidRDefault="00265C5C" w:rsidP="002E3CE3">
      <w:pPr>
        <w:pStyle w:val="BodyText"/>
      </w:pPr>
    </w:p>
    <w:p w14:paraId="3E43AD52" w14:textId="50BEB994" w:rsidR="00C76473" w:rsidRDefault="00902CBC" w:rsidP="002E3CE3">
      <w:pPr>
        <w:pStyle w:val="BodyText"/>
      </w:pPr>
      <w:r>
        <w:t>Tables 2a and 2b compare performance of Options 1,2 relative to rel15 CA case with 2Tx chains (i.e.,</w:t>
      </w:r>
      <w:r w:rsidR="00795B94">
        <w:t xml:space="preserve"> </w:t>
      </w:r>
      <w:r w:rsidR="00795B94" w:rsidRPr="000D7A4B">
        <w:t>'r15CA-1lfdd-</w:t>
      </w:r>
      <w:r w:rsidR="00795B94">
        <w:t>1</w:t>
      </w:r>
      <w:r w:rsidR="00795B94" w:rsidRPr="000D7A4B">
        <w:t>ltdd(</w:t>
      </w:r>
      <w:r w:rsidR="00795B94">
        <w:t>2</w:t>
      </w:r>
      <w:r w:rsidR="00795B94" w:rsidRPr="000D7A4B">
        <w:t>tx)'</w:t>
      </w:r>
      <w:r>
        <w:t>). Table 2a shows the gain (%) assuming 35us switching gap. Table 2b shows gain for 140us switching gap</w:t>
      </w:r>
      <w:r w:rsidR="0042613F">
        <w:t>.</w:t>
      </w:r>
    </w:p>
    <w:p w14:paraId="49C92BBC" w14:textId="459FA8F5" w:rsidR="0042613F" w:rsidRDefault="0042613F" w:rsidP="002E3CE3">
      <w:pPr>
        <w:pStyle w:val="BodyText"/>
      </w:pPr>
    </w:p>
    <w:p w14:paraId="3B640BF3" w14:textId="2A6FA9DE" w:rsidR="0042613F" w:rsidRPr="00A64A92" w:rsidRDefault="0042613F" w:rsidP="0042613F">
      <w:pPr>
        <w:pStyle w:val="BodyText"/>
        <w:jc w:val="center"/>
        <w:rPr>
          <w:rFonts w:ascii="Arial" w:hAnsi="Arial" w:cs="Arial"/>
          <w:b/>
          <w:bCs/>
          <w:u w:val="single"/>
        </w:rPr>
      </w:pPr>
      <w:r>
        <w:rPr>
          <w:rFonts w:ascii="Arial" w:hAnsi="Arial" w:cs="Arial"/>
          <w:b/>
          <w:bCs/>
          <w:u w:val="single"/>
        </w:rPr>
        <w:t xml:space="preserve">Table 2a – </w:t>
      </w:r>
      <w:r w:rsidR="00994211">
        <w:rPr>
          <w:rFonts w:ascii="Arial" w:hAnsi="Arial" w:cs="Arial"/>
          <w:b/>
          <w:bCs/>
          <w:u w:val="single"/>
        </w:rPr>
        <w:t>Impact</w:t>
      </w:r>
      <w:r>
        <w:rPr>
          <w:rFonts w:ascii="Arial" w:hAnsi="Arial" w:cs="Arial"/>
          <w:b/>
          <w:bCs/>
          <w:u w:val="single"/>
        </w:rPr>
        <w:t xml:space="preserve"> of UL tx switching</w:t>
      </w:r>
      <w:r w:rsidR="00E51FB7">
        <w:rPr>
          <w:rFonts w:ascii="Arial" w:hAnsi="Arial" w:cs="Arial"/>
          <w:b/>
          <w:bCs/>
          <w:u w:val="single"/>
        </w:rPr>
        <w:t xml:space="preserve"> (35us switching gap)</w:t>
      </w:r>
    </w:p>
    <w:p w14:paraId="3B11C533" w14:textId="77777777" w:rsidR="00902CBC" w:rsidRDefault="00902CBC" w:rsidP="002E3CE3">
      <w:pPr>
        <w:pStyle w:val="BodyText"/>
      </w:pPr>
    </w:p>
    <w:tbl>
      <w:tblPr>
        <w:tblStyle w:val="TableGrid"/>
        <w:tblW w:w="0" w:type="auto"/>
        <w:jc w:val="center"/>
        <w:tblLook w:val="04A0" w:firstRow="1" w:lastRow="0" w:firstColumn="1" w:lastColumn="0" w:noHBand="0" w:noVBand="1"/>
      </w:tblPr>
      <w:tblGrid>
        <w:gridCol w:w="1620"/>
        <w:gridCol w:w="960"/>
        <w:gridCol w:w="1105"/>
        <w:gridCol w:w="1080"/>
        <w:gridCol w:w="1080"/>
        <w:gridCol w:w="1080"/>
        <w:gridCol w:w="1080"/>
      </w:tblGrid>
      <w:tr w:rsidR="00902CBC" w:rsidRPr="00902CBC" w14:paraId="56AE626B" w14:textId="77777777" w:rsidTr="0042613F">
        <w:trPr>
          <w:trHeight w:val="530"/>
          <w:jc w:val="center"/>
        </w:trPr>
        <w:tc>
          <w:tcPr>
            <w:tcW w:w="2580" w:type="dxa"/>
            <w:gridSpan w:val="2"/>
            <w:vMerge w:val="restart"/>
            <w:tcBorders>
              <w:top w:val="nil"/>
              <w:left w:val="nil"/>
            </w:tcBorders>
            <w:noWrap/>
            <w:hideMark/>
          </w:tcPr>
          <w:p w14:paraId="7ACEA3AC" w14:textId="77777777" w:rsidR="00902CBC" w:rsidRPr="00902CBC" w:rsidRDefault="00902CBC" w:rsidP="00902CBC">
            <w:pPr>
              <w:pStyle w:val="BodyText"/>
            </w:pPr>
            <w:r w:rsidRPr="00902CBC">
              <w:t> </w:t>
            </w:r>
          </w:p>
          <w:p w14:paraId="1C52406D" w14:textId="1A7E4FF8" w:rsidR="00902CBC" w:rsidRPr="00902CBC" w:rsidRDefault="00902CBC" w:rsidP="00902CBC">
            <w:pPr>
              <w:pStyle w:val="BodyText"/>
            </w:pPr>
            <w:r w:rsidRPr="00902CBC">
              <w:t> </w:t>
            </w:r>
          </w:p>
          <w:p w14:paraId="1C6EFA21" w14:textId="646A01BB" w:rsidR="00902CBC" w:rsidRPr="00902CBC" w:rsidRDefault="00902CBC" w:rsidP="00902CBC">
            <w:pPr>
              <w:pStyle w:val="BodyText"/>
            </w:pPr>
            <w:r w:rsidRPr="00902CBC">
              <w:t> </w:t>
            </w:r>
          </w:p>
        </w:tc>
        <w:tc>
          <w:tcPr>
            <w:tcW w:w="5425" w:type="dxa"/>
            <w:gridSpan w:val="5"/>
            <w:noWrap/>
            <w:hideMark/>
          </w:tcPr>
          <w:p w14:paraId="427D2B08" w14:textId="77777777" w:rsidR="00902CBC" w:rsidRPr="0042613F" w:rsidRDefault="00902CBC" w:rsidP="00902CBC">
            <w:pPr>
              <w:pStyle w:val="BodyText"/>
              <w:jc w:val="center"/>
              <w:rPr>
                <w:rFonts w:ascii="Arial" w:hAnsi="Arial" w:cs="Arial"/>
                <w:b/>
                <w:bCs/>
                <w:sz w:val="18"/>
                <w:szCs w:val="22"/>
              </w:rPr>
            </w:pPr>
            <w:r w:rsidRPr="0042613F">
              <w:rPr>
                <w:rFonts w:ascii="Arial" w:hAnsi="Arial" w:cs="Arial"/>
                <w:b/>
                <w:bCs/>
                <w:sz w:val="18"/>
                <w:szCs w:val="22"/>
              </w:rPr>
              <w:t>Gain (%) of UL Tx switching vs Rel15 CA(2Tx)</w:t>
            </w:r>
          </w:p>
          <w:p w14:paraId="687E772A" w14:textId="7AAABEEE" w:rsidR="00902CBC" w:rsidRPr="00902CBC" w:rsidRDefault="00902CBC" w:rsidP="00902CBC">
            <w:pPr>
              <w:pStyle w:val="BodyText"/>
              <w:jc w:val="center"/>
            </w:pPr>
            <w:r w:rsidRPr="0042613F">
              <w:rPr>
                <w:rFonts w:ascii="Arial" w:hAnsi="Arial" w:cs="Arial"/>
                <w:b/>
                <w:bCs/>
                <w:sz w:val="18"/>
                <w:szCs w:val="22"/>
              </w:rPr>
              <w:t>(35us switching time)</w:t>
            </w:r>
          </w:p>
        </w:tc>
      </w:tr>
      <w:tr w:rsidR="00902CBC" w:rsidRPr="00902CBC" w14:paraId="75BB1FE0" w14:textId="77777777" w:rsidTr="0042613F">
        <w:trPr>
          <w:trHeight w:val="290"/>
          <w:jc w:val="center"/>
        </w:trPr>
        <w:tc>
          <w:tcPr>
            <w:tcW w:w="2580" w:type="dxa"/>
            <w:gridSpan w:val="2"/>
            <w:vMerge/>
            <w:tcBorders>
              <w:left w:val="nil"/>
            </w:tcBorders>
            <w:hideMark/>
          </w:tcPr>
          <w:p w14:paraId="2BDE481D" w14:textId="6E89175D" w:rsidR="00902CBC" w:rsidRPr="00902CBC" w:rsidRDefault="00902CBC" w:rsidP="00902CBC">
            <w:pPr>
              <w:pStyle w:val="BodyText"/>
            </w:pPr>
          </w:p>
        </w:tc>
        <w:tc>
          <w:tcPr>
            <w:tcW w:w="1105" w:type="dxa"/>
            <w:noWrap/>
            <w:hideMark/>
          </w:tcPr>
          <w:p w14:paraId="09815A61" w14:textId="278DBF69" w:rsidR="00902CBC" w:rsidRPr="00902CBC" w:rsidRDefault="00902CBC" w:rsidP="0042613F">
            <w:pPr>
              <w:pStyle w:val="BodyText"/>
              <w:jc w:val="center"/>
            </w:pPr>
            <w:r w:rsidRPr="00902CBC">
              <w:t>20MHz</w:t>
            </w:r>
            <w:r w:rsidR="0042613F">
              <w:t xml:space="preserve"> TDD BW</w:t>
            </w:r>
          </w:p>
        </w:tc>
        <w:tc>
          <w:tcPr>
            <w:tcW w:w="1080" w:type="dxa"/>
            <w:noWrap/>
            <w:hideMark/>
          </w:tcPr>
          <w:p w14:paraId="4274E68C" w14:textId="6E8073B0" w:rsidR="00902CBC" w:rsidRPr="00902CBC" w:rsidRDefault="0042613F" w:rsidP="0042613F">
            <w:pPr>
              <w:pStyle w:val="BodyText"/>
              <w:jc w:val="center"/>
            </w:pPr>
            <w:r>
              <w:t>4</w:t>
            </w:r>
            <w:r w:rsidRPr="00902CBC">
              <w:t>0MHz</w:t>
            </w:r>
            <w:r>
              <w:t xml:space="preserve"> TDD BW</w:t>
            </w:r>
          </w:p>
        </w:tc>
        <w:tc>
          <w:tcPr>
            <w:tcW w:w="1080" w:type="dxa"/>
            <w:noWrap/>
            <w:hideMark/>
          </w:tcPr>
          <w:p w14:paraId="19BD6240" w14:textId="3610B9DD" w:rsidR="00902CBC" w:rsidRPr="00902CBC" w:rsidRDefault="0042613F" w:rsidP="0042613F">
            <w:pPr>
              <w:pStyle w:val="BodyText"/>
              <w:jc w:val="center"/>
            </w:pPr>
            <w:r>
              <w:t>6</w:t>
            </w:r>
            <w:r w:rsidRPr="00902CBC">
              <w:t>0MHz</w:t>
            </w:r>
            <w:r>
              <w:t xml:space="preserve"> TDD BW</w:t>
            </w:r>
          </w:p>
        </w:tc>
        <w:tc>
          <w:tcPr>
            <w:tcW w:w="1080" w:type="dxa"/>
            <w:noWrap/>
            <w:hideMark/>
          </w:tcPr>
          <w:p w14:paraId="116EFF7A" w14:textId="1D0C3BAD" w:rsidR="00902CBC" w:rsidRPr="00902CBC" w:rsidRDefault="0042613F" w:rsidP="0042613F">
            <w:pPr>
              <w:pStyle w:val="BodyText"/>
              <w:jc w:val="center"/>
            </w:pPr>
            <w:r>
              <w:t>8</w:t>
            </w:r>
            <w:r w:rsidRPr="00902CBC">
              <w:t>0MHz</w:t>
            </w:r>
            <w:r>
              <w:t xml:space="preserve"> TDD BW</w:t>
            </w:r>
          </w:p>
        </w:tc>
        <w:tc>
          <w:tcPr>
            <w:tcW w:w="1080" w:type="dxa"/>
            <w:noWrap/>
            <w:hideMark/>
          </w:tcPr>
          <w:p w14:paraId="6A4BB712" w14:textId="7B74E441" w:rsidR="00902CBC" w:rsidRPr="00902CBC" w:rsidRDefault="0042613F" w:rsidP="0042613F">
            <w:pPr>
              <w:pStyle w:val="BodyText"/>
              <w:jc w:val="center"/>
            </w:pPr>
            <w:r>
              <w:t>10</w:t>
            </w:r>
            <w:r w:rsidRPr="00902CBC">
              <w:t>0MHz</w:t>
            </w:r>
            <w:r>
              <w:t xml:space="preserve"> TDD BW</w:t>
            </w:r>
          </w:p>
        </w:tc>
      </w:tr>
      <w:tr w:rsidR="0042613F" w:rsidRPr="00902CBC" w14:paraId="305B887A" w14:textId="77777777" w:rsidTr="00265C5C">
        <w:trPr>
          <w:trHeight w:val="290"/>
          <w:jc w:val="center"/>
        </w:trPr>
        <w:tc>
          <w:tcPr>
            <w:tcW w:w="1620" w:type="dxa"/>
            <w:vMerge w:val="restart"/>
            <w:noWrap/>
            <w:vAlign w:val="center"/>
            <w:hideMark/>
          </w:tcPr>
          <w:p w14:paraId="26C2DB9F" w14:textId="3D722155" w:rsidR="00902CBC" w:rsidRPr="00902CBC" w:rsidRDefault="0042613F" w:rsidP="0042613F">
            <w:pPr>
              <w:pStyle w:val="BodyText"/>
              <w:jc w:val="center"/>
              <w:rPr>
                <w:b/>
                <w:bCs/>
              </w:rPr>
            </w:pPr>
            <w:r>
              <w:rPr>
                <w:b/>
                <w:bCs/>
              </w:rPr>
              <w:t>‘</w:t>
            </w:r>
            <w:r w:rsidR="00902CBC" w:rsidRPr="00902CBC">
              <w:rPr>
                <w:b/>
                <w:bCs/>
              </w:rPr>
              <w:t>median UE'</w:t>
            </w:r>
          </w:p>
        </w:tc>
        <w:tc>
          <w:tcPr>
            <w:tcW w:w="960" w:type="dxa"/>
            <w:noWrap/>
            <w:hideMark/>
          </w:tcPr>
          <w:p w14:paraId="1C70375C" w14:textId="77777777" w:rsidR="00902CBC" w:rsidRPr="00902CBC" w:rsidRDefault="00902CBC" w:rsidP="00902CBC">
            <w:pPr>
              <w:pStyle w:val="BodyText"/>
            </w:pPr>
            <w:r w:rsidRPr="00902CBC">
              <w:t>Option 1</w:t>
            </w:r>
          </w:p>
        </w:tc>
        <w:tc>
          <w:tcPr>
            <w:tcW w:w="1105" w:type="dxa"/>
            <w:noWrap/>
            <w:hideMark/>
          </w:tcPr>
          <w:p w14:paraId="18087AAC" w14:textId="03802285" w:rsidR="00902CBC" w:rsidRPr="0042613F" w:rsidRDefault="00902CBC" w:rsidP="0042613F">
            <w:pPr>
              <w:pStyle w:val="BodyText"/>
              <w:jc w:val="center"/>
              <w:rPr>
                <w:color w:val="C00000"/>
              </w:rPr>
            </w:pPr>
            <w:r w:rsidRPr="0042613F">
              <w:rPr>
                <w:color w:val="C00000"/>
              </w:rPr>
              <w:t>-13.1</w:t>
            </w:r>
            <w:r w:rsidR="00ED0166">
              <w:rPr>
                <w:color w:val="C00000"/>
              </w:rPr>
              <w:t>%</w:t>
            </w:r>
          </w:p>
        </w:tc>
        <w:tc>
          <w:tcPr>
            <w:tcW w:w="1080" w:type="dxa"/>
            <w:noWrap/>
            <w:hideMark/>
          </w:tcPr>
          <w:p w14:paraId="1856DF72" w14:textId="65B8F92B" w:rsidR="00902CBC" w:rsidRPr="0042613F" w:rsidRDefault="00902CBC" w:rsidP="0042613F">
            <w:pPr>
              <w:pStyle w:val="BodyText"/>
              <w:jc w:val="center"/>
              <w:rPr>
                <w:color w:val="C00000"/>
              </w:rPr>
            </w:pPr>
            <w:r w:rsidRPr="0042613F">
              <w:rPr>
                <w:color w:val="C00000"/>
              </w:rPr>
              <w:t>-8.3</w:t>
            </w:r>
            <w:r w:rsidR="00ED0166">
              <w:rPr>
                <w:color w:val="C00000"/>
              </w:rPr>
              <w:t>%</w:t>
            </w:r>
          </w:p>
        </w:tc>
        <w:tc>
          <w:tcPr>
            <w:tcW w:w="1080" w:type="dxa"/>
            <w:noWrap/>
            <w:hideMark/>
          </w:tcPr>
          <w:p w14:paraId="57C6CC6A" w14:textId="043BD0F3" w:rsidR="00902CBC" w:rsidRPr="0042613F" w:rsidRDefault="00902CBC" w:rsidP="0042613F">
            <w:pPr>
              <w:pStyle w:val="BodyText"/>
              <w:jc w:val="center"/>
              <w:rPr>
                <w:color w:val="C00000"/>
              </w:rPr>
            </w:pPr>
            <w:r w:rsidRPr="0042613F">
              <w:rPr>
                <w:color w:val="C00000"/>
              </w:rPr>
              <w:t>-4.5</w:t>
            </w:r>
            <w:r w:rsidR="00ED0166">
              <w:rPr>
                <w:color w:val="C00000"/>
              </w:rPr>
              <w:t>%</w:t>
            </w:r>
          </w:p>
        </w:tc>
        <w:tc>
          <w:tcPr>
            <w:tcW w:w="1080" w:type="dxa"/>
            <w:noWrap/>
            <w:hideMark/>
          </w:tcPr>
          <w:p w14:paraId="009CDA99" w14:textId="05CBA417" w:rsidR="00902CBC" w:rsidRPr="0042613F" w:rsidRDefault="00902CBC" w:rsidP="0042613F">
            <w:pPr>
              <w:pStyle w:val="BodyText"/>
              <w:jc w:val="center"/>
              <w:rPr>
                <w:color w:val="C00000"/>
              </w:rPr>
            </w:pPr>
            <w:r w:rsidRPr="0042613F">
              <w:rPr>
                <w:color w:val="C00000"/>
              </w:rPr>
              <w:t>-1.5</w:t>
            </w:r>
            <w:r w:rsidR="00ED0166">
              <w:rPr>
                <w:color w:val="C00000"/>
              </w:rPr>
              <w:t>%</w:t>
            </w:r>
          </w:p>
        </w:tc>
        <w:tc>
          <w:tcPr>
            <w:tcW w:w="1080" w:type="dxa"/>
            <w:noWrap/>
            <w:hideMark/>
          </w:tcPr>
          <w:p w14:paraId="1C7ADC20" w14:textId="7062C777" w:rsidR="00902CBC" w:rsidRPr="00902CBC" w:rsidRDefault="00902CBC" w:rsidP="0042613F">
            <w:pPr>
              <w:pStyle w:val="BodyText"/>
              <w:jc w:val="center"/>
            </w:pPr>
            <w:r w:rsidRPr="0042613F">
              <w:rPr>
                <w:color w:val="538135" w:themeColor="accent6" w:themeShade="BF"/>
              </w:rPr>
              <w:t>0.9</w:t>
            </w:r>
            <w:r w:rsidR="00ED0166">
              <w:rPr>
                <w:color w:val="538135" w:themeColor="accent6" w:themeShade="BF"/>
              </w:rPr>
              <w:t>%</w:t>
            </w:r>
          </w:p>
        </w:tc>
      </w:tr>
      <w:tr w:rsidR="00657D45" w:rsidRPr="00902CBC" w14:paraId="104A41AD" w14:textId="77777777" w:rsidTr="00265C5C">
        <w:trPr>
          <w:trHeight w:val="290"/>
          <w:jc w:val="center"/>
        </w:trPr>
        <w:tc>
          <w:tcPr>
            <w:tcW w:w="1620" w:type="dxa"/>
            <w:vMerge/>
            <w:tcBorders>
              <w:bottom w:val="single" w:sz="4" w:space="0" w:color="auto"/>
            </w:tcBorders>
            <w:vAlign w:val="center"/>
            <w:hideMark/>
          </w:tcPr>
          <w:p w14:paraId="428F6EEC" w14:textId="77777777" w:rsidR="00657D45" w:rsidRPr="00902CBC" w:rsidRDefault="00657D45" w:rsidP="00657D45">
            <w:pPr>
              <w:pStyle w:val="BodyText"/>
              <w:jc w:val="center"/>
              <w:rPr>
                <w:b/>
                <w:bCs/>
              </w:rPr>
            </w:pPr>
          </w:p>
        </w:tc>
        <w:tc>
          <w:tcPr>
            <w:tcW w:w="960" w:type="dxa"/>
            <w:tcBorders>
              <w:bottom w:val="single" w:sz="4" w:space="0" w:color="auto"/>
            </w:tcBorders>
            <w:noWrap/>
            <w:hideMark/>
          </w:tcPr>
          <w:p w14:paraId="139F3794" w14:textId="77777777" w:rsidR="00657D45" w:rsidRPr="00902CBC" w:rsidRDefault="00657D45" w:rsidP="00657D45">
            <w:pPr>
              <w:pStyle w:val="BodyText"/>
            </w:pPr>
            <w:r w:rsidRPr="00902CBC">
              <w:t>Option 2</w:t>
            </w:r>
          </w:p>
        </w:tc>
        <w:tc>
          <w:tcPr>
            <w:tcW w:w="1105" w:type="dxa"/>
            <w:tcBorders>
              <w:bottom w:val="single" w:sz="4" w:space="0" w:color="auto"/>
            </w:tcBorders>
            <w:noWrap/>
            <w:hideMark/>
          </w:tcPr>
          <w:p w14:paraId="5E23F0D8" w14:textId="25F7A83F" w:rsidR="00657D45" w:rsidRPr="0042613F" w:rsidRDefault="00657D45" w:rsidP="00657D45">
            <w:pPr>
              <w:pStyle w:val="BodyText"/>
              <w:jc w:val="center"/>
              <w:rPr>
                <w:color w:val="C00000"/>
              </w:rPr>
            </w:pPr>
            <w:r w:rsidRPr="00902CBC">
              <w:t>0.0</w:t>
            </w:r>
            <w:r w:rsidR="0036734D">
              <w:t>%</w:t>
            </w:r>
          </w:p>
        </w:tc>
        <w:tc>
          <w:tcPr>
            <w:tcW w:w="1080" w:type="dxa"/>
            <w:tcBorders>
              <w:bottom w:val="single" w:sz="4" w:space="0" w:color="auto"/>
            </w:tcBorders>
            <w:noWrap/>
            <w:hideMark/>
          </w:tcPr>
          <w:p w14:paraId="23DB84A2" w14:textId="28FE2F24" w:rsidR="00657D45" w:rsidRPr="0042613F" w:rsidRDefault="00657D45" w:rsidP="00657D45">
            <w:pPr>
              <w:pStyle w:val="BodyText"/>
              <w:jc w:val="center"/>
              <w:rPr>
                <w:color w:val="C00000"/>
              </w:rPr>
            </w:pPr>
            <w:r w:rsidRPr="00902CBC">
              <w:t>0.0</w:t>
            </w:r>
            <w:r w:rsidR="0036734D">
              <w:t>%</w:t>
            </w:r>
          </w:p>
        </w:tc>
        <w:tc>
          <w:tcPr>
            <w:tcW w:w="1080" w:type="dxa"/>
            <w:tcBorders>
              <w:bottom w:val="single" w:sz="4" w:space="0" w:color="auto"/>
            </w:tcBorders>
            <w:noWrap/>
            <w:hideMark/>
          </w:tcPr>
          <w:p w14:paraId="377BFF7D" w14:textId="3A632FAD" w:rsidR="00657D45" w:rsidRPr="0042613F" w:rsidRDefault="00657D45" w:rsidP="00657D45">
            <w:pPr>
              <w:pStyle w:val="BodyText"/>
              <w:jc w:val="center"/>
              <w:rPr>
                <w:color w:val="C00000"/>
              </w:rPr>
            </w:pPr>
            <w:r w:rsidRPr="00902CBC">
              <w:t>0.0</w:t>
            </w:r>
            <w:r w:rsidR="0036734D">
              <w:t>%</w:t>
            </w:r>
          </w:p>
        </w:tc>
        <w:tc>
          <w:tcPr>
            <w:tcW w:w="1080" w:type="dxa"/>
            <w:tcBorders>
              <w:bottom w:val="single" w:sz="4" w:space="0" w:color="auto"/>
            </w:tcBorders>
            <w:noWrap/>
            <w:hideMark/>
          </w:tcPr>
          <w:p w14:paraId="2B052093" w14:textId="2F95F281" w:rsidR="00657D45" w:rsidRPr="0042613F" w:rsidRDefault="00657D45" w:rsidP="00657D45">
            <w:pPr>
              <w:pStyle w:val="BodyText"/>
              <w:jc w:val="center"/>
              <w:rPr>
                <w:color w:val="538135" w:themeColor="accent6" w:themeShade="BF"/>
              </w:rPr>
            </w:pPr>
            <w:r w:rsidRPr="0042613F">
              <w:rPr>
                <w:color w:val="538135" w:themeColor="accent6" w:themeShade="BF"/>
              </w:rPr>
              <w:t>0.4</w:t>
            </w:r>
            <w:r w:rsidR="0036734D">
              <w:rPr>
                <w:color w:val="538135" w:themeColor="accent6" w:themeShade="BF"/>
              </w:rPr>
              <w:t>%</w:t>
            </w:r>
          </w:p>
        </w:tc>
        <w:tc>
          <w:tcPr>
            <w:tcW w:w="1080" w:type="dxa"/>
            <w:noWrap/>
            <w:hideMark/>
          </w:tcPr>
          <w:p w14:paraId="7EBF69C9" w14:textId="26851781" w:rsidR="00657D45" w:rsidRPr="0042613F" w:rsidRDefault="00657D45" w:rsidP="00657D45">
            <w:pPr>
              <w:pStyle w:val="BodyText"/>
              <w:jc w:val="center"/>
              <w:rPr>
                <w:color w:val="538135" w:themeColor="accent6" w:themeShade="BF"/>
              </w:rPr>
            </w:pPr>
            <w:r w:rsidRPr="0042613F">
              <w:rPr>
                <w:color w:val="538135" w:themeColor="accent6" w:themeShade="BF"/>
              </w:rPr>
              <w:t>2.5</w:t>
            </w:r>
            <w:r w:rsidR="0036734D">
              <w:rPr>
                <w:color w:val="538135" w:themeColor="accent6" w:themeShade="BF"/>
              </w:rPr>
              <w:t>%</w:t>
            </w:r>
          </w:p>
        </w:tc>
      </w:tr>
      <w:tr w:rsidR="0042613F" w:rsidRPr="00902CBC" w14:paraId="722055F5" w14:textId="77777777" w:rsidTr="00265C5C">
        <w:trPr>
          <w:trHeight w:val="290"/>
          <w:jc w:val="center"/>
        </w:trPr>
        <w:tc>
          <w:tcPr>
            <w:tcW w:w="1620" w:type="dxa"/>
            <w:tcBorders>
              <w:right w:val="nil"/>
            </w:tcBorders>
            <w:noWrap/>
            <w:vAlign w:val="center"/>
            <w:hideMark/>
          </w:tcPr>
          <w:p w14:paraId="0BC654DB" w14:textId="5E758807" w:rsidR="00902CBC" w:rsidRPr="00902CBC" w:rsidRDefault="00902CBC" w:rsidP="0042613F">
            <w:pPr>
              <w:pStyle w:val="BodyText"/>
              <w:jc w:val="center"/>
              <w:rPr>
                <w:b/>
                <w:bCs/>
              </w:rPr>
            </w:pPr>
          </w:p>
        </w:tc>
        <w:tc>
          <w:tcPr>
            <w:tcW w:w="960" w:type="dxa"/>
            <w:tcBorders>
              <w:left w:val="nil"/>
              <w:right w:val="nil"/>
            </w:tcBorders>
            <w:noWrap/>
            <w:hideMark/>
          </w:tcPr>
          <w:p w14:paraId="52B20237" w14:textId="77777777" w:rsidR="00902CBC" w:rsidRPr="00902CBC" w:rsidRDefault="00902CBC" w:rsidP="00902CBC">
            <w:pPr>
              <w:pStyle w:val="BodyText"/>
            </w:pPr>
            <w:r w:rsidRPr="00902CBC">
              <w:t> </w:t>
            </w:r>
          </w:p>
        </w:tc>
        <w:tc>
          <w:tcPr>
            <w:tcW w:w="1105" w:type="dxa"/>
            <w:tcBorders>
              <w:left w:val="nil"/>
              <w:right w:val="nil"/>
            </w:tcBorders>
            <w:noWrap/>
            <w:hideMark/>
          </w:tcPr>
          <w:p w14:paraId="120BDBB7" w14:textId="6993D966" w:rsidR="00902CBC" w:rsidRPr="0042613F" w:rsidRDefault="00902CBC" w:rsidP="0042613F">
            <w:pPr>
              <w:pStyle w:val="BodyText"/>
              <w:jc w:val="center"/>
              <w:rPr>
                <w:color w:val="C00000"/>
              </w:rPr>
            </w:pPr>
          </w:p>
        </w:tc>
        <w:tc>
          <w:tcPr>
            <w:tcW w:w="1080" w:type="dxa"/>
            <w:tcBorders>
              <w:left w:val="nil"/>
              <w:right w:val="nil"/>
            </w:tcBorders>
            <w:noWrap/>
            <w:hideMark/>
          </w:tcPr>
          <w:p w14:paraId="6BF8A5E3" w14:textId="6807FE8F" w:rsidR="00902CBC" w:rsidRPr="0042613F" w:rsidRDefault="00902CBC" w:rsidP="0042613F">
            <w:pPr>
              <w:pStyle w:val="BodyText"/>
              <w:jc w:val="center"/>
              <w:rPr>
                <w:color w:val="C00000"/>
              </w:rPr>
            </w:pPr>
          </w:p>
        </w:tc>
        <w:tc>
          <w:tcPr>
            <w:tcW w:w="1080" w:type="dxa"/>
            <w:tcBorders>
              <w:left w:val="nil"/>
              <w:right w:val="nil"/>
            </w:tcBorders>
            <w:noWrap/>
            <w:hideMark/>
          </w:tcPr>
          <w:p w14:paraId="3D00EE53" w14:textId="15BDB25B" w:rsidR="00902CBC" w:rsidRPr="00902CBC" w:rsidRDefault="00902CBC" w:rsidP="0042613F">
            <w:pPr>
              <w:pStyle w:val="BodyText"/>
              <w:jc w:val="center"/>
            </w:pPr>
          </w:p>
        </w:tc>
        <w:tc>
          <w:tcPr>
            <w:tcW w:w="1080" w:type="dxa"/>
            <w:tcBorders>
              <w:left w:val="nil"/>
              <w:right w:val="nil"/>
            </w:tcBorders>
            <w:noWrap/>
            <w:hideMark/>
          </w:tcPr>
          <w:p w14:paraId="67C3BF8A" w14:textId="297010F2" w:rsidR="00902CBC" w:rsidRPr="0042613F" w:rsidRDefault="00902CBC" w:rsidP="0042613F">
            <w:pPr>
              <w:pStyle w:val="BodyText"/>
              <w:jc w:val="center"/>
              <w:rPr>
                <w:color w:val="538135" w:themeColor="accent6" w:themeShade="BF"/>
              </w:rPr>
            </w:pPr>
          </w:p>
        </w:tc>
        <w:tc>
          <w:tcPr>
            <w:tcW w:w="1080" w:type="dxa"/>
            <w:tcBorders>
              <w:left w:val="nil"/>
            </w:tcBorders>
            <w:noWrap/>
            <w:hideMark/>
          </w:tcPr>
          <w:p w14:paraId="5B9805B8" w14:textId="4B46DD1E" w:rsidR="00902CBC" w:rsidRPr="0042613F" w:rsidRDefault="00902CBC" w:rsidP="0042613F">
            <w:pPr>
              <w:pStyle w:val="BodyText"/>
              <w:jc w:val="center"/>
              <w:rPr>
                <w:color w:val="538135" w:themeColor="accent6" w:themeShade="BF"/>
              </w:rPr>
            </w:pPr>
          </w:p>
        </w:tc>
      </w:tr>
      <w:tr w:rsidR="0042613F" w:rsidRPr="00902CBC" w14:paraId="48834862" w14:textId="77777777" w:rsidTr="00265C5C">
        <w:trPr>
          <w:trHeight w:val="290"/>
          <w:jc w:val="center"/>
        </w:trPr>
        <w:tc>
          <w:tcPr>
            <w:tcW w:w="1620" w:type="dxa"/>
            <w:vMerge w:val="restart"/>
            <w:noWrap/>
            <w:vAlign w:val="center"/>
            <w:hideMark/>
          </w:tcPr>
          <w:p w14:paraId="5D8E8A58" w14:textId="67ECFED7" w:rsidR="00902CBC" w:rsidRPr="00902CBC" w:rsidRDefault="000F1A6D" w:rsidP="0042613F">
            <w:pPr>
              <w:pStyle w:val="BodyText"/>
              <w:jc w:val="center"/>
              <w:rPr>
                <w:b/>
                <w:bCs/>
              </w:rPr>
            </w:pPr>
            <w:r>
              <w:rPr>
                <w:b/>
                <w:bCs/>
              </w:rPr>
              <w:t>‘</w:t>
            </w:r>
            <w:r w:rsidR="00902CBC" w:rsidRPr="00902CBC">
              <w:rPr>
                <w:b/>
                <w:bCs/>
              </w:rPr>
              <w:t>95%le UE'</w:t>
            </w:r>
          </w:p>
        </w:tc>
        <w:tc>
          <w:tcPr>
            <w:tcW w:w="960" w:type="dxa"/>
            <w:noWrap/>
            <w:hideMark/>
          </w:tcPr>
          <w:p w14:paraId="405E3300" w14:textId="77777777" w:rsidR="00902CBC" w:rsidRPr="00902CBC" w:rsidRDefault="00902CBC" w:rsidP="00902CBC">
            <w:pPr>
              <w:pStyle w:val="BodyText"/>
            </w:pPr>
            <w:r w:rsidRPr="00902CBC">
              <w:t>Option 1</w:t>
            </w:r>
          </w:p>
        </w:tc>
        <w:tc>
          <w:tcPr>
            <w:tcW w:w="1105" w:type="dxa"/>
            <w:noWrap/>
            <w:hideMark/>
          </w:tcPr>
          <w:p w14:paraId="78D76974" w14:textId="5AE38521" w:rsidR="00902CBC" w:rsidRPr="0042613F" w:rsidRDefault="00902CBC" w:rsidP="0042613F">
            <w:pPr>
              <w:pStyle w:val="BodyText"/>
              <w:jc w:val="center"/>
              <w:rPr>
                <w:color w:val="C00000"/>
              </w:rPr>
            </w:pPr>
            <w:r w:rsidRPr="0042613F">
              <w:rPr>
                <w:color w:val="C00000"/>
              </w:rPr>
              <w:t>-10.1</w:t>
            </w:r>
            <w:r w:rsidR="0036734D">
              <w:rPr>
                <w:color w:val="C00000"/>
              </w:rPr>
              <w:t>%</w:t>
            </w:r>
          </w:p>
        </w:tc>
        <w:tc>
          <w:tcPr>
            <w:tcW w:w="1080" w:type="dxa"/>
            <w:noWrap/>
            <w:hideMark/>
          </w:tcPr>
          <w:p w14:paraId="7AF57AE7" w14:textId="657737F3" w:rsidR="00902CBC" w:rsidRPr="0042613F" w:rsidRDefault="00902CBC" w:rsidP="0042613F">
            <w:pPr>
              <w:pStyle w:val="BodyText"/>
              <w:jc w:val="center"/>
              <w:rPr>
                <w:color w:val="C00000"/>
              </w:rPr>
            </w:pPr>
            <w:r w:rsidRPr="0042613F">
              <w:rPr>
                <w:color w:val="C00000"/>
              </w:rPr>
              <w:t>-3.2</w:t>
            </w:r>
            <w:r w:rsidR="0036734D">
              <w:rPr>
                <w:color w:val="C00000"/>
              </w:rPr>
              <w:t>%</w:t>
            </w:r>
          </w:p>
        </w:tc>
        <w:tc>
          <w:tcPr>
            <w:tcW w:w="1080" w:type="dxa"/>
            <w:noWrap/>
            <w:hideMark/>
          </w:tcPr>
          <w:p w14:paraId="3678E22F" w14:textId="29AA53E0" w:rsidR="00902CBC" w:rsidRPr="0042613F" w:rsidRDefault="00902CBC" w:rsidP="0042613F">
            <w:pPr>
              <w:pStyle w:val="BodyText"/>
              <w:jc w:val="center"/>
              <w:rPr>
                <w:color w:val="538135" w:themeColor="accent6" w:themeShade="BF"/>
              </w:rPr>
            </w:pPr>
            <w:r w:rsidRPr="0042613F">
              <w:rPr>
                <w:color w:val="538135" w:themeColor="accent6" w:themeShade="BF"/>
              </w:rPr>
              <w:t>2.0</w:t>
            </w:r>
            <w:r w:rsidR="0036734D">
              <w:rPr>
                <w:color w:val="538135" w:themeColor="accent6" w:themeShade="BF"/>
              </w:rPr>
              <w:t>%</w:t>
            </w:r>
          </w:p>
        </w:tc>
        <w:tc>
          <w:tcPr>
            <w:tcW w:w="1080" w:type="dxa"/>
            <w:noWrap/>
            <w:hideMark/>
          </w:tcPr>
          <w:p w14:paraId="5689FF10" w14:textId="06606FC0" w:rsidR="00902CBC" w:rsidRPr="0042613F" w:rsidRDefault="00902CBC" w:rsidP="0042613F">
            <w:pPr>
              <w:pStyle w:val="BodyText"/>
              <w:jc w:val="center"/>
              <w:rPr>
                <w:color w:val="538135" w:themeColor="accent6" w:themeShade="BF"/>
              </w:rPr>
            </w:pPr>
            <w:r w:rsidRPr="0042613F">
              <w:rPr>
                <w:color w:val="538135" w:themeColor="accent6" w:themeShade="BF"/>
              </w:rPr>
              <w:t>6.1</w:t>
            </w:r>
            <w:r w:rsidR="0036734D">
              <w:rPr>
                <w:color w:val="538135" w:themeColor="accent6" w:themeShade="BF"/>
              </w:rPr>
              <w:t>%</w:t>
            </w:r>
          </w:p>
        </w:tc>
        <w:tc>
          <w:tcPr>
            <w:tcW w:w="1080" w:type="dxa"/>
            <w:noWrap/>
            <w:hideMark/>
          </w:tcPr>
          <w:p w14:paraId="070AE86D" w14:textId="3CABD525" w:rsidR="00902CBC" w:rsidRPr="0042613F" w:rsidRDefault="00902CBC" w:rsidP="0042613F">
            <w:pPr>
              <w:pStyle w:val="BodyText"/>
              <w:jc w:val="center"/>
              <w:rPr>
                <w:color w:val="538135" w:themeColor="accent6" w:themeShade="BF"/>
              </w:rPr>
            </w:pPr>
            <w:r w:rsidRPr="0042613F">
              <w:rPr>
                <w:color w:val="538135" w:themeColor="accent6" w:themeShade="BF"/>
              </w:rPr>
              <w:t>9.4</w:t>
            </w:r>
            <w:r w:rsidR="0036734D">
              <w:rPr>
                <w:color w:val="538135" w:themeColor="accent6" w:themeShade="BF"/>
              </w:rPr>
              <w:t>%</w:t>
            </w:r>
          </w:p>
        </w:tc>
      </w:tr>
      <w:tr w:rsidR="00657D45" w:rsidRPr="00902CBC" w14:paraId="0FF7AB8D" w14:textId="77777777" w:rsidTr="00265C5C">
        <w:trPr>
          <w:trHeight w:val="290"/>
          <w:jc w:val="center"/>
        </w:trPr>
        <w:tc>
          <w:tcPr>
            <w:tcW w:w="1620" w:type="dxa"/>
            <w:vMerge/>
            <w:tcBorders>
              <w:bottom w:val="single" w:sz="4" w:space="0" w:color="auto"/>
            </w:tcBorders>
            <w:vAlign w:val="center"/>
            <w:hideMark/>
          </w:tcPr>
          <w:p w14:paraId="6F7CA693" w14:textId="77777777" w:rsidR="00657D45" w:rsidRPr="00902CBC" w:rsidRDefault="00657D45" w:rsidP="00657D45">
            <w:pPr>
              <w:pStyle w:val="BodyText"/>
              <w:jc w:val="center"/>
              <w:rPr>
                <w:b/>
                <w:bCs/>
              </w:rPr>
            </w:pPr>
          </w:p>
        </w:tc>
        <w:tc>
          <w:tcPr>
            <w:tcW w:w="960" w:type="dxa"/>
            <w:tcBorders>
              <w:bottom w:val="single" w:sz="4" w:space="0" w:color="auto"/>
            </w:tcBorders>
            <w:noWrap/>
            <w:hideMark/>
          </w:tcPr>
          <w:p w14:paraId="1C0F407A" w14:textId="77777777" w:rsidR="00657D45" w:rsidRPr="00902CBC" w:rsidRDefault="00657D45" w:rsidP="00657D45">
            <w:pPr>
              <w:pStyle w:val="BodyText"/>
            </w:pPr>
            <w:r w:rsidRPr="00902CBC">
              <w:t>Option 2</w:t>
            </w:r>
          </w:p>
        </w:tc>
        <w:tc>
          <w:tcPr>
            <w:tcW w:w="1105" w:type="dxa"/>
            <w:tcBorders>
              <w:bottom w:val="single" w:sz="4" w:space="0" w:color="auto"/>
            </w:tcBorders>
            <w:noWrap/>
            <w:hideMark/>
          </w:tcPr>
          <w:p w14:paraId="10295187" w14:textId="0A28D126" w:rsidR="00657D45" w:rsidRPr="0042613F" w:rsidRDefault="00657D45" w:rsidP="00657D45">
            <w:pPr>
              <w:pStyle w:val="BodyText"/>
              <w:jc w:val="center"/>
              <w:rPr>
                <w:color w:val="C00000"/>
              </w:rPr>
            </w:pPr>
            <w:r w:rsidRPr="00902CBC">
              <w:t>0.0</w:t>
            </w:r>
            <w:r w:rsidR="0036734D">
              <w:t>%</w:t>
            </w:r>
          </w:p>
        </w:tc>
        <w:tc>
          <w:tcPr>
            <w:tcW w:w="1080" w:type="dxa"/>
            <w:tcBorders>
              <w:bottom w:val="single" w:sz="4" w:space="0" w:color="auto"/>
            </w:tcBorders>
            <w:noWrap/>
            <w:hideMark/>
          </w:tcPr>
          <w:p w14:paraId="1C296D47" w14:textId="5AEC555A" w:rsidR="00657D45" w:rsidRPr="0042613F" w:rsidRDefault="00657D45" w:rsidP="00657D45">
            <w:pPr>
              <w:pStyle w:val="BodyText"/>
              <w:jc w:val="center"/>
              <w:rPr>
                <w:color w:val="C00000"/>
              </w:rPr>
            </w:pPr>
            <w:r w:rsidRPr="00902CBC">
              <w:t>0.0</w:t>
            </w:r>
            <w:r w:rsidR="0036734D">
              <w:t>%</w:t>
            </w:r>
          </w:p>
        </w:tc>
        <w:tc>
          <w:tcPr>
            <w:tcW w:w="1080" w:type="dxa"/>
            <w:tcBorders>
              <w:bottom w:val="single" w:sz="4" w:space="0" w:color="auto"/>
            </w:tcBorders>
            <w:noWrap/>
            <w:hideMark/>
          </w:tcPr>
          <w:p w14:paraId="7C521056" w14:textId="515CD0DD" w:rsidR="00657D45" w:rsidRPr="0042613F" w:rsidRDefault="00657D45" w:rsidP="00657D45">
            <w:pPr>
              <w:pStyle w:val="BodyText"/>
              <w:jc w:val="center"/>
              <w:rPr>
                <w:color w:val="538135" w:themeColor="accent6" w:themeShade="BF"/>
              </w:rPr>
            </w:pPr>
            <w:r w:rsidRPr="0042613F">
              <w:rPr>
                <w:color w:val="538135" w:themeColor="accent6" w:themeShade="BF"/>
              </w:rPr>
              <w:t>2.0</w:t>
            </w:r>
            <w:r w:rsidR="0036734D">
              <w:rPr>
                <w:color w:val="538135" w:themeColor="accent6" w:themeShade="BF"/>
              </w:rPr>
              <w:t>%</w:t>
            </w:r>
          </w:p>
        </w:tc>
        <w:tc>
          <w:tcPr>
            <w:tcW w:w="1080" w:type="dxa"/>
            <w:tcBorders>
              <w:bottom w:val="single" w:sz="4" w:space="0" w:color="auto"/>
            </w:tcBorders>
            <w:noWrap/>
            <w:hideMark/>
          </w:tcPr>
          <w:p w14:paraId="7349A162" w14:textId="127FF168" w:rsidR="00657D45" w:rsidRPr="0042613F" w:rsidRDefault="00657D45" w:rsidP="00657D45">
            <w:pPr>
              <w:pStyle w:val="BodyText"/>
              <w:jc w:val="center"/>
              <w:rPr>
                <w:color w:val="538135" w:themeColor="accent6" w:themeShade="BF"/>
              </w:rPr>
            </w:pPr>
            <w:r w:rsidRPr="0042613F">
              <w:rPr>
                <w:color w:val="538135" w:themeColor="accent6" w:themeShade="BF"/>
              </w:rPr>
              <w:t>6.1</w:t>
            </w:r>
            <w:r w:rsidR="0036734D">
              <w:rPr>
                <w:color w:val="538135" w:themeColor="accent6" w:themeShade="BF"/>
              </w:rPr>
              <w:t>%</w:t>
            </w:r>
          </w:p>
        </w:tc>
        <w:tc>
          <w:tcPr>
            <w:tcW w:w="1080" w:type="dxa"/>
            <w:noWrap/>
            <w:hideMark/>
          </w:tcPr>
          <w:p w14:paraId="6AC12D67" w14:textId="271CAF5B" w:rsidR="00657D45" w:rsidRPr="0042613F" w:rsidRDefault="00657D45" w:rsidP="00657D45">
            <w:pPr>
              <w:pStyle w:val="BodyText"/>
              <w:jc w:val="center"/>
              <w:rPr>
                <w:color w:val="538135" w:themeColor="accent6" w:themeShade="BF"/>
              </w:rPr>
            </w:pPr>
            <w:r w:rsidRPr="0042613F">
              <w:rPr>
                <w:color w:val="538135" w:themeColor="accent6" w:themeShade="BF"/>
              </w:rPr>
              <w:t>9.4</w:t>
            </w:r>
            <w:r w:rsidR="0036734D">
              <w:rPr>
                <w:color w:val="538135" w:themeColor="accent6" w:themeShade="BF"/>
              </w:rPr>
              <w:t>%</w:t>
            </w:r>
          </w:p>
        </w:tc>
      </w:tr>
      <w:tr w:rsidR="0042613F" w:rsidRPr="00902CBC" w14:paraId="1DA0CEDE" w14:textId="77777777" w:rsidTr="00265C5C">
        <w:trPr>
          <w:trHeight w:val="290"/>
          <w:jc w:val="center"/>
        </w:trPr>
        <w:tc>
          <w:tcPr>
            <w:tcW w:w="1620" w:type="dxa"/>
            <w:tcBorders>
              <w:right w:val="nil"/>
            </w:tcBorders>
            <w:noWrap/>
            <w:vAlign w:val="center"/>
            <w:hideMark/>
          </w:tcPr>
          <w:p w14:paraId="2B7CFF9D" w14:textId="5DF05FB0" w:rsidR="00902CBC" w:rsidRPr="00902CBC" w:rsidRDefault="00902CBC" w:rsidP="0042613F">
            <w:pPr>
              <w:pStyle w:val="BodyText"/>
              <w:jc w:val="center"/>
              <w:rPr>
                <w:b/>
                <w:bCs/>
              </w:rPr>
            </w:pPr>
          </w:p>
        </w:tc>
        <w:tc>
          <w:tcPr>
            <w:tcW w:w="960" w:type="dxa"/>
            <w:tcBorders>
              <w:left w:val="nil"/>
              <w:right w:val="nil"/>
            </w:tcBorders>
            <w:noWrap/>
            <w:hideMark/>
          </w:tcPr>
          <w:p w14:paraId="7566F722" w14:textId="77777777" w:rsidR="00902CBC" w:rsidRPr="00902CBC" w:rsidRDefault="00902CBC" w:rsidP="00902CBC">
            <w:pPr>
              <w:pStyle w:val="BodyText"/>
            </w:pPr>
            <w:r w:rsidRPr="00902CBC">
              <w:t> </w:t>
            </w:r>
          </w:p>
        </w:tc>
        <w:tc>
          <w:tcPr>
            <w:tcW w:w="1105" w:type="dxa"/>
            <w:tcBorders>
              <w:left w:val="nil"/>
              <w:right w:val="nil"/>
            </w:tcBorders>
            <w:noWrap/>
            <w:hideMark/>
          </w:tcPr>
          <w:p w14:paraId="0A23D009" w14:textId="789DB37E" w:rsidR="00902CBC" w:rsidRPr="0042613F" w:rsidRDefault="00902CBC" w:rsidP="0042613F">
            <w:pPr>
              <w:pStyle w:val="BodyText"/>
              <w:jc w:val="center"/>
              <w:rPr>
                <w:color w:val="C00000"/>
              </w:rPr>
            </w:pPr>
          </w:p>
        </w:tc>
        <w:tc>
          <w:tcPr>
            <w:tcW w:w="1080" w:type="dxa"/>
            <w:tcBorders>
              <w:left w:val="nil"/>
              <w:right w:val="nil"/>
            </w:tcBorders>
            <w:noWrap/>
            <w:hideMark/>
          </w:tcPr>
          <w:p w14:paraId="1AF0A657" w14:textId="54FBE2AE" w:rsidR="00902CBC" w:rsidRPr="0042613F" w:rsidRDefault="00902CBC" w:rsidP="0042613F">
            <w:pPr>
              <w:pStyle w:val="BodyText"/>
              <w:jc w:val="center"/>
              <w:rPr>
                <w:color w:val="C00000"/>
              </w:rPr>
            </w:pPr>
          </w:p>
        </w:tc>
        <w:tc>
          <w:tcPr>
            <w:tcW w:w="1080" w:type="dxa"/>
            <w:tcBorders>
              <w:left w:val="nil"/>
              <w:right w:val="nil"/>
            </w:tcBorders>
            <w:noWrap/>
            <w:hideMark/>
          </w:tcPr>
          <w:p w14:paraId="1D2A0C82" w14:textId="5E341B6E" w:rsidR="00902CBC" w:rsidRPr="00902CBC" w:rsidRDefault="00902CBC" w:rsidP="0042613F">
            <w:pPr>
              <w:pStyle w:val="BodyText"/>
              <w:jc w:val="center"/>
            </w:pPr>
          </w:p>
        </w:tc>
        <w:tc>
          <w:tcPr>
            <w:tcW w:w="1080" w:type="dxa"/>
            <w:tcBorders>
              <w:left w:val="nil"/>
              <w:right w:val="nil"/>
            </w:tcBorders>
            <w:noWrap/>
            <w:hideMark/>
          </w:tcPr>
          <w:p w14:paraId="712E93D7" w14:textId="100D2C39" w:rsidR="00902CBC" w:rsidRPr="00902CBC" w:rsidRDefault="00902CBC" w:rsidP="0042613F">
            <w:pPr>
              <w:pStyle w:val="BodyText"/>
              <w:jc w:val="center"/>
            </w:pPr>
          </w:p>
        </w:tc>
        <w:tc>
          <w:tcPr>
            <w:tcW w:w="1080" w:type="dxa"/>
            <w:tcBorders>
              <w:left w:val="nil"/>
            </w:tcBorders>
            <w:noWrap/>
            <w:hideMark/>
          </w:tcPr>
          <w:p w14:paraId="22EA9D49" w14:textId="64663157" w:rsidR="00902CBC" w:rsidRPr="00902CBC" w:rsidRDefault="00902CBC" w:rsidP="0042613F">
            <w:pPr>
              <w:pStyle w:val="BodyText"/>
              <w:jc w:val="center"/>
            </w:pPr>
          </w:p>
        </w:tc>
      </w:tr>
      <w:tr w:rsidR="0042613F" w:rsidRPr="00902CBC" w14:paraId="2BBE554A" w14:textId="77777777" w:rsidTr="00265C5C">
        <w:trPr>
          <w:trHeight w:val="290"/>
          <w:jc w:val="center"/>
        </w:trPr>
        <w:tc>
          <w:tcPr>
            <w:tcW w:w="1620" w:type="dxa"/>
            <w:vMerge w:val="restart"/>
            <w:noWrap/>
            <w:vAlign w:val="center"/>
            <w:hideMark/>
          </w:tcPr>
          <w:p w14:paraId="3D2CC9DB" w14:textId="0D7BC99B" w:rsidR="00902CBC" w:rsidRPr="00902CBC" w:rsidRDefault="000F1A6D" w:rsidP="0042613F">
            <w:pPr>
              <w:pStyle w:val="BodyText"/>
              <w:jc w:val="center"/>
              <w:rPr>
                <w:b/>
                <w:bCs/>
              </w:rPr>
            </w:pPr>
            <w:r>
              <w:rPr>
                <w:b/>
                <w:bCs/>
              </w:rPr>
              <w:t>‘</w:t>
            </w:r>
            <w:r w:rsidR="00902CBC" w:rsidRPr="00902CBC">
              <w:rPr>
                <w:b/>
                <w:bCs/>
              </w:rPr>
              <w:t>5%le UE'</w:t>
            </w:r>
          </w:p>
        </w:tc>
        <w:tc>
          <w:tcPr>
            <w:tcW w:w="960" w:type="dxa"/>
            <w:noWrap/>
            <w:hideMark/>
          </w:tcPr>
          <w:p w14:paraId="7A489AAA" w14:textId="77777777" w:rsidR="00902CBC" w:rsidRPr="00902CBC" w:rsidRDefault="00902CBC" w:rsidP="00902CBC">
            <w:pPr>
              <w:pStyle w:val="BodyText"/>
            </w:pPr>
            <w:r w:rsidRPr="00902CBC">
              <w:t>Option 1</w:t>
            </w:r>
          </w:p>
        </w:tc>
        <w:tc>
          <w:tcPr>
            <w:tcW w:w="1105" w:type="dxa"/>
            <w:noWrap/>
            <w:hideMark/>
          </w:tcPr>
          <w:p w14:paraId="4E62703B" w14:textId="70C57CF5" w:rsidR="00902CBC" w:rsidRPr="0042613F" w:rsidRDefault="00902CBC" w:rsidP="0042613F">
            <w:pPr>
              <w:pStyle w:val="BodyText"/>
              <w:jc w:val="center"/>
              <w:rPr>
                <w:color w:val="C00000"/>
              </w:rPr>
            </w:pPr>
            <w:r w:rsidRPr="0042613F">
              <w:rPr>
                <w:color w:val="C00000"/>
              </w:rPr>
              <w:t>-14.6</w:t>
            </w:r>
            <w:r w:rsidR="0036734D">
              <w:rPr>
                <w:color w:val="C00000"/>
              </w:rPr>
              <w:t>%</w:t>
            </w:r>
          </w:p>
        </w:tc>
        <w:tc>
          <w:tcPr>
            <w:tcW w:w="1080" w:type="dxa"/>
            <w:noWrap/>
            <w:hideMark/>
          </w:tcPr>
          <w:p w14:paraId="317866AB" w14:textId="6357B891" w:rsidR="00902CBC" w:rsidRPr="0042613F" w:rsidRDefault="00902CBC" w:rsidP="0042613F">
            <w:pPr>
              <w:pStyle w:val="BodyText"/>
              <w:jc w:val="center"/>
              <w:rPr>
                <w:color w:val="C00000"/>
              </w:rPr>
            </w:pPr>
            <w:r w:rsidRPr="0042613F">
              <w:rPr>
                <w:color w:val="C00000"/>
              </w:rPr>
              <w:t>-11.3</w:t>
            </w:r>
            <w:r w:rsidR="0036734D">
              <w:rPr>
                <w:color w:val="C00000"/>
              </w:rPr>
              <w:t>%</w:t>
            </w:r>
          </w:p>
        </w:tc>
        <w:tc>
          <w:tcPr>
            <w:tcW w:w="1080" w:type="dxa"/>
            <w:noWrap/>
            <w:hideMark/>
          </w:tcPr>
          <w:p w14:paraId="730782CA" w14:textId="37506C5E" w:rsidR="00902CBC" w:rsidRPr="0042613F" w:rsidRDefault="00902CBC" w:rsidP="0042613F">
            <w:pPr>
              <w:pStyle w:val="BodyText"/>
              <w:jc w:val="center"/>
              <w:rPr>
                <w:color w:val="C00000"/>
              </w:rPr>
            </w:pPr>
            <w:r w:rsidRPr="0042613F">
              <w:rPr>
                <w:color w:val="C00000"/>
              </w:rPr>
              <w:t>-8.2</w:t>
            </w:r>
            <w:r w:rsidR="0036734D">
              <w:rPr>
                <w:color w:val="C00000"/>
              </w:rPr>
              <w:t>%</w:t>
            </w:r>
          </w:p>
        </w:tc>
        <w:tc>
          <w:tcPr>
            <w:tcW w:w="1080" w:type="dxa"/>
            <w:noWrap/>
            <w:hideMark/>
          </w:tcPr>
          <w:p w14:paraId="023162F7" w14:textId="235A15E3" w:rsidR="00902CBC" w:rsidRPr="0042613F" w:rsidRDefault="00902CBC" w:rsidP="0042613F">
            <w:pPr>
              <w:pStyle w:val="BodyText"/>
              <w:jc w:val="center"/>
              <w:rPr>
                <w:color w:val="C00000"/>
              </w:rPr>
            </w:pPr>
            <w:r w:rsidRPr="0042613F">
              <w:rPr>
                <w:color w:val="C00000"/>
              </w:rPr>
              <w:t>-5.5</w:t>
            </w:r>
            <w:r w:rsidR="0036734D">
              <w:rPr>
                <w:color w:val="C00000"/>
              </w:rPr>
              <w:t>%</w:t>
            </w:r>
          </w:p>
        </w:tc>
        <w:tc>
          <w:tcPr>
            <w:tcW w:w="1080" w:type="dxa"/>
            <w:noWrap/>
            <w:hideMark/>
          </w:tcPr>
          <w:p w14:paraId="3BAE60A4" w14:textId="520660BB" w:rsidR="00902CBC" w:rsidRPr="0042613F" w:rsidRDefault="00902CBC" w:rsidP="0042613F">
            <w:pPr>
              <w:pStyle w:val="BodyText"/>
              <w:jc w:val="center"/>
              <w:rPr>
                <w:color w:val="C00000"/>
              </w:rPr>
            </w:pPr>
            <w:r w:rsidRPr="0042613F">
              <w:rPr>
                <w:color w:val="C00000"/>
              </w:rPr>
              <w:t>-3.0</w:t>
            </w:r>
            <w:r w:rsidR="0036734D">
              <w:rPr>
                <w:color w:val="C00000"/>
              </w:rPr>
              <w:t>%</w:t>
            </w:r>
          </w:p>
        </w:tc>
      </w:tr>
      <w:tr w:rsidR="0042613F" w:rsidRPr="00902CBC" w14:paraId="3FB230AA" w14:textId="77777777" w:rsidTr="0042613F">
        <w:trPr>
          <w:trHeight w:val="300"/>
          <w:jc w:val="center"/>
        </w:trPr>
        <w:tc>
          <w:tcPr>
            <w:tcW w:w="1620" w:type="dxa"/>
            <w:vMerge/>
            <w:hideMark/>
          </w:tcPr>
          <w:p w14:paraId="3FDABCF8" w14:textId="77777777" w:rsidR="00902CBC" w:rsidRPr="00902CBC" w:rsidRDefault="00902CBC" w:rsidP="00902CBC">
            <w:pPr>
              <w:pStyle w:val="BodyText"/>
              <w:rPr>
                <w:b/>
                <w:bCs/>
              </w:rPr>
            </w:pPr>
          </w:p>
        </w:tc>
        <w:tc>
          <w:tcPr>
            <w:tcW w:w="960" w:type="dxa"/>
            <w:noWrap/>
            <w:hideMark/>
          </w:tcPr>
          <w:p w14:paraId="45903BB4" w14:textId="77777777" w:rsidR="00902CBC" w:rsidRPr="00902CBC" w:rsidRDefault="00902CBC" w:rsidP="00902CBC">
            <w:pPr>
              <w:pStyle w:val="BodyText"/>
            </w:pPr>
            <w:r w:rsidRPr="00902CBC">
              <w:t>Option 2</w:t>
            </w:r>
          </w:p>
        </w:tc>
        <w:tc>
          <w:tcPr>
            <w:tcW w:w="1105" w:type="dxa"/>
            <w:noWrap/>
            <w:hideMark/>
          </w:tcPr>
          <w:p w14:paraId="494F386A" w14:textId="37934087" w:rsidR="00902CBC" w:rsidRPr="00902CBC" w:rsidRDefault="00902CBC" w:rsidP="0042613F">
            <w:pPr>
              <w:pStyle w:val="BodyText"/>
              <w:jc w:val="center"/>
            </w:pPr>
            <w:r w:rsidRPr="00902CBC">
              <w:t>0.0</w:t>
            </w:r>
            <w:r w:rsidR="0036734D">
              <w:t>%</w:t>
            </w:r>
          </w:p>
        </w:tc>
        <w:tc>
          <w:tcPr>
            <w:tcW w:w="1080" w:type="dxa"/>
            <w:noWrap/>
            <w:hideMark/>
          </w:tcPr>
          <w:p w14:paraId="7F34140B" w14:textId="271F44ED" w:rsidR="00902CBC" w:rsidRPr="00902CBC" w:rsidRDefault="00902CBC" w:rsidP="0042613F">
            <w:pPr>
              <w:pStyle w:val="BodyText"/>
              <w:jc w:val="center"/>
            </w:pPr>
            <w:r w:rsidRPr="00902CBC">
              <w:t>0.0</w:t>
            </w:r>
            <w:r w:rsidR="0036734D">
              <w:t>%</w:t>
            </w:r>
          </w:p>
        </w:tc>
        <w:tc>
          <w:tcPr>
            <w:tcW w:w="1080" w:type="dxa"/>
            <w:noWrap/>
            <w:hideMark/>
          </w:tcPr>
          <w:p w14:paraId="0BF1EC86" w14:textId="75A3EF51" w:rsidR="00902CBC" w:rsidRPr="00902CBC" w:rsidRDefault="00902CBC" w:rsidP="0042613F">
            <w:pPr>
              <w:pStyle w:val="BodyText"/>
              <w:jc w:val="center"/>
            </w:pPr>
            <w:r w:rsidRPr="00902CBC">
              <w:t>0.0</w:t>
            </w:r>
            <w:r w:rsidR="0036734D">
              <w:t>%</w:t>
            </w:r>
          </w:p>
        </w:tc>
        <w:tc>
          <w:tcPr>
            <w:tcW w:w="1080" w:type="dxa"/>
            <w:noWrap/>
            <w:hideMark/>
          </w:tcPr>
          <w:p w14:paraId="5B0B9457" w14:textId="2D20F19C" w:rsidR="00902CBC" w:rsidRPr="00902CBC" w:rsidRDefault="00902CBC" w:rsidP="0042613F">
            <w:pPr>
              <w:pStyle w:val="BodyText"/>
              <w:jc w:val="center"/>
            </w:pPr>
            <w:r w:rsidRPr="00902CBC">
              <w:t>0.0</w:t>
            </w:r>
            <w:r w:rsidR="0036734D">
              <w:t>%</w:t>
            </w:r>
          </w:p>
        </w:tc>
        <w:tc>
          <w:tcPr>
            <w:tcW w:w="1080" w:type="dxa"/>
            <w:noWrap/>
            <w:hideMark/>
          </w:tcPr>
          <w:p w14:paraId="6646A844" w14:textId="63E1B8D3" w:rsidR="00902CBC" w:rsidRPr="00902CBC" w:rsidRDefault="00902CBC" w:rsidP="0042613F">
            <w:pPr>
              <w:pStyle w:val="BodyText"/>
              <w:jc w:val="center"/>
            </w:pPr>
            <w:r w:rsidRPr="00902CBC">
              <w:t>0.0</w:t>
            </w:r>
            <w:r w:rsidR="0036734D">
              <w:t>%</w:t>
            </w:r>
          </w:p>
        </w:tc>
      </w:tr>
    </w:tbl>
    <w:p w14:paraId="11856FAD" w14:textId="0ADF484E" w:rsidR="00902CBC" w:rsidRDefault="00902CBC" w:rsidP="002E3CE3">
      <w:pPr>
        <w:pStyle w:val="BodyText"/>
      </w:pPr>
    </w:p>
    <w:p w14:paraId="32E5A1C4" w14:textId="26AD6A4B" w:rsidR="0042613F" w:rsidRDefault="0042613F" w:rsidP="002E3CE3">
      <w:pPr>
        <w:pStyle w:val="BodyText"/>
      </w:pPr>
    </w:p>
    <w:p w14:paraId="7F406E35" w14:textId="2EEC5F64" w:rsidR="00E51FB7" w:rsidRPr="00A64A92" w:rsidRDefault="00E51FB7" w:rsidP="00E51FB7">
      <w:pPr>
        <w:pStyle w:val="BodyText"/>
        <w:jc w:val="center"/>
        <w:rPr>
          <w:rFonts w:ascii="Arial" w:hAnsi="Arial" w:cs="Arial"/>
          <w:b/>
          <w:bCs/>
          <w:u w:val="single"/>
        </w:rPr>
      </w:pPr>
      <w:r>
        <w:rPr>
          <w:rFonts w:ascii="Arial" w:hAnsi="Arial" w:cs="Arial"/>
          <w:b/>
          <w:bCs/>
          <w:u w:val="single"/>
        </w:rPr>
        <w:t xml:space="preserve">Table 2b – </w:t>
      </w:r>
      <w:r w:rsidR="00994211">
        <w:rPr>
          <w:rFonts w:ascii="Arial" w:hAnsi="Arial" w:cs="Arial"/>
          <w:b/>
          <w:bCs/>
          <w:u w:val="single"/>
        </w:rPr>
        <w:t>Impact</w:t>
      </w:r>
      <w:r>
        <w:rPr>
          <w:rFonts w:ascii="Arial" w:hAnsi="Arial" w:cs="Arial"/>
          <w:b/>
          <w:bCs/>
          <w:u w:val="single"/>
        </w:rPr>
        <w:t xml:space="preserve"> of UL tx switching (140us switching gap)</w:t>
      </w:r>
    </w:p>
    <w:p w14:paraId="65D38920" w14:textId="77777777" w:rsidR="00E51FB7" w:rsidRDefault="00E51FB7" w:rsidP="002E3CE3">
      <w:pPr>
        <w:pStyle w:val="BodyText"/>
      </w:pPr>
    </w:p>
    <w:tbl>
      <w:tblPr>
        <w:tblStyle w:val="TableGrid"/>
        <w:tblW w:w="0" w:type="auto"/>
        <w:jc w:val="center"/>
        <w:tblLook w:val="04A0" w:firstRow="1" w:lastRow="0" w:firstColumn="1" w:lastColumn="0" w:noHBand="0" w:noVBand="1"/>
      </w:tblPr>
      <w:tblGrid>
        <w:gridCol w:w="1620"/>
        <w:gridCol w:w="960"/>
        <w:gridCol w:w="1105"/>
        <w:gridCol w:w="1080"/>
        <w:gridCol w:w="1080"/>
        <w:gridCol w:w="1080"/>
        <w:gridCol w:w="1080"/>
      </w:tblGrid>
      <w:tr w:rsidR="0042613F" w:rsidRPr="00902CBC" w14:paraId="4DBA0137" w14:textId="77777777" w:rsidTr="0042613F">
        <w:trPr>
          <w:trHeight w:val="530"/>
          <w:jc w:val="center"/>
        </w:trPr>
        <w:tc>
          <w:tcPr>
            <w:tcW w:w="2580" w:type="dxa"/>
            <w:gridSpan w:val="2"/>
            <w:vMerge w:val="restart"/>
            <w:tcBorders>
              <w:top w:val="nil"/>
              <w:left w:val="nil"/>
            </w:tcBorders>
            <w:noWrap/>
            <w:hideMark/>
          </w:tcPr>
          <w:p w14:paraId="6CAB4212" w14:textId="77777777" w:rsidR="0042613F" w:rsidRPr="00902CBC" w:rsidRDefault="0042613F" w:rsidP="0042613F">
            <w:pPr>
              <w:pStyle w:val="BodyText"/>
            </w:pPr>
            <w:r w:rsidRPr="00902CBC">
              <w:t> </w:t>
            </w:r>
          </w:p>
          <w:p w14:paraId="0112A2A1" w14:textId="77777777" w:rsidR="0042613F" w:rsidRPr="00902CBC" w:rsidRDefault="0042613F" w:rsidP="0042613F">
            <w:pPr>
              <w:pStyle w:val="BodyText"/>
            </w:pPr>
            <w:r w:rsidRPr="00902CBC">
              <w:t> </w:t>
            </w:r>
          </w:p>
          <w:p w14:paraId="42F5B828" w14:textId="77777777" w:rsidR="0042613F" w:rsidRPr="00902CBC" w:rsidRDefault="0042613F" w:rsidP="0042613F">
            <w:pPr>
              <w:pStyle w:val="BodyText"/>
            </w:pPr>
            <w:r w:rsidRPr="00902CBC">
              <w:t> </w:t>
            </w:r>
          </w:p>
        </w:tc>
        <w:tc>
          <w:tcPr>
            <w:tcW w:w="5425" w:type="dxa"/>
            <w:gridSpan w:val="5"/>
            <w:noWrap/>
            <w:hideMark/>
          </w:tcPr>
          <w:p w14:paraId="67A69CD0" w14:textId="77777777" w:rsidR="0042613F" w:rsidRPr="0042613F" w:rsidRDefault="0042613F" w:rsidP="0042613F">
            <w:pPr>
              <w:pStyle w:val="BodyText"/>
              <w:jc w:val="center"/>
              <w:rPr>
                <w:rFonts w:ascii="Arial" w:hAnsi="Arial" w:cs="Arial"/>
                <w:b/>
                <w:bCs/>
                <w:sz w:val="18"/>
                <w:szCs w:val="22"/>
              </w:rPr>
            </w:pPr>
            <w:r w:rsidRPr="0042613F">
              <w:rPr>
                <w:rFonts w:ascii="Arial" w:hAnsi="Arial" w:cs="Arial"/>
                <w:b/>
                <w:bCs/>
                <w:sz w:val="18"/>
                <w:szCs w:val="22"/>
              </w:rPr>
              <w:t>Gain (%) of UL Tx switching vs Rel15 CA(2Tx)</w:t>
            </w:r>
          </w:p>
          <w:p w14:paraId="7DDACB66" w14:textId="77777777" w:rsidR="0042613F" w:rsidRPr="00902CBC" w:rsidRDefault="0042613F" w:rsidP="0042613F">
            <w:pPr>
              <w:pStyle w:val="BodyText"/>
              <w:jc w:val="center"/>
            </w:pPr>
            <w:r w:rsidRPr="0042613F">
              <w:rPr>
                <w:rFonts w:ascii="Arial" w:hAnsi="Arial" w:cs="Arial"/>
                <w:b/>
                <w:bCs/>
                <w:sz w:val="18"/>
                <w:szCs w:val="22"/>
              </w:rPr>
              <w:t>(</w:t>
            </w:r>
            <w:r>
              <w:rPr>
                <w:rFonts w:ascii="Arial" w:hAnsi="Arial" w:cs="Arial"/>
                <w:b/>
                <w:bCs/>
                <w:sz w:val="18"/>
                <w:szCs w:val="22"/>
              </w:rPr>
              <w:t>140</w:t>
            </w:r>
            <w:r w:rsidRPr="0042613F">
              <w:rPr>
                <w:rFonts w:ascii="Arial" w:hAnsi="Arial" w:cs="Arial"/>
                <w:b/>
                <w:bCs/>
                <w:sz w:val="18"/>
                <w:szCs w:val="22"/>
              </w:rPr>
              <w:t>us switching time)</w:t>
            </w:r>
          </w:p>
        </w:tc>
      </w:tr>
      <w:tr w:rsidR="0042613F" w:rsidRPr="00902CBC" w14:paraId="41127A34" w14:textId="77777777" w:rsidTr="0042613F">
        <w:trPr>
          <w:trHeight w:val="290"/>
          <w:jc w:val="center"/>
        </w:trPr>
        <w:tc>
          <w:tcPr>
            <w:tcW w:w="2580" w:type="dxa"/>
            <w:gridSpan w:val="2"/>
            <w:vMerge/>
            <w:tcBorders>
              <w:left w:val="nil"/>
            </w:tcBorders>
            <w:hideMark/>
          </w:tcPr>
          <w:p w14:paraId="73CD69E1" w14:textId="77777777" w:rsidR="0042613F" w:rsidRPr="00902CBC" w:rsidRDefault="0042613F" w:rsidP="0042613F">
            <w:pPr>
              <w:pStyle w:val="BodyText"/>
            </w:pPr>
          </w:p>
        </w:tc>
        <w:tc>
          <w:tcPr>
            <w:tcW w:w="1105" w:type="dxa"/>
            <w:noWrap/>
            <w:hideMark/>
          </w:tcPr>
          <w:p w14:paraId="2A63C0D8" w14:textId="77777777" w:rsidR="0042613F" w:rsidRPr="00902CBC" w:rsidRDefault="0042613F" w:rsidP="0042613F">
            <w:pPr>
              <w:pStyle w:val="BodyText"/>
              <w:jc w:val="center"/>
            </w:pPr>
            <w:r w:rsidRPr="00902CBC">
              <w:t>20MHz</w:t>
            </w:r>
            <w:r>
              <w:t xml:space="preserve"> TDD BW</w:t>
            </w:r>
          </w:p>
        </w:tc>
        <w:tc>
          <w:tcPr>
            <w:tcW w:w="1080" w:type="dxa"/>
            <w:noWrap/>
            <w:hideMark/>
          </w:tcPr>
          <w:p w14:paraId="4FE9EBB8" w14:textId="77777777" w:rsidR="0042613F" w:rsidRPr="00902CBC" w:rsidRDefault="0042613F" w:rsidP="0042613F">
            <w:pPr>
              <w:pStyle w:val="BodyText"/>
              <w:jc w:val="center"/>
            </w:pPr>
            <w:r>
              <w:t>4</w:t>
            </w:r>
            <w:r w:rsidRPr="00902CBC">
              <w:t>0MHz</w:t>
            </w:r>
            <w:r>
              <w:t xml:space="preserve"> TDD BW</w:t>
            </w:r>
          </w:p>
        </w:tc>
        <w:tc>
          <w:tcPr>
            <w:tcW w:w="1080" w:type="dxa"/>
            <w:noWrap/>
            <w:hideMark/>
          </w:tcPr>
          <w:p w14:paraId="5C04D619" w14:textId="77777777" w:rsidR="0042613F" w:rsidRPr="00902CBC" w:rsidRDefault="0042613F" w:rsidP="0042613F">
            <w:pPr>
              <w:pStyle w:val="BodyText"/>
              <w:jc w:val="center"/>
            </w:pPr>
            <w:r>
              <w:t>6</w:t>
            </w:r>
            <w:r w:rsidRPr="00902CBC">
              <w:t>0MHz</w:t>
            </w:r>
            <w:r>
              <w:t xml:space="preserve"> TDD BW</w:t>
            </w:r>
          </w:p>
        </w:tc>
        <w:tc>
          <w:tcPr>
            <w:tcW w:w="1080" w:type="dxa"/>
            <w:noWrap/>
            <w:hideMark/>
          </w:tcPr>
          <w:p w14:paraId="40965845" w14:textId="77777777" w:rsidR="0042613F" w:rsidRPr="00902CBC" w:rsidRDefault="0042613F" w:rsidP="0042613F">
            <w:pPr>
              <w:pStyle w:val="BodyText"/>
              <w:jc w:val="center"/>
            </w:pPr>
            <w:r>
              <w:t>8</w:t>
            </w:r>
            <w:r w:rsidRPr="00902CBC">
              <w:t>0MHz</w:t>
            </w:r>
            <w:r>
              <w:t xml:space="preserve"> TDD BW</w:t>
            </w:r>
          </w:p>
        </w:tc>
        <w:tc>
          <w:tcPr>
            <w:tcW w:w="1080" w:type="dxa"/>
            <w:noWrap/>
            <w:hideMark/>
          </w:tcPr>
          <w:p w14:paraId="62C52B14" w14:textId="77777777" w:rsidR="0042613F" w:rsidRPr="00902CBC" w:rsidRDefault="0042613F" w:rsidP="0042613F">
            <w:pPr>
              <w:pStyle w:val="BodyText"/>
              <w:jc w:val="center"/>
            </w:pPr>
            <w:r>
              <w:t>10</w:t>
            </w:r>
            <w:r w:rsidRPr="00902CBC">
              <w:t>0MHz</w:t>
            </w:r>
            <w:r>
              <w:t xml:space="preserve"> TDD BW</w:t>
            </w:r>
          </w:p>
        </w:tc>
      </w:tr>
      <w:tr w:rsidR="00657D45" w:rsidRPr="00902CBC" w14:paraId="6AAA9FD5" w14:textId="77777777" w:rsidTr="00265C5C">
        <w:trPr>
          <w:trHeight w:val="290"/>
          <w:jc w:val="center"/>
        </w:trPr>
        <w:tc>
          <w:tcPr>
            <w:tcW w:w="1620" w:type="dxa"/>
            <w:vMerge w:val="restart"/>
            <w:noWrap/>
            <w:vAlign w:val="center"/>
            <w:hideMark/>
          </w:tcPr>
          <w:p w14:paraId="7CE6F1DB" w14:textId="77777777" w:rsidR="00657D45" w:rsidRPr="00902CBC" w:rsidRDefault="00657D45" w:rsidP="00657D45">
            <w:pPr>
              <w:pStyle w:val="BodyText"/>
              <w:jc w:val="center"/>
              <w:rPr>
                <w:b/>
                <w:bCs/>
              </w:rPr>
            </w:pPr>
            <w:r>
              <w:rPr>
                <w:b/>
                <w:bCs/>
              </w:rPr>
              <w:t>‘</w:t>
            </w:r>
            <w:r w:rsidRPr="00902CBC">
              <w:rPr>
                <w:b/>
                <w:bCs/>
              </w:rPr>
              <w:t>median UE'</w:t>
            </w:r>
          </w:p>
        </w:tc>
        <w:tc>
          <w:tcPr>
            <w:tcW w:w="960" w:type="dxa"/>
            <w:noWrap/>
            <w:hideMark/>
          </w:tcPr>
          <w:p w14:paraId="42D95E03" w14:textId="77777777" w:rsidR="00657D45" w:rsidRPr="00902CBC" w:rsidRDefault="00657D45" w:rsidP="00657D45">
            <w:pPr>
              <w:pStyle w:val="BodyText"/>
            </w:pPr>
            <w:r w:rsidRPr="00902CBC">
              <w:t>Option 1</w:t>
            </w:r>
          </w:p>
        </w:tc>
        <w:tc>
          <w:tcPr>
            <w:tcW w:w="1105" w:type="dxa"/>
            <w:noWrap/>
            <w:hideMark/>
          </w:tcPr>
          <w:p w14:paraId="27F871E2" w14:textId="188B1A84" w:rsidR="00657D45" w:rsidRPr="0042613F" w:rsidRDefault="00657D45" w:rsidP="00657D45">
            <w:pPr>
              <w:pStyle w:val="BodyText"/>
              <w:jc w:val="center"/>
              <w:rPr>
                <w:color w:val="C00000"/>
              </w:rPr>
            </w:pPr>
            <w:r w:rsidRPr="00657D45">
              <w:rPr>
                <w:color w:val="C00000"/>
              </w:rPr>
              <w:t>-15.8</w:t>
            </w:r>
            <w:r w:rsidR="00ED0166">
              <w:rPr>
                <w:color w:val="C00000"/>
              </w:rPr>
              <w:t>%</w:t>
            </w:r>
          </w:p>
        </w:tc>
        <w:tc>
          <w:tcPr>
            <w:tcW w:w="1080" w:type="dxa"/>
            <w:noWrap/>
            <w:hideMark/>
          </w:tcPr>
          <w:p w14:paraId="0135A7F3" w14:textId="2B84FE37" w:rsidR="00657D45" w:rsidRPr="0042613F" w:rsidRDefault="00657D45" w:rsidP="00657D45">
            <w:pPr>
              <w:pStyle w:val="BodyText"/>
              <w:jc w:val="center"/>
              <w:rPr>
                <w:color w:val="C00000"/>
              </w:rPr>
            </w:pPr>
            <w:r w:rsidRPr="00657D45">
              <w:rPr>
                <w:color w:val="C00000"/>
              </w:rPr>
              <w:t>-13.2</w:t>
            </w:r>
            <w:r w:rsidR="00ED0166">
              <w:rPr>
                <w:color w:val="C00000"/>
              </w:rPr>
              <w:t>%</w:t>
            </w:r>
          </w:p>
        </w:tc>
        <w:tc>
          <w:tcPr>
            <w:tcW w:w="1080" w:type="dxa"/>
            <w:noWrap/>
            <w:hideMark/>
          </w:tcPr>
          <w:p w14:paraId="0278B547" w14:textId="281949AA" w:rsidR="00657D45" w:rsidRPr="0042613F" w:rsidRDefault="00657D45" w:rsidP="00657D45">
            <w:pPr>
              <w:pStyle w:val="BodyText"/>
              <w:jc w:val="center"/>
              <w:rPr>
                <w:color w:val="C00000"/>
              </w:rPr>
            </w:pPr>
            <w:r w:rsidRPr="00657D45">
              <w:rPr>
                <w:color w:val="C00000"/>
              </w:rPr>
              <w:t>-11.1</w:t>
            </w:r>
            <w:r w:rsidR="00ED0166">
              <w:rPr>
                <w:color w:val="C00000"/>
              </w:rPr>
              <w:t>%</w:t>
            </w:r>
          </w:p>
        </w:tc>
        <w:tc>
          <w:tcPr>
            <w:tcW w:w="1080" w:type="dxa"/>
            <w:noWrap/>
            <w:hideMark/>
          </w:tcPr>
          <w:p w14:paraId="6BCF0769" w14:textId="6D2BD5BF" w:rsidR="00657D45" w:rsidRPr="0042613F" w:rsidRDefault="00657D45" w:rsidP="00657D45">
            <w:pPr>
              <w:pStyle w:val="BodyText"/>
              <w:jc w:val="center"/>
              <w:rPr>
                <w:color w:val="C00000"/>
              </w:rPr>
            </w:pPr>
            <w:r w:rsidRPr="00657D45">
              <w:rPr>
                <w:color w:val="C00000"/>
              </w:rPr>
              <w:t>-9.4</w:t>
            </w:r>
            <w:r w:rsidR="00ED0166">
              <w:rPr>
                <w:color w:val="C00000"/>
              </w:rPr>
              <w:t>%</w:t>
            </w:r>
          </w:p>
        </w:tc>
        <w:tc>
          <w:tcPr>
            <w:tcW w:w="1080" w:type="dxa"/>
            <w:noWrap/>
            <w:hideMark/>
          </w:tcPr>
          <w:p w14:paraId="005C2957" w14:textId="45B3FC2B" w:rsidR="00657D45" w:rsidRPr="0042613F" w:rsidRDefault="00657D45" w:rsidP="00657D45">
            <w:pPr>
              <w:pStyle w:val="BodyText"/>
              <w:jc w:val="center"/>
              <w:rPr>
                <w:color w:val="C00000"/>
              </w:rPr>
            </w:pPr>
            <w:r w:rsidRPr="00657D45">
              <w:rPr>
                <w:color w:val="C00000"/>
              </w:rPr>
              <w:t>-8.0</w:t>
            </w:r>
            <w:r w:rsidR="00ED0166">
              <w:rPr>
                <w:color w:val="C00000"/>
              </w:rPr>
              <w:t>%</w:t>
            </w:r>
          </w:p>
        </w:tc>
      </w:tr>
      <w:tr w:rsidR="00657D45" w:rsidRPr="00902CBC" w14:paraId="65A49A4A" w14:textId="77777777" w:rsidTr="00265C5C">
        <w:trPr>
          <w:trHeight w:val="290"/>
          <w:jc w:val="center"/>
        </w:trPr>
        <w:tc>
          <w:tcPr>
            <w:tcW w:w="1620" w:type="dxa"/>
            <w:vMerge/>
            <w:tcBorders>
              <w:bottom w:val="single" w:sz="4" w:space="0" w:color="auto"/>
            </w:tcBorders>
            <w:vAlign w:val="center"/>
            <w:hideMark/>
          </w:tcPr>
          <w:p w14:paraId="2EC2952F" w14:textId="77777777" w:rsidR="00657D45" w:rsidRPr="00902CBC" w:rsidRDefault="00657D45" w:rsidP="00657D45">
            <w:pPr>
              <w:pStyle w:val="BodyText"/>
              <w:jc w:val="center"/>
              <w:rPr>
                <w:b/>
                <w:bCs/>
              </w:rPr>
            </w:pPr>
          </w:p>
        </w:tc>
        <w:tc>
          <w:tcPr>
            <w:tcW w:w="960" w:type="dxa"/>
            <w:tcBorders>
              <w:bottom w:val="single" w:sz="4" w:space="0" w:color="auto"/>
            </w:tcBorders>
            <w:noWrap/>
            <w:hideMark/>
          </w:tcPr>
          <w:p w14:paraId="79E1F606" w14:textId="77777777" w:rsidR="00657D45" w:rsidRPr="00902CBC" w:rsidRDefault="00657D45" w:rsidP="00657D45">
            <w:pPr>
              <w:pStyle w:val="BodyText"/>
            </w:pPr>
            <w:r w:rsidRPr="00902CBC">
              <w:t>Option 2</w:t>
            </w:r>
          </w:p>
        </w:tc>
        <w:tc>
          <w:tcPr>
            <w:tcW w:w="1105" w:type="dxa"/>
            <w:tcBorders>
              <w:bottom w:val="single" w:sz="4" w:space="0" w:color="auto"/>
            </w:tcBorders>
            <w:noWrap/>
            <w:hideMark/>
          </w:tcPr>
          <w:p w14:paraId="6CA84F18" w14:textId="05058A2F"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0FEF42EF" w14:textId="4092D60F"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68E77E00" w14:textId="5C2AE500"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13D9A22A" w14:textId="74A00BE3" w:rsidR="00657D45" w:rsidRPr="0042613F" w:rsidRDefault="00657D45" w:rsidP="00657D45">
            <w:pPr>
              <w:pStyle w:val="BodyText"/>
              <w:jc w:val="center"/>
              <w:rPr>
                <w:color w:val="C00000"/>
              </w:rPr>
            </w:pPr>
            <w:r w:rsidRPr="00EC3ABE">
              <w:t>0.0</w:t>
            </w:r>
            <w:r w:rsidR="0036734D">
              <w:t>%</w:t>
            </w:r>
          </w:p>
        </w:tc>
        <w:tc>
          <w:tcPr>
            <w:tcW w:w="1080" w:type="dxa"/>
            <w:noWrap/>
            <w:hideMark/>
          </w:tcPr>
          <w:p w14:paraId="1F2EE8C5" w14:textId="3AF4E9F8" w:rsidR="00657D45" w:rsidRPr="0042613F" w:rsidRDefault="00657D45" w:rsidP="00657D45">
            <w:pPr>
              <w:pStyle w:val="BodyText"/>
              <w:jc w:val="center"/>
              <w:rPr>
                <w:color w:val="C00000"/>
              </w:rPr>
            </w:pPr>
            <w:r w:rsidRPr="00EC3ABE">
              <w:t>0.0</w:t>
            </w:r>
            <w:r w:rsidR="0036734D">
              <w:t>%</w:t>
            </w:r>
          </w:p>
        </w:tc>
      </w:tr>
      <w:tr w:rsidR="0042613F" w:rsidRPr="00902CBC" w14:paraId="7C4B3C05" w14:textId="77777777" w:rsidTr="00265C5C">
        <w:trPr>
          <w:trHeight w:val="290"/>
          <w:jc w:val="center"/>
        </w:trPr>
        <w:tc>
          <w:tcPr>
            <w:tcW w:w="1620" w:type="dxa"/>
            <w:tcBorders>
              <w:right w:val="nil"/>
            </w:tcBorders>
            <w:noWrap/>
            <w:vAlign w:val="center"/>
            <w:hideMark/>
          </w:tcPr>
          <w:p w14:paraId="76C00915" w14:textId="77777777" w:rsidR="0042613F" w:rsidRPr="00902CBC" w:rsidRDefault="0042613F" w:rsidP="0042613F">
            <w:pPr>
              <w:pStyle w:val="BodyText"/>
              <w:jc w:val="center"/>
              <w:rPr>
                <w:b/>
                <w:bCs/>
              </w:rPr>
            </w:pPr>
          </w:p>
        </w:tc>
        <w:tc>
          <w:tcPr>
            <w:tcW w:w="960" w:type="dxa"/>
            <w:tcBorders>
              <w:left w:val="nil"/>
              <w:right w:val="nil"/>
            </w:tcBorders>
            <w:noWrap/>
            <w:hideMark/>
          </w:tcPr>
          <w:p w14:paraId="402962AA" w14:textId="77777777" w:rsidR="0042613F" w:rsidRPr="00902CBC" w:rsidRDefault="0042613F" w:rsidP="0042613F">
            <w:pPr>
              <w:pStyle w:val="BodyText"/>
            </w:pPr>
            <w:r w:rsidRPr="00902CBC">
              <w:t> </w:t>
            </w:r>
          </w:p>
        </w:tc>
        <w:tc>
          <w:tcPr>
            <w:tcW w:w="1105" w:type="dxa"/>
            <w:tcBorders>
              <w:left w:val="nil"/>
              <w:right w:val="nil"/>
            </w:tcBorders>
            <w:noWrap/>
            <w:hideMark/>
          </w:tcPr>
          <w:p w14:paraId="0EBAED4D"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342E58C6"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71106770"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1D5D26C8" w14:textId="77777777" w:rsidR="0042613F" w:rsidRPr="0042613F" w:rsidRDefault="0042613F" w:rsidP="0042613F">
            <w:pPr>
              <w:pStyle w:val="BodyText"/>
              <w:jc w:val="center"/>
              <w:rPr>
                <w:color w:val="C00000"/>
              </w:rPr>
            </w:pPr>
          </w:p>
        </w:tc>
        <w:tc>
          <w:tcPr>
            <w:tcW w:w="1080" w:type="dxa"/>
            <w:tcBorders>
              <w:left w:val="nil"/>
            </w:tcBorders>
            <w:noWrap/>
            <w:hideMark/>
          </w:tcPr>
          <w:p w14:paraId="19A57A22" w14:textId="77777777" w:rsidR="0042613F" w:rsidRPr="0042613F" w:rsidRDefault="0042613F" w:rsidP="0042613F">
            <w:pPr>
              <w:pStyle w:val="BodyText"/>
              <w:jc w:val="center"/>
              <w:rPr>
                <w:color w:val="C00000"/>
              </w:rPr>
            </w:pPr>
          </w:p>
        </w:tc>
      </w:tr>
      <w:tr w:rsidR="0042613F" w:rsidRPr="00902CBC" w14:paraId="22E02A57" w14:textId="77777777" w:rsidTr="00265C5C">
        <w:trPr>
          <w:trHeight w:val="290"/>
          <w:jc w:val="center"/>
        </w:trPr>
        <w:tc>
          <w:tcPr>
            <w:tcW w:w="1620" w:type="dxa"/>
            <w:vMerge w:val="restart"/>
            <w:noWrap/>
            <w:vAlign w:val="center"/>
            <w:hideMark/>
          </w:tcPr>
          <w:p w14:paraId="6D4A8B91" w14:textId="681318A5" w:rsidR="0042613F" w:rsidRPr="00902CBC" w:rsidRDefault="000F1A6D" w:rsidP="0042613F">
            <w:pPr>
              <w:pStyle w:val="BodyText"/>
              <w:jc w:val="center"/>
              <w:rPr>
                <w:b/>
                <w:bCs/>
              </w:rPr>
            </w:pPr>
            <w:r>
              <w:rPr>
                <w:b/>
                <w:bCs/>
              </w:rPr>
              <w:t>‘</w:t>
            </w:r>
            <w:r w:rsidR="0042613F" w:rsidRPr="00902CBC">
              <w:rPr>
                <w:b/>
                <w:bCs/>
              </w:rPr>
              <w:t>95%le UE'</w:t>
            </w:r>
          </w:p>
        </w:tc>
        <w:tc>
          <w:tcPr>
            <w:tcW w:w="960" w:type="dxa"/>
            <w:noWrap/>
            <w:hideMark/>
          </w:tcPr>
          <w:p w14:paraId="5FD92E56" w14:textId="77777777" w:rsidR="0042613F" w:rsidRPr="00902CBC" w:rsidRDefault="0042613F" w:rsidP="0042613F">
            <w:pPr>
              <w:pStyle w:val="BodyText"/>
            </w:pPr>
            <w:r w:rsidRPr="00902CBC">
              <w:t>Option 1</w:t>
            </w:r>
          </w:p>
        </w:tc>
        <w:tc>
          <w:tcPr>
            <w:tcW w:w="1105" w:type="dxa"/>
            <w:noWrap/>
            <w:hideMark/>
          </w:tcPr>
          <w:p w14:paraId="29D39267" w14:textId="59B9D9C6" w:rsidR="0042613F" w:rsidRPr="0042613F" w:rsidRDefault="0042613F" w:rsidP="0042613F">
            <w:pPr>
              <w:pStyle w:val="BodyText"/>
              <w:jc w:val="center"/>
              <w:rPr>
                <w:color w:val="C00000"/>
              </w:rPr>
            </w:pPr>
            <w:r w:rsidRPr="0042613F">
              <w:rPr>
                <w:color w:val="C00000"/>
              </w:rPr>
              <w:t>-15.3</w:t>
            </w:r>
            <w:r w:rsidR="0036734D">
              <w:rPr>
                <w:color w:val="C00000"/>
              </w:rPr>
              <w:t>%</w:t>
            </w:r>
          </w:p>
        </w:tc>
        <w:tc>
          <w:tcPr>
            <w:tcW w:w="1080" w:type="dxa"/>
            <w:noWrap/>
            <w:hideMark/>
          </w:tcPr>
          <w:p w14:paraId="34A4483E" w14:textId="49E453BA" w:rsidR="0042613F" w:rsidRPr="0042613F" w:rsidRDefault="0042613F" w:rsidP="0042613F">
            <w:pPr>
              <w:pStyle w:val="BodyText"/>
              <w:jc w:val="center"/>
              <w:rPr>
                <w:color w:val="C00000"/>
              </w:rPr>
            </w:pPr>
            <w:r w:rsidRPr="0042613F">
              <w:rPr>
                <w:color w:val="C00000"/>
              </w:rPr>
              <w:t>-12.1</w:t>
            </w:r>
            <w:r w:rsidR="0036734D">
              <w:rPr>
                <w:color w:val="C00000"/>
              </w:rPr>
              <w:t>%</w:t>
            </w:r>
          </w:p>
        </w:tc>
        <w:tc>
          <w:tcPr>
            <w:tcW w:w="1080" w:type="dxa"/>
            <w:noWrap/>
            <w:hideMark/>
          </w:tcPr>
          <w:p w14:paraId="1D744FA9" w14:textId="576CD565" w:rsidR="0042613F" w:rsidRPr="0042613F" w:rsidRDefault="0042613F" w:rsidP="0042613F">
            <w:pPr>
              <w:pStyle w:val="BodyText"/>
              <w:jc w:val="center"/>
              <w:rPr>
                <w:color w:val="C00000"/>
              </w:rPr>
            </w:pPr>
            <w:r w:rsidRPr="0042613F">
              <w:rPr>
                <w:color w:val="C00000"/>
              </w:rPr>
              <w:t>-9.8</w:t>
            </w:r>
            <w:r w:rsidR="0036734D">
              <w:rPr>
                <w:color w:val="C00000"/>
              </w:rPr>
              <w:t>%</w:t>
            </w:r>
          </w:p>
        </w:tc>
        <w:tc>
          <w:tcPr>
            <w:tcW w:w="1080" w:type="dxa"/>
            <w:noWrap/>
            <w:hideMark/>
          </w:tcPr>
          <w:p w14:paraId="1220D7C5" w14:textId="054360D5" w:rsidR="0042613F" w:rsidRPr="0042613F" w:rsidRDefault="0042613F" w:rsidP="0042613F">
            <w:pPr>
              <w:pStyle w:val="BodyText"/>
              <w:jc w:val="center"/>
              <w:rPr>
                <w:color w:val="C00000"/>
              </w:rPr>
            </w:pPr>
            <w:r w:rsidRPr="0042613F">
              <w:rPr>
                <w:color w:val="C00000"/>
              </w:rPr>
              <w:t>-7.9</w:t>
            </w:r>
            <w:r w:rsidR="0036734D">
              <w:rPr>
                <w:color w:val="C00000"/>
              </w:rPr>
              <w:t>%</w:t>
            </w:r>
          </w:p>
        </w:tc>
        <w:tc>
          <w:tcPr>
            <w:tcW w:w="1080" w:type="dxa"/>
            <w:noWrap/>
            <w:hideMark/>
          </w:tcPr>
          <w:p w14:paraId="11025E16" w14:textId="04E67664" w:rsidR="0042613F" w:rsidRPr="0042613F" w:rsidRDefault="0042613F" w:rsidP="0042613F">
            <w:pPr>
              <w:pStyle w:val="BodyText"/>
              <w:jc w:val="center"/>
              <w:rPr>
                <w:color w:val="C00000"/>
              </w:rPr>
            </w:pPr>
            <w:r w:rsidRPr="0042613F">
              <w:rPr>
                <w:color w:val="C00000"/>
              </w:rPr>
              <w:t>-6.4</w:t>
            </w:r>
            <w:r w:rsidR="0036734D">
              <w:rPr>
                <w:color w:val="C00000"/>
              </w:rPr>
              <w:t>%</w:t>
            </w:r>
          </w:p>
        </w:tc>
      </w:tr>
      <w:tr w:rsidR="00657D45" w:rsidRPr="00902CBC" w14:paraId="44DB1566" w14:textId="77777777" w:rsidTr="00265C5C">
        <w:trPr>
          <w:trHeight w:val="290"/>
          <w:jc w:val="center"/>
        </w:trPr>
        <w:tc>
          <w:tcPr>
            <w:tcW w:w="1620" w:type="dxa"/>
            <w:vMerge/>
            <w:tcBorders>
              <w:bottom w:val="single" w:sz="4" w:space="0" w:color="auto"/>
            </w:tcBorders>
            <w:vAlign w:val="center"/>
            <w:hideMark/>
          </w:tcPr>
          <w:p w14:paraId="0CC515DD" w14:textId="77777777" w:rsidR="00657D45" w:rsidRPr="00902CBC" w:rsidRDefault="00657D45" w:rsidP="00657D45">
            <w:pPr>
              <w:pStyle w:val="BodyText"/>
              <w:jc w:val="center"/>
              <w:rPr>
                <w:b/>
                <w:bCs/>
              </w:rPr>
            </w:pPr>
          </w:p>
        </w:tc>
        <w:tc>
          <w:tcPr>
            <w:tcW w:w="960" w:type="dxa"/>
            <w:tcBorders>
              <w:bottom w:val="single" w:sz="4" w:space="0" w:color="auto"/>
            </w:tcBorders>
            <w:noWrap/>
            <w:hideMark/>
          </w:tcPr>
          <w:p w14:paraId="7FE472FB" w14:textId="77777777" w:rsidR="00657D45" w:rsidRPr="00902CBC" w:rsidRDefault="00657D45" w:rsidP="00657D45">
            <w:pPr>
              <w:pStyle w:val="BodyText"/>
            </w:pPr>
            <w:r w:rsidRPr="00902CBC">
              <w:t>Option 2</w:t>
            </w:r>
          </w:p>
        </w:tc>
        <w:tc>
          <w:tcPr>
            <w:tcW w:w="1105" w:type="dxa"/>
            <w:tcBorders>
              <w:bottom w:val="single" w:sz="4" w:space="0" w:color="auto"/>
            </w:tcBorders>
            <w:noWrap/>
            <w:hideMark/>
          </w:tcPr>
          <w:p w14:paraId="7A1C141F" w14:textId="60C09526"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223CDCBA" w14:textId="5726CCA3"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13ECA1F7" w14:textId="06857065" w:rsidR="00657D45" w:rsidRPr="0042613F" w:rsidRDefault="00657D45" w:rsidP="00657D45">
            <w:pPr>
              <w:pStyle w:val="BodyText"/>
              <w:jc w:val="center"/>
              <w:rPr>
                <w:color w:val="C00000"/>
              </w:rPr>
            </w:pPr>
            <w:r w:rsidRPr="00EC3ABE">
              <w:t>0.0</w:t>
            </w:r>
            <w:r w:rsidR="0036734D">
              <w:t>%</w:t>
            </w:r>
          </w:p>
        </w:tc>
        <w:tc>
          <w:tcPr>
            <w:tcW w:w="1080" w:type="dxa"/>
            <w:tcBorders>
              <w:bottom w:val="single" w:sz="4" w:space="0" w:color="auto"/>
            </w:tcBorders>
            <w:noWrap/>
            <w:hideMark/>
          </w:tcPr>
          <w:p w14:paraId="780E44C3" w14:textId="48358ABD" w:rsidR="00657D45" w:rsidRPr="0042613F" w:rsidRDefault="00657D45" w:rsidP="00657D45">
            <w:pPr>
              <w:pStyle w:val="BodyText"/>
              <w:jc w:val="center"/>
              <w:rPr>
                <w:color w:val="C00000"/>
              </w:rPr>
            </w:pPr>
            <w:r w:rsidRPr="00EC3ABE">
              <w:t>0.0</w:t>
            </w:r>
            <w:r w:rsidR="0036734D">
              <w:t>%</w:t>
            </w:r>
          </w:p>
        </w:tc>
        <w:tc>
          <w:tcPr>
            <w:tcW w:w="1080" w:type="dxa"/>
            <w:noWrap/>
            <w:hideMark/>
          </w:tcPr>
          <w:p w14:paraId="5670EA58" w14:textId="49184967" w:rsidR="00657D45" w:rsidRPr="0042613F" w:rsidRDefault="00657D45" w:rsidP="00657D45">
            <w:pPr>
              <w:pStyle w:val="BodyText"/>
              <w:jc w:val="center"/>
              <w:rPr>
                <w:color w:val="C00000"/>
              </w:rPr>
            </w:pPr>
            <w:r w:rsidRPr="00EC3ABE">
              <w:t>0.0</w:t>
            </w:r>
            <w:r w:rsidR="0036734D">
              <w:t>%</w:t>
            </w:r>
          </w:p>
        </w:tc>
      </w:tr>
      <w:tr w:rsidR="0042613F" w:rsidRPr="00902CBC" w14:paraId="682DBFBA" w14:textId="77777777" w:rsidTr="00265C5C">
        <w:trPr>
          <w:trHeight w:val="290"/>
          <w:jc w:val="center"/>
        </w:trPr>
        <w:tc>
          <w:tcPr>
            <w:tcW w:w="1620" w:type="dxa"/>
            <w:tcBorders>
              <w:right w:val="nil"/>
            </w:tcBorders>
            <w:noWrap/>
            <w:vAlign w:val="center"/>
            <w:hideMark/>
          </w:tcPr>
          <w:p w14:paraId="23D0C552" w14:textId="77777777" w:rsidR="0042613F" w:rsidRPr="00902CBC" w:rsidRDefault="0042613F" w:rsidP="0042613F">
            <w:pPr>
              <w:pStyle w:val="BodyText"/>
              <w:jc w:val="center"/>
              <w:rPr>
                <w:b/>
                <w:bCs/>
              </w:rPr>
            </w:pPr>
          </w:p>
        </w:tc>
        <w:tc>
          <w:tcPr>
            <w:tcW w:w="960" w:type="dxa"/>
            <w:tcBorders>
              <w:left w:val="nil"/>
              <w:right w:val="nil"/>
            </w:tcBorders>
            <w:noWrap/>
            <w:hideMark/>
          </w:tcPr>
          <w:p w14:paraId="1B2E9769" w14:textId="77777777" w:rsidR="0042613F" w:rsidRPr="00902CBC" w:rsidRDefault="0042613F" w:rsidP="0042613F">
            <w:pPr>
              <w:pStyle w:val="BodyText"/>
            </w:pPr>
            <w:r w:rsidRPr="00902CBC">
              <w:t> </w:t>
            </w:r>
          </w:p>
        </w:tc>
        <w:tc>
          <w:tcPr>
            <w:tcW w:w="1105" w:type="dxa"/>
            <w:tcBorders>
              <w:left w:val="nil"/>
              <w:right w:val="nil"/>
            </w:tcBorders>
            <w:noWrap/>
            <w:hideMark/>
          </w:tcPr>
          <w:p w14:paraId="65734898"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12B4EAEE"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41A55BAA" w14:textId="77777777" w:rsidR="0042613F" w:rsidRPr="0042613F" w:rsidRDefault="0042613F" w:rsidP="0042613F">
            <w:pPr>
              <w:pStyle w:val="BodyText"/>
              <w:jc w:val="center"/>
              <w:rPr>
                <w:color w:val="C00000"/>
              </w:rPr>
            </w:pPr>
          </w:p>
        </w:tc>
        <w:tc>
          <w:tcPr>
            <w:tcW w:w="1080" w:type="dxa"/>
            <w:tcBorders>
              <w:left w:val="nil"/>
              <w:right w:val="nil"/>
            </w:tcBorders>
            <w:noWrap/>
            <w:hideMark/>
          </w:tcPr>
          <w:p w14:paraId="7FBA733A" w14:textId="77777777" w:rsidR="0042613F" w:rsidRPr="0042613F" w:rsidRDefault="0042613F" w:rsidP="0042613F">
            <w:pPr>
              <w:pStyle w:val="BodyText"/>
              <w:jc w:val="center"/>
              <w:rPr>
                <w:color w:val="C00000"/>
              </w:rPr>
            </w:pPr>
          </w:p>
        </w:tc>
        <w:tc>
          <w:tcPr>
            <w:tcW w:w="1080" w:type="dxa"/>
            <w:tcBorders>
              <w:left w:val="nil"/>
            </w:tcBorders>
            <w:noWrap/>
            <w:hideMark/>
          </w:tcPr>
          <w:p w14:paraId="2EE37C8B" w14:textId="77777777" w:rsidR="0042613F" w:rsidRPr="0042613F" w:rsidRDefault="0042613F" w:rsidP="0042613F">
            <w:pPr>
              <w:pStyle w:val="BodyText"/>
              <w:jc w:val="center"/>
              <w:rPr>
                <w:color w:val="C00000"/>
              </w:rPr>
            </w:pPr>
          </w:p>
        </w:tc>
      </w:tr>
      <w:tr w:rsidR="0042613F" w:rsidRPr="00902CBC" w14:paraId="7098F9E2" w14:textId="77777777" w:rsidTr="00265C5C">
        <w:trPr>
          <w:trHeight w:val="290"/>
          <w:jc w:val="center"/>
        </w:trPr>
        <w:tc>
          <w:tcPr>
            <w:tcW w:w="1620" w:type="dxa"/>
            <w:vMerge w:val="restart"/>
            <w:noWrap/>
            <w:vAlign w:val="center"/>
            <w:hideMark/>
          </w:tcPr>
          <w:p w14:paraId="3E213D9A" w14:textId="3B213848" w:rsidR="0042613F" w:rsidRPr="00902CBC" w:rsidRDefault="000F1A6D" w:rsidP="0042613F">
            <w:pPr>
              <w:pStyle w:val="BodyText"/>
              <w:jc w:val="center"/>
              <w:rPr>
                <w:b/>
                <w:bCs/>
              </w:rPr>
            </w:pPr>
            <w:r>
              <w:rPr>
                <w:b/>
                <w:bCs/>
              </w:rPr>
              <w:t>‘</w:t>
            </w:r>
            <w:r w:rsidR="0042613F" w:rsidRPr="00902CBC">
              <w:rPr>
                <w:b/>
                <w:bCs/>
              </w:rPr>
              <w:t>5%le UE'</w:t>
            </w:r>
          </w:p>
        </w:tc>
        <w:tc>
          <w:tcPr>
            <w:tcW w:w="960" w:type="dxa"/>
            <w:noWrap/>
            <w:hideMark/>
          </w:tcPr>
          <w:p w14:paraId="1C452087" w14:textId="77777777" w:rsidR="0042613F" w:rsidRPr="00902CBC" w:rsidRDefault="0042613F" w:rsidP="0042613F">
            <w:pPr>
              <w:pStyle w:val="BodyText"/>
            </w:pPr>
            <w:r w:rsidRPr="00902CBC">
              <w:t>Option 1</w:t>
            </w:r>
          </w:p>
        </w:tc>
        <w:tc>
          <w:tcPr>
            <w:tcW w:w="1105" w:type="dxa"/>
            <w:noWrap/>
            <w:hideMark/>
          </w:tcPr>
          <w:p w14:paraId="22FD9DE2" w14:textId="0A9EB154" w:rsidR="0042613F" w:rsidRPr="0042613F" w:rsidRDefault="0042613F" w:rsidP="0042613F">
            <w:pPr>
              <w:pStyle w:val="BodyText"/>
              <w:jc w:val="center"/>
              <w:rPr>
                <w:color w:val="C00000"/>
              </w:rPr>
            </w:pPr>
            <w:r w:rsidRPr="0042613F">
              <w:rPr>
                <w:color w:val="C00000"/>
              </w:rPr>
              <w:t>-14.6</w:t>
            </w:r>
            <w:r w:rsidR="0036734D">
              <w:rPr>
                <w:color w:val="C00000"/>
              </w:rPr>
              <w:t>%</w:t>
            </w:r>
          </w:p>
        </w:tc>
        <w:tc>
          <w:tcPr>
            <w:tcW w:w="1080" w:type="dxa"/>
            <w:noWrap/>
            <w:hideMark/>
          </w:tcPr>
          <w:p w14:paraId="769E9B79" w14:textId="416CEBCB" w:rsidR="0042613F" w:rsidRPr="0042613F" w:rsidRDefault="0042613F" w:rsidP="0042613F">
            <w:pPr>
              <w:pStyle w:val="BodyText"/>
              <w:jc w:val="center"/>
              <w:rPr>
                <w:color w:val="C00000"/>
              </w:rPr>
            </w:pPr>
            <w:r w:rsidRPr="0042613F">
              <w:rPr>
                <w:color w:val="C00000"/>
              </w:rPr>
              <w:t>-11.3</w:t>
            </w:r>
            <w:r w:rsidR="0036734D">
              <w:rPr>
                <w:color w:val="C00000"/>
              </w:rPr>
              <w:t>%</w:t>
            </w:r>
          </w:p>
        </w:tc>
        <w:tc>
          <w:tcPr>
            <w:tcW w:w="1080" w:type="dxa"/>
            <w:noWrap/>
            <w:hideMark/>
          </w:tcPr>
          <w:p w14:paraId="3DBF6FE3" w14:textId="5F9A66F7" w:rsidR="0042613F" w:rsidRPr="0042613F" w:rsidRDefault="0042613F" w:rsidP="0042613F">
            <w:pPr>
              <w:pStyle w:val="BodyText"/>
              <w:jc w:val="center"/>
              <w:rPr>
                <w:color w:val="C00000"/>
              </w:rPr>
            </w:pPr>
            <w:r w:rsidRPr="0042613F">
              <w:rPr>
                <w:color w:val="C00000"/>
              </w:rPr>
              <w:t>-8.2</w:t>
            </w:r>
            <w:r w:rsidR="0036734D">
              <w:rPr>
                <w:color w:val="C00000"/>
              </w:rPr>
              <w:t>%</w:t>
            </w:r>
          </w:p>
        </w:tc>
        <w:tc>
          <w:tcPr>
            <w:tcW w:w="1080" w:type="dxa"/>
            <w:noWrap/>
            <w:hideMark/>
          </w:tcPr>
          <w:p w14:paraId="743425E9" w14:textId="19C6182E" w:rsidR="0042613F" w:rsidRPr="0042613F" w:rsidRDefault="0042613F" w:rsidP="0042613F">
            <w:pPr>
              <w:pStyle w:val="BodyText"/>
              <w:jc w:val="center"/>
              <w:rPr>
                <w:color w:val="C00000"/>
              </w:rPr>
            </w:pPr>
            <w:r w:rsidRPr="0042613F">
              <w:rPr>
                <w:color w:val="C00000"/>
              </w:rPr>
              <w:t>-5.5</w:t>
            </w:r>
            <w:r w:rsidR="0036734D">
              <w:rPr>
                <w:color w:val="C00000"/>
              </w:rPr>
              <w:t>%</w:t>
            </w:r>
          </w:p>
        </w:tc>
        <w:tc>
          <w:tcPr>
            <w:tcW w:w="1080" w:type="dxa"/>
            <w:noWrap/>
            <w:hideMark/>
          </w:tcPr>
          <w:p w14:paraId="0F9F62AB" w14:textId="185897D9" w:rsidR="0042613F" w:rsidRPr="0042613F" w:rsidRDefault="0042613F" w:rsidP="0042613F">
            <w:pPr>
              <w:pStyle w:val="BodyText"/>
              <w:jc w:val="center"/>
              <w:rPr>
                <w:color w:val="C00000"/>
              </w:rPr>
            </w:pPr>
            <w:r w:rsidRPr="0042613F">
              <w:rPr>
                <w:color w:val="C00000"/>
              </w:rPr>
              <w:t>-3.0</w:t>
            </w:r>
            <w:r w:rsidR="0036734D">
              <w:rPr>
                <w:color w:val="C00000"/>
              </w:rPr>
              <w:t>%</w:t>
            </w:r>
          </w:p>
        </w:tc>
      </w:tr>
      <w:tr w:rsidR="0042613F" w:rsidRPr="00902CBC" w14:paraId="798F00CC" w14:textId="77777777" w:rsidTr="0042613F">
        <w:trPr>
          <w:trHeight w:val="300"/>
          <w:jc w:val="center"/>
        </w:trPr>
        <w:tc>
          <w:tcPr>
            <w:tcW w:w="1620" w:type="dxa"/>
            <w:vMerge/>
            <w:hideMark/>
          </w:tcPr>
          <w:p w14:paraId="37B7430C" w14:textId="77777777" w:rsidR="0042613F" w:rsidRPr="00902CBC" w:rsidRDefault="0042613F" w:rsidP="0042613F">
            <w:pPr>
              <w:pStyle w:val="BodyText"/>
              <w:rPr>
                <w:b/>
                <w:bCs/>
              </w:rPr>
            </w:pPr>
          </w:p>
        </w:tc>
        <w:tc>
          <w:tcPr>
            <w:tcW w:w="960" w:type="dxa"/>
            <w:noWrap/>
            <w:hideMark/>
          </w:tcPr>
          <w:p w14:paraId="0C93E53A" w14:textId="77777777" w:rsidR="0042613F" w:rsidRPr="00902CBC" w:rsidRDefault="0042613F" w:rsidP="0042613F">
            <w:pPr>
              <w:pStyle w:val="BodyText"/>
            </w:pPr>
            <w:r w:rsidRPr="00902CBC">
              <w:t>Option 2</w:t>
            </w:r>
          </w:p>
        </w:tc>
        <w:tc>
          <w:tcPr>
            <w:tcW w:w="1105" w:type="dxa"/>
            <w:noWrap/>
            <w:hideMark/>
          </w:tcPr>
          <w:p w14:paraId="20CD8896" w14:textId="43C4DEF7" w:rsidR="0042613F" w:rsidRPr="00902CBC" w:rsidRDefault="0042613F" w:rsidP="0042613F">
            <w:pPr>
              <w:pStyle w:val="BodyText"/>
              <w:jc w:val="center"/>
            </w:pPr>
            <w:r w:rsidRPr="00EC3ABE">
              <w:t>0.0</w:t>
            </w:r>
            <w:r w:rsidR="0036734D">
              <w:t>%</w:t>
            </w:r>
          </w:p>
        </w:tc>
        <w:tc>
          <w:tcPr>
            <w:tcW w:w="1080" w:type="dxa"/>
            <w:noWrap/>
            <w:hideMark/>
          </w:tcPr>
          <w:p w14:paraId="07FDA3E9" w14:textId="72AA8ECE" w:rsidR="0042613F" w:rsidRPr="00902CBC" w:rsidRDefault="0042613F" w:rsidP="0042613F">
            <w:pPr>
              <w:pStyle w:val="BodyText"/>
              <w:jc w:val="center"/>
            </w:pPr>
            <w:r w:rsidRPr="00EC3ABE">
              <w:t>0.0</w:t>
            </w:r>
            <w:r w:rsidR="0036734D">
              <w:t>%</w:t>
            </w:r>
          </w:p>
        </w:tc>
        <w:tc>
          <w:tcPr>
            <w:tcW w:w="1080" w:type="dxa"/>
            <w:noWrap/>
            <w:hideMark/>
          </w:tcPr>
          <w:p w14:paraId="2885C4B6" w14:textId="14357651" w:rsidR="0042613F" w:rsidRPr="00902CBC" w:rsidRDefault="0042613F" w:rsidP="0042613F">
            <w:pPr>
              <w:pStyle w:val="BodyText"/>
              <w:jc w:val="center"/>
            </w:pPr>
            <w:r w:rsidRPr="00EC3ABE">
              <w:t>0.0</w:t>
            </w:r>
            <w:r w:rsidR="0036734D">
              <w:t>%</w:t>
            </w:r>
          </w:p>
        </w:tc>
        <w:tc>
          <w:tcPr>
            <w:tcW w:w="1080" w:type="dxa"/>
            <w:noWrap/>
            <w:hideMark/>
          </w:tcPr>
          <w:p w14:paraId="2ED85442" w14:textId="6208B01B" w:rsidR="0042613F" w:rsidRPr="00902CBC" w:rsidRDefault="0042613F" w:rsidP="0042613F">
            <w:pPr>
              <w:pStyle w:val="BodyText"/>
              <w:jc w:val="center"/>
            </w:pPr>
            <w:r w:rsidRPr="00EC3ABE">
              <w:t>0.0</w:t>
            </w:r>
            <w:r w:rsidR="0036734D">
              <w:t>%</w:t>
            </w:r>
          </w:p>
        </w:tc>
        <w:tc>
          <w:tcPr>
            <w:tcW w:w="1080" w:type="dxa"/>
            <w:noWrap/>
            <w:hideMark/>
          </w:tcPr>
          <w:p w14:paraId="3C252F29" w14:textId="0258DBDF" w:rsidR="0042613F" w:rsidRPr="00902CBC" w:rsidRDefault="0042613F" w:rsidP="0042613F">
            <w:pPr>
              <w:pStyle w:val="BodyText"/>
              <w:jc w:val="center"/>
            </w:pPr>
            <w:r w:rsidRPr="00EC3ABE">
              <w:t>0.0</w:t>
            </w:r>
            <w:r w:rsidR="0036734D">
              <w:t>%</w:t>
            </w:r>
          </w:p>
        </w:tc>
      </w:tr>
    </w:tbl>
    <w:p w14:paraId="7E1E8831" w14:textId="77777777" w:rsidR="0042613F" w:rsidRDefault="0042613F" w:rsidP="0042613F">
      <w:pPr>
        <w:pStyle w:val="BodyText"/>
      </w:pPr>
    </w:p>
    <w:p w14:paraId="5B0F1526" w14:textId="34A0905B" w:rsidR="0042613F" w:rsidRDefault="0055129B" w:rsidP="002E3CE3">
      <w:pPr>
        <w:pStyle w:val="BodyText"/>
      </w:pPr>
      <w:r>
        <w:t>We make the following observations based on the above</w:t>
      </w:r>
      <w:r w:rsidR="00775904">
        <w:t xml:space="preserve"> tables</w:t>
      </w:r>
    </w:p>
    <w:p w14:paraId="6F184E03" w14:textId="284109FC" w:rsidR="00062E56" w:rsidRDefault="00062E56" w:rsidP="00B33658">
      <w:pPr>
        <w:pStyle w:val="BodyText"/>
        <w:numPr>
          <w:ilvl w:val="0"/>
          <w:numId w:val="18"/>
        </w:numPr>
      </w:pPr>
      <w:r>
        <w:t>Large switching time (e.g. 140us</w:t>
      </w:r>
      <w:r w:rsidR="00775904">
        <w:t xml:space="preserve"> or larger</w:t>
      </w:r>
      <w:r>
        <w:t xml:space="preserve">), significantly impacts performance of UL tx switching and any gains </w:t>
      </w:r>
      <w:r w:rsidR="00775904">
        <w:t xml:space="preserve">for UL </w:t>
      </w:r>
      <w:proofErr w:type="spellStart"/>
      <w:r w:rsidR="00775904">
        <w:t>tx</w:t>
      </w:r>
      <w:proofErr w:type="spellEnd"/>
      <w:r w:rsidR="00775904">
        <w:t xml:space="preserve"> switching </w:t>
      </w:r>
      <w:r>
        <w:t>are observable only for the case of 35us switching time.</w:t>
      </w:r>
    </w:p>
    <w:p w14:paraId="4B1C975D" w14:textId="3FE23ABB" w:rsidR="00902CBC" w:rsidRDefault="00CE63B1" w:rsidP="00B33658">
      <w:pPr>
        <w:pStyle w:val="BodyText"/>
        <w:numPr>
          <w:ilvl w:val="0"/>
          <w:numId w:val="18"/>
        </w:numPr>
      </w:pPr>
      <w:r>
        <w:t>For the case of 35us switching time, g</w:t>
      </w:r>
      <w:r w:rsidR="00062E56">
        <w:t xml:space="preserve">ain </w:t>
      </w:r>
      <w:r>
        <w:t xml:space="preserve">from </w:t>
      </w:r>
      <w:r w:rsidR="00062E56">
        <w:t xml:space="preserve">UL Tx switching </w:t>
      </w:r>
      <w:r>
        <w:t>is</w:t>
      </w:r>
      <w:r w:rsidR="00062E56">
        <w:t xml:space="preserve"> mainly for cases where large BW (</w:t>
      </w:r>
      <w:r w:rsidR="00775904">
        <w:t xml:space="preserve">e.g. </w:t>
      </w:r>
      <w:r w:rsidR="00062E56">
        <w:t xml:space="preserve">80MHz/100MHz) is available </w:t>
      </w:r>
      <w:r>
        <w:t>for</w:t>
      </w:r>
      <w:r w:rsidR="00062E56">
        <w:t xml:space="preserve"> TDD </w:t>
      </w:r>
      <w:r>
        <w:t xml:space="preserve">and channel conditions are </w:t>
      </w:r>
      <w:r w:rsidR="00775904">
        <w:t>excellent</w:t>
      </w:r>
      <w:r>
        <w:t xml:space="preserve"> (i.e., 0.4-3% gain for median UE with 80/100MHz TDD BW and 2-10% gain for 95%le UE with 60-100MHz TDD BW)</w:t>
      </w:r>
    </w:p>
    <w:p w14:paraId="272F6A89" w14:textId="10524A69" w:rsidR="00842FDC" w:rsidRDefault="00CE63B1" w:rsidP="00B33658">
      <w:pPr>
        <w:pStyle w:val="BodyText"/>
        <w:numPr>
          <w:ilvl w:val="0"/>
          <w:numId w:val="18"/>
        </w:numPr>
      </w:pPr>
      <w:r>
        <w:t>When channel conditions are not excellent</w:t>
      </w:r>
      <w:r w:rsidR="00842FDC">
        <w:t xml:space="preserve"> (e.g. </w:t>
      </w:r>
      <w:r w:rsidR="0061036D">
        <w:t xml:space="preserve">not a </w:t>
      </w:r>
      <w:r w:rsidR="00842FDC">
        <w:t>95% UE)</w:t>
      </w:r>
      <w:r>
        <w:t xml:space="preserve">, or when enough bandwidth is not available </w:t>
      </w:r>
      <w:r w:rsidR="00842FDC">
        <w:t>on TDD leg</w:t>
      </w:r>
      <w:r w:rsidR="0061036D">
        <w:t xml:space="preserve"> (e.g. not &gt;60MHz)</w:t>
      </w:r>
      <w:r>
        <w:t>,</w:t>
      </w:r>
      <w:r w:rsidR="00842FDC">
        <w:t xml:space="preserve"> scheduling 1layerFDD+1layerTDD is better than scheduling 0FDD+2layerTDD. </w:t>
      </w:r>
    </w:p>
    <w:p w14:paraId="1E66E87D" w14:textId="64F3FB36" w:rsidR="00CE63B1" w:rsidRDefault="00842FDC" w:rsidP="00842FDC">
      <w:pPr>
        <w:pStyle w:val="BodyText"/>
        <w:numPr>
          <w:ilvl w:val="1"/>
          <w:numId w:val="18"/>
        </w:numPr>
      </w:pPr>
      <w:r>
        <w:t xml:space="preserve">Option 1 does not provide this fallback of scheduling 1layerFDD+1layerTDD. Given this, configuring UL tx switching with Option 1 </w:t>
      </w:r>
      <w:r w:rsidR="00775904">
        <w:t>results in</w:t>
      </w:r>
      <w:r w:rsidR="00775904">
        <w:t xml:space="preserve"> </w:t>
      </w:r>
      <w:r>
        <w:t xml:space="preserve">UE/NW performance </w:t>
      </w:r>
      <w:r w:rsidR="00775904">
        <w:t xml:space="preserve">degradation </w:t>
      </w:r>
      <w:r>
        <w:t xml:space="preserve">compared to </w:t>
      </w:r>
      <w:r w:rsidR="00775904">
        <w:t xml:space="preserve">Rel15 </w:t>
      </w:r>
      <w:r>
        <w:t>CA with 2Tx</w:t>
      </w:r>
    </w:p>
    <w:p w14:paraId="00E93137" w14:textId="1AF98F2B" w:rsidR="00842FDC" w:rsidRDefault="00842FDC" w:rsidP="00842FDC">
      <w:pPr>
        <w:pStyle w:val="BodyText"/>
        <w:numPr>
          <w:ilvl w:val="1"/>
          <w:numId w:val="18"/>
        </w:numPr>
      </w:pPr>
      <w:r>
        <w:t xml:space="preserve">Option 2 provides the fallback of scheduling 1layerFDD+1layerTDD. So, configuring UL tx switching with Option 2 will give at least same performance as </w:t>
      </w:r>
      <w:r w:rsidR="00775904">
        <w:t xml:space="preserve">Rel15 </w:t>
      </w:r>
      <w:r>
        <w:t>CA with 2Tx</w:t>
      </w:r>
      <w:r w:rsidR="0061036D">
        <w:t xml:space="preserve">, and </w:t>
      </w:r>
      <w:r>
        <w:t xml:space="preserve">when </w:t>
      </w:r>
      <w:r w:rsidR="0061036D">
        <w:t>feasible</w:t>
      </w:r>
      <w:r>
        <w:t xml:space="preserve"> (</w:t>
      </w:r>
      <w:r w:rsidR="0061036D">
        <w:t>e.g. 35us switching time, &gt;</w:t>
      </w:r>
      <w:r w:rsidR="004508CB">
        <w:t>=</w:t>
      </w:r>
      <w:r w:rsidR="0061036D">
        <w:t>60MHz TDD BW, 95%le UE) it can give some benefit (</w:t>
      </w:r>
      <w:r w:rsidR="004508CB">
        <w:t>2</w:t>
      </w:r>
      <w:r w:rsidR="0061036D">
        <w:t>-10%) over C</w:t>
      </w:r>
      <w:r w:rsidR="00D97AA1">
        <w:t>A</w:t>
      </w:r>
      <w:r w:rsidR="0061036D">
        <w:t xml:space="preserve"> with 2Tx.</w:t>
      </w:r>
    </w:p>
    <w:p w14:paraId="07053429" w14:textId="7E767860" w:rsidR="0061036D" w:rsidRDefault="0061036D" w:rsidP="0061036D">
      <w:pPr>
        <w:pStyle w:val="BodyText"/>
      </w:pPr>
      <w:r>
        <w:t>Based on the above, we propose that Option 2 is used for defining the condition and presence of switching periods for UL tx switching with CA case.</w:t>
      </w:r>
    </w:p>
    <w:p w14:paraId="21F4FF20" w14:textId="4EEC3907" w:rsidR="008446DE" w:rsidRDefault="008446DE" w:rsidP="0061036D">
      <w:pPr>
        <w:pStyle w:val="BodyText"/>
      </w:pPr>
    </w:p>
    <w:p w14:paraId="5754A98B" w14:textId="530A9C46" w:rsidR="008446DE" w:rsidRDefault="008446DE" w:rsidP="0061036D">
      <w:pPr>
        <w:pStyle w:val="BodyText"/>
        <w:rPr>
          <w:b/>
          <w:bCs/>
          <w:u w:val="single"/>
        </w:rPr>
      </w:pPr>
      <w:r w:rsidRPr="008446DE">
        <w:rPr>
          <w:b/>
          <w:bCs/>
          <w:u w:val="single"/>
        </w:rPr>
        <w:t>Proposal</w:t>
      </w:r>
      <w:r>
        <w:rPr>
          <w:b/>
          <w:bCs/>
          <w:u w:val="single"/>
        </w:rPr>
        <w:t xml:space="preserve"> 2</w:t>
      </w:r>
    </w:p>
    <w:p w14:paraId="6442FC5F" w14:textId="51FC3ADD" w:rsidR="008446DE" w:rsidRPr="00422A8A" w:rsidRDefault="008446DE" w:rsidP="008446DE">
      <w:pPr>
        <w:pStyle w:val="BodyText"/>
        <w:numPr>
          <w:ilvl w:val="0"/>
          <w:numId w:val="2"/>
        </w:numPr>
        <w:rPr>
          <w:b/>
        </w:rPr>
      </w:pPr>
      <w:r>
        <w:rPr>
          <w:b/>
        </w:rPr>
        <w:lastRenderedPageBreak/>
        <w:t>Adopt Option 2 – “</w:t>
      </w:r>
      <w:r w:rsidRPr="008446DE">
        <w:rPr>
          <w:b/>
        </w:rPr>
        <w:t>UE can be scheduled UL transmission on both carrier 1 and carrier 2 for case 1 simultaneously</w:t>
      </w:r>
      <w:r>
        <w:rPr>
          <w:b/>
        </w:rPr>
        <w:t xml:space="preserve">” for </w:t>
      </w:r>
      <w:r w:rsidR="00EF09A9" w:rsidRPr="00EF09A9">
        <w:rPr>
          <w:b/>
        </w:rPr>
        <w:t>defining the condition and presence of switching periods for UL tx switching with CA case</w:t>
      </w:r>
      <w:r w:rsidR="00EF09A9">
        <w:rPr>
          <w:b/>
        </w:rPr>
        <w:t>.</w:t>
      </w:r>
    </w:p>
    <w:p w14:paraId="591A158D" w14:textId="77777777" w:rsidR="008446DE" w:rsidRDefault="008446DE" w:rsidP="0061036D">
      <w:pPr>
        <w:pStyle w:val="BodyText"/>
        <w:rPr>
          <w:b/>
          <w:bCs/>
          <w:u w:val="single"/>
        </w:rPr>
      </w:pPr>
    </w:p>
    <w:p w14:paraId="5DBD7ED2" w14:textId="77777777" w:rsidR="00693AE2" w:rsidRDefault="00693AE2" w:rsidP="00693AE2">
      <w:pPr>
        <w:pStyle w:val="Heading1"/>
      </w:pPr>
      <w:r>
        <w:t>Conclusions</w:t>
      </w:r>
    </w:p>
    <w:p w14:paraId="161C67F8" w14:textId="04B64875" w:rsidR="009A0C3C" w:rsidRDefault="00B60051" w:rsidP="00A06C15">
      <w:pPr>
        <w:pStyle w:val="BodyText"/>
        <w:rPr>
          <w:lang w:val="en-AU"/>
        </w:rPr>
      </w:pPr>
      <w:r>
        <w:rPr>
          <w:lang w:val="en-AU"/>
        </w:rPr>
        <w:t xml:space="preserve">In this document we discuss </w:t>
      </w:r>
      <w:r w:rsidR="00C54034">
        <w:rPr>
          <w:lang w:val="en-AU"/>
        </w:rPr>
        <w:t xml:space="preserve">some </w:t>
      </w:r>
      <w:r>
        <w:rPr>
          <w:lang w:val="en-AU"/>
        </w:rPr>
        <w:t xml:space="preserve">remaining </w:t>
      </w:r>
      <w:r w:rsidR="00C54034">
        <w:rPr>
          <w:lang w:val="en-AU"/>
        </w:rPr>
        <w:t>RAN1 aspects of UL tx switching and propose the following</w:t>
      </w:r>
    </w:p>
    <w:p w14:paraId="05DB661F" w14:textId="77777777" w:rsidR="00EF09A9" w:rsidRPr="00615F68" w:rsidRDefault="00EF09A9" w:rsidP="00EF09A9">
      <w:pPr>
        <w:pStyle w:val="BodyText"/>
        <w:rPr>
          <w:b/>
          <w:u w:val="single"/>
        </w:rPr>
      </w:pPr>
      <w:r w:rsidRPr="00615F68">
        <w:rPr>
          <w:b/>
          <w:u w:val="single"/>
        </w:rPr>
        <w:t>Proposal 1</w:t>
      </w:r>
    </w:p>
    <w:p w14:paraId="4CE954FB" w14:textId="77777777" w:rsidR="00EF09A9" w:rsidRDefault="00EF09A9" w:rsidP="00EF09A9">
      <w:pPr>
        <w:pStyle w:val="BodyText"/>
        <w:numPr>
          <w:ilvl w:val="0"/>
          <w:numId w:val="2"/>
        </w:numPr>
        <w:rPr>
          <w:b/>
        </w:rPr>
      </w:pPr>
      <w:r>
        <w:rPr>
          <w:b/>
        </w:rPr>
        <w:t>A</w:t>
      </w:r>
      <w:r w:rsidRPr="000C1F70">
        <w:rPr>
          <w:b/>
        </w:rPr>
        <w:t xml:space="preserve">dditional PUSCH preparation time </w:t>
      </w:r>
      <w:r>
        <w:rPr>
          <w:b/>
        </w:rPr>
        <w:t>due to UL tx switching is same as the s</w:t>
      </w:r>
      <w:r w:rsidRPr="000C1F70">
        <w:rPr>
          <w:b/>
        </w:rPr>
        <w:t>witching period discussed in RAN4</w:t>
      </w:r>
      <w:r>
        <w:rPr>
          <w:b/>
        </w:rPr>
        <w:t xml:space="preserve">. </w:t>
      </w:r>
    </w:p>
    <w:p w14:paraId="2E6DF0FC" w14:textId="2E825ABC" w:rsidR="00EF09A9" w:rsidRPr="00422A8A" w:rsidRDefault="00A127AF" w:rsidP="00EF09A9">
      <w:pPr>
        <w:pStyle w:val="BodyText"/>
        <w:numPr>
          <w:ilvl w:val="0"/>
          <w:numId w:val="2"/>
        </w:numPr>
        <w:rPr>
          <w:b/>
        </w:rPr>
      </w:pPr>
      <w:r>
        <w:rPr>
          <w:b/>
        </w:rPr>
        <w:t xml:space="preserve">For capturing the additional </w:t>
      </w:r>
      <w:r w:rsidRPr="000C1F70">
        <w:rPr>
          <w:b/>
        </w:rPr>
        <w:t xml:space="preserve">PUSCH preparation time </w:t>
      </w:r>
      <w:r>
        <w:rPr>
          <w:b/>
        </w:rPr>
        <w:t>in specifications, a</w:t>
      </w:r>
      <w:r w:rsidR="00EF09A9">
        <w:rPr>
          <w:b/>
        </w:rPr>
        <w:t xml:space="preserve">gree to </w:t>
      </w:r>
      <w:r>
        <w:rPr>
          <w:b/>
        </w:rPr>
        <w:t>the Text Proposal 1 for sub clause 6.4 in 38.214 shown below.</w:t>
      </w:r>
    </w:p>
    <w:p w14:paraId="2831B2F1" w14:textId="77777777" w:rsidR="00A127AF" w:rsidRDefault="00A127AF" w:rsidP="00A127AF">
      <w:pPr>
        <w:pStyle w:val="BodyText"/>
        <w:rPr>
          <w:b/>
          <w:bCs/>
          <w:u w:val="single"/>
        </w:rPr>
      </w:pPr>
    </w:p>
    <w:p w14:paraId="26E189F2" w14:textId="0172B260" w:rsidR="00A127AF" w:rsidRDefault="00A127AF" w:rsidP="00A127AF">
      <w:pPr>
        <w:pStyle w:val="BodyText"/>
        <w:rPr>
          <w:b/>
          <w:bCs/>
          <w:u w:val="single"/>
        </w:rPr>
      </w:pPr>
      <w:r w:rsidRPr="008446DE">
        <w:rPr>
          <w:b/>
          <w:bCs/>
          <w:u w:val="single"/>
        </w:rPr>
        <w:t>Proposal</w:t>
      </w:r>
      <w:r>
        <w:rPr>
          <w:b/>
          <w:bCs/>
          <w:u w:val="single"/>
        </w:rPr>
        <w:t xml:space="preserve"> 2</w:t>
      </w:r>
    </w:p>
    <w:p w14:paraId="3575C0D0" w14:textId="77777777" w:rsidR="00A127AF" w:rsidRPr="00422A8A" w:rsidRDefault="00A127AF" w:rsidP="00A127AF">
      <w:pPr>
        <w:pStyle w:val="BodyText"/>
        <w:numPr>
          <w:ilvl w:val="0"/>
          <w:numId w:val="2"/>
        </w:numPr>
        <w:rPr>
          <w:b/>
        </w:rPr>
      </w:pPr>
      <w:r>
        <w:rPr>
          <w:b/>
        </w:rPr>
        <w:t>Adopt Option 2 – “</w:t>
      </w:r>
      <w:r w:rsidRPr="008446DE">
        <w:rPr>
          <w:b/>
        </w:rPr>
        <w:t>UE can be scheduled UL transmission on both carrier 1 and carrier 2 for case 1 simultaneously</w:t>
      </w:r>
      <w:r>
        <w:rPr>
          <w:b/>
        </w:rPr>
        <w:t xml:space="preserve">” for </w:t>
      </w:r>
      <w:r w:rsidRPr="00EF09A9">
        <w:rPr>
          <w:b/>
        </w:rPr>
        <w:t xml:space="preserve">defining the condition and presence of switching periods for UL </w:t>
      </w:r>
      <w:proofErr w:type="spellStart"/>
      <w:r w:rsidRPr="00EF09A9">
        <w:rPr>
          <w:b/>
        </w:rPr>
        <w:t>tx</w:t>
      </w:r>
      <w:proofErr w:type="spellEnd"/>
      <w:r w:rsidRPr="00EF09A9">
        <w:rPr>
          <w:b/>
        </w:rPr>
        <w:t xml:space="preserve"> switching with CA case</w:t>
      </w:r>
      <w:r>
        <w:rPr>
          <w:b/>
        </w:rPr>
        <w:t>.</w:t>
      </w:r>
    </w:p>
    <w:p w14:paraId="0B534C59" w14:textId="49D1069C" w:rsidR="00EF09A9" w:rsidRDefault="00EF09A9" w:rsidP="00EF09A9">
      <w:pPr>
        <w:pStyle w:val="BodyText"/>
        <w:rPr>
          <w:b/>
          <w:bCs/>
          <w:u w:val="single"/>
        </w:rPr>
      </w:pPr>
    </w:p>
    <w:p w14:paraId="1A587562" w14:textId="6B120CCF" w:rsidR="00A127AF" w:rsidRDefault="00A127AF" w:rsidP="00A127AF">
      <w:pPr>
        <w:pStyle w:val="BodyText"/>
        <w:rPr>
          <w:b/>
          <w:bCs/>
          <w:u w:val="single"/>
        </w:rPr>
      </w:pPr>
      <w:r>
        <w:rPr>
          <w:b/>
          <w:bCs/>
          <w:u w:val="single"/>
        </w:rPr>
        <w:t>Text Proposal</w:t>
      </w:r>
      <w:r>
        <w:rPr>
          <w:b/>
          <w:bCs/>
          <w:u w:val="single"/>
        </w:rPr>
        <w:t xml:space="preserve"> </w:t>
      </w:r>
      <w:r>
        <w:rPr>
          <w:b/>
          <w:bCs/>
          <w:u w:val="single"/>
        </w:rPr>
        <w:t>1</w:t>
      </w:r>
    </w:p>
    <w:p w14:paraId="72F77535" w14:textId="77777777" w:rsidR="00A127AF" w:rsidRDefault="00A127AF" w:rsidP="00EF09A9">
      <w:pPr>
        <w:pStyle w:val="BodyText"/>
        <w:rPr>
          <w:b/>
          <w:bCs/>
          <w:u w:val="single"/>
        </w:rPr>
      </w:pPr>
    </w:p>
    <w:p w14:paraId="5302BAB0" w14:textId="77777777" w:rsidR="00A127AF" w:rsidRDefault="00A127AF" w:rsidP="00A127AF">
      <w:pPr>
        <w:pStyle w:val="BodyText"/>
      </w:pPr>
      <w:r>
        <w:t>--------------- start TP1 to sub clause 6.4 of TS 38.214 ------------------------------</w:t>
      </w:r>
    </w:p>
    <w:p w14:paraId="205AA8F2" w14:textId="19AD0E0E" w:rsidR="00A127AF" w:rsidRDefault="00A127AF" w:rsidP="00A127AF">
      <w:pPr>
        <w:ind w:left="284"/>
        <w:rPr>
          <w:rFonts w:ascii="Arial" w:hAnsi="Arial" w:cs="Arial"/>
          <w:color w:val="000000"/>
          <w:sz w:val="32"/>
          <w:szCs w:val="40"/>
        </w:rPr>
      </w:pPr>
      <w:r w:rsidRPr="00A127AF">
        <w:rPr>
          <w:rFonts w:ascii="Arial" w:hAnsi="Arial" w:cs="Arial"/>
          <w:color w:val="000000"/>
          <w:sz w:val="32"/>
          <w:szCs w:val="40"/>
        </w:rPr>
        <w:t>6.4</w:t>
      </w:r>
      <w:r w:rsidRPr="00A127AF">
        <w:rPr>
          <w:rFonts w:ascii="Arial" w:hAnsi="Arial" w:cs="Arial"/>
          <w:color w:val="000000"/>
          <w:sz w:val="32"/>
          <w:szCs w:val="40"/>
        </w:rPr>
        <w:tab/>
        <w:t>UE PUSCH preparation procedure time</w:t>
      </w:r>
    </w:p>
    <w:p w14:paraId="1F0100C3" w14:textId="77777777" w:rsidR="00A127AF" w:rsidRDefault="00A127AF" w:rsidP="00A127AF">
      <w:pPr>
        <w:ind w:left="284"/>
        <w:rPr>
          <w:color w:val="000000"/>
        </w:rPr>
      </w:pPr>
    </w:p>
    <w:p w14:paraId="2AC0DB70" w14:textId="7FEF74A4" w:rsidR="00A127AF" w:rsidRPr="0048482F" w:rsidRDefault="00A127AF" w:rsidP="00A127AF">
      <w:pPr>
        <w:ind w:left="284"/>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3E0E94">
        <w:rPr>
          <w:strike/>
          <w:color w:val="000000"/>
          <w:position w:val="-16"/>
        </w:rPr>
        <w:object w:dxaOrig="4760" w:dyaOrig="440" w14:anchorId="0430C8BA">
          <v:shape id="_x0000_i1051" type="#_x0000_t75" style="width:245pt;height:22pt" o:ole="">
            <v:imagedata r:id="rId9" o:title=""/>
          </v:shape>
          <o:OLEObject Type="Embed" ProgID="Equation.DSMT4" ShapeID="_x0000_i1051" DrawAspect="Content" ObjectID="_1643227724" r:id="rId26"/>
        </w:object>
      </w:r>
      <w:r w:rsidRPr="003E0E94">
        <w:rPr>
          <w:color w:val="C00000"/>
          <w:position w:val="-16"/>
          <w:u w:val="single"/>
        </w:rPr>
        <w:object w:dxaOrig="5460" w:dyaOrig="440" w14:anchorId="5E912C35">
          <v:shape id="_x0000_i1052" type="#_x0000_t75" style="width:272pt;height:22pt" o:ole="">
            <v:imagedata r:id="rId11" o:title=""/>
          </v:shape>
          <o:OLEObject Type="Embed" ProgID="Equation.DSMT4" ShapeID="_x0000_i1052" DrawAspect="Content" ObjectID="_1643227725" r:id="rId27"/>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43AF27F0" w14:textId="77777777" w:rsidR="00A127AF" w:rsidRPr="0048482F" w:rsidRDefault="00A127AF" w:rsidP="00A127AF">
      <w:pPr>
        <w:pStyle w:val="B1"/>
        <w:ind w:left="852"/>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319BEA45" w14:textId="77777777" w:rsidR="00A127AF" w:rsidRDefault="00A127AF" w:rsidP="00A127AF">
      <w:pPr>
        <w:pStyle w:val="B1"/>
        <w:ind w:left="852"/>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57728DD" w14:textId="77777777" w:rsidR="00A127AF" w:rsidRDefault="00A127AF" w:rsidP="00A127AF">
      <w:pPr>
        <w:pStyle w:val="B1"/>
        <w:ind w:left="852"/>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07679149" w14:textId="77777777" w:rsidR="00A127AF" w:rsidRDefault="00A127AF" w:rsidP="00A127AF">
      <w:pPr>
        <w:pStyle w:val="B1"/>
        <w:ind w:left="852"/>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2B3D5FAF" w14:textId="77777777" w:rsidR="00A127AF" w:rsidRPr="00E11EC0" w:rsidRDefault="00A127AF" w:rsidP="00A127AF">
      <w:pPr>
        <w:pStyle w:val="B1"/>
        <w:ind w:left="852"/>
        <w:rPr>
          <w:color w:val="000000"/>
        </w:rPr>
      </w:pPr>
      <w:r>
        <w:rPr>
          <w:lang w:val="en-AU"/>
        </w:rPr>
        <w:t>-</w:t>
      </w:r>
      <w:r>
        <w:rPr>
          <w:lang w:val="en-AU"/>
        </w:rPr>
        <w:tab/>
      </w:r>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p>
    <w:p w14:paraId="6C8C7EF5" w14:textId="77777777" w:rsidR="00A127AF" w:rsidRDefault="00A127AF" w:rsidP="00A127AF">
      <w:pPr>
        <w:pStyle w:val="B1"/>
        <w:ind w:left="852"/>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64EF7AA8" w14:textId="77777777" w:rsidR="00A127AF" w:rsidRPr="002B22E7" w:rsidRDefault="00A127AF" w:rsidP="00A127AF">
      <w:pPr>
        <w:pStyle w:val="B1"/>
        <w:ind w:left="852"/>
        <w:rPr>
          <w:lang w:val="en-US"/>
        </w:rPr>
      </w:pPr>
      <w:r w:rsidRPr="55ABD066">
        <w:rPr>
          <w:lang w:val="en-AU"/>
        </w:rPr>
        <w:lastRenderedPageBreak/>
        <w:t>-</w:t>
      </w:r>
      <w:r>
        <w:rPr>
          <w:lang w:val="en-AU"/>
        </w:rPr>
        <w:tab/>
      </w:r>
      <w:r w:rsidRPr="003E0E94">
        <w:rPr>
          <w:color w:val="C00000"/>
          <w:lang w:val="en-AU"/>
        </w:rPr>
        <w:t xml:space="preserve">If the UE is configured with multiple uplink carriers or EN-DC, and configured with a switching gap for the serving cell with the PUSCH transmission,   </w:t>
      </w:r>
      <w:r w:rsidRPr="003E0E94">
        <w:rPr>
          <w:color w:val="C00000"/>
          <w:position w:val="-12"/>
        </w:rPr>
        <w:object w:dxaOrig="540" w:dyaOrig="360" w14:anchorId="0259E6A4">
          <v:shape id="_x0000_i1053" type="#_x0000_t75" style="width:22.5pt;height:15pt" o:ole="">
            <v:imagedata r:id="rId13" o:title=""/>
          </v:shape>
          <o:OLEObject Type="Embed" ProgID="Equation.DSMT4" ShapeID="_x0000_i1053" DrawAspect="Content" ObjectID="_1643227726" r:id="rId28"/>
        </w:object>
      </w:r>
      <w:r w:rsidRPr="003E0E94">
        <w:rPr>
          <w:color w:val="C00000"/>
          <w:lang w:val="en-US"/>
        </w:rPr>
        <w:t xml:space="preserve"> is given by the parameter </w:t>
      </w:r>
      <w:r>
        <w:rPr>
          <w:color w:val="C00000"/>
          <w:lang w:val="en-US"/>
        </w:rPr>
        <w:t>&lt;</w:t>
      </w:r>
      <w:r w:rsidRPr="003E0E94">
        <w:rPr>
          <w:i/>
          <w:iCs/>
          <w:color w:val="C00000"/>
          <w:lang w:val="en-US"/>
        </w:rPr>
        <w:t>switching_time_case1_case2</w:t>
      </w:r>
      <w:r>
        <w:rPr>
          <w:i/>
          <w:iCs/>
          <w:color w:val="C00000"/>
          <w:lang w:val="en-US"/>
        </w:rPr>
        <w:t>&gt;</w:t>
      </w:r>
      <w:r w:rsidRPr="003E0E94">
        <w:rPr>
          <w:color w:val="C00000"/>
          <w:lang w:val="en-US"/>
        </w:rPr>
        <w:t xml:space="preserve"> supported by the UE; otherwise </w:t>
      </w:r>
      <w:r w:rsidRPr="003E0E94">
        <w:rPr>
          <w:color w:val="C00000"/>
          <w:position w:val="-12"/>
        </w:rPr>
        <w:object w:dxaOrig="920" w:dyaOrig="360" w14:anchorId="4DF1DEF2">
          <v:shape id="_x0000_i1054" type="#_x0000_t75" style="width:38pt;height:15pt" o:ole="">
            <v:imagedata r:id="rId15" o:title=""/>
          </v:shape>
          <o:OLEObject Type="Embed" ProgID="Equation.DSMT4" ShapeID="_x0000_i1054" DrawAspect="Content" ObjectID="_1643227727" r:id="rId29"/>
        </w:object>
      </w:r>
    </w:p>
    <w:p w14:paraId="52417066" w14:textId="77777777" w:rsidR="00A127AF" w:rsidRDefault="00A127AF" w:rsidP="00A127AF">
      <w:pPr>
        <w:ind w:left="284"/>
        <w:rPr>
          <w:color w:val="000000"/>
          <w:lang w:val="en-AU"/>
        </w:rPr>
      </w:pPr>
      <w:r w:rsidRPr="0048482F">
        <w:rPr>
          <w:color w:val="000000"/>
          <w:lang w:val="en-AU"/>
        </w:rPr>
        <w:t xml:space="preserve">Otherwise the UE may ignore the scheduling DCI. </w:t>
      </w:r>
    </w:p>
    <w:p w14:paraId="3381CC14" w14:textId="57F9E989" w:rsidR="00A127AF" w:rsidRDefault="00A127AF" w:rsidP="00A127AF">
      <w:pPr>
        <w:pStyle w:val="BodyText"/>
        <w:ind w:left="720"/>
      </w:pPr>
    </w:p>
    <w:p w14:paraId="29811D17" w14:textId="7D2E576E" w:rsidR="00A127AF" w:rsidRPr="00A127AF" w:rsidRDefault="00A127AF" w:rsidP="00A127AF">
      <w:pPr>
        <w:pStyle w:val="BodyText"/>
        <w:rPr>
          <w:color w:val="C00000"/>
        </w:rPr>
      </w:pPr>
      <w:r w:rsidRPr="00A127AF">
        <w:rPr>
          <w:color w:val="C00000"/>
        </w:rPr>
        <w:t>&lt;unchanged part omitted&gt;</w:t>
      </w:r>
    </w:p>
    <w:p w14:paraId="157ED8A3" w14:textId="77777777" w:rsidR="00A127AF" w:rsidRDefault="00A127AF" w:rsidP="00A127AF">
      <w:pPr>
        <w:pStyle w:val="BodyText"/>
      </w:pPr>
      <w:r>
        <w:t>------------------- end TP1 ---------------------------------------</w:t>
      </w:r>
    </w:p>
    <w:p w14:paraId="25A9F535" w14:textId="77777777" w:rsidR="00A127AF" w:rsidRPr="003A5DC6" w:rsidRDefault="00A127AF" w:rsidP="00EF09A9">
      <w:pPr>
        <w:pStyle w:val="BodyText"/>
      </w:pPr>
    </w:p>
    <w:p w14:paraId="0F83334F" w14:textId="77777777" w:rsidR="00693AE2" w:rsidRDefault="00693AE2" w:rsidP="00693AE2">
      <w:pPr>
        <w:pStyle w:val="Heading1"/>
      </w:pPr>
      <w:r>
        <w:t>References</w:t>
      </w:r>
    </w:p>
    <w:p w14:paraId="180E0CE1" w14:textId="7EDE1C0C" w:rsidR="00C54034" w:rsidRPr="00C54034" w:rsidRDefault="00942632" w:rsidP="00C54034">
      <w:pPr>
        <w:pStyle w:val="BodyText"/>
      </w:pPr>
      <w:r>
        <w:t>[</w:t>
      </w:r>
      <w:r w:rsidR="003A38AF">
        <w:t>1</w:t>
      </w:r>
      <w:r>
        <w:t xml:space="preserve">] </w:t>
      </w:r>
      <w:r w:rsidR="00C54034" w:rsidRPr="00C54034">
        <w:rPr>
          <w:rFonts w:eastAsia="Times New Roman"/>
          <w:lang w:eastAsia="x-none"/>
        </w:rPr>
        <w:t>R1-1911810</w:t>
      </w:r>
      <w:r w:rsidR="007A714B">
        <w:rPr>
          <w:lang w:val="de-DE"/>
        </w:rPr>
        <w:t xml:space="preserve"> – </w:t>
      </w:r>
      <w:r w:rsidR="007A714B">
        <w:t>“</w:t>
      </w:r>
      <w:r w:rsidR="00C54034" w:rsidRPr="00C54034">
        <w:rPr>
          <w:rFonts w:eastAsia="Times New Roman"/>
          <w:lang w:eastAsia="x-none"/>
        </w:rPr>
        <w:t>LS on switching period between case 1 and case 2</w:t>
      </w:r>
      <w:r w:rsidR="007A714B">
        <w:t xml:space="preserve">”, </w:t>
      </w:r>
      <w:r w:rsidR="00C54034">
        <w:t xml:space="preserve">RAN4 </w:t>
      </w:r>
      <w:r w:rsidR="00C54034">
        <w:rPr>
          <w:rFonts w:ascii="Wingdings" w:eastAsia="Wingdings" w:hAnsi="Wingdings" w:cs="Wingdings"/>
        </w:rPr>
        <w:t></w:t>
      </w:r>
      <w:r w:rsidR="00C54034">
        <w:t xml:space="preserve"> RAN1 LS, RAN1#99, Reno, USA, November 2019.</w:t>
      </w:r>
    </w:p>
    <w:p w14:paraId="780EA89A" w14:textId="22A70D8A" w:rsidR="00942632" w:rsidRDefault="00E96CF9" w:rsidP="005D0E9A">
      <w:pPr>
        <w:pStyle w:val="BodyText"/>
      </w:pPr>
      <w:r>
        <w:t xml:space="preserve">[2] </w:t>
      </w:r>
      <w:r w:rsidR="00C54034" w:rsidRPr="00C54034">
        <w:t>R1-2000028</w:t>
      </w:r>
      <w:r>
        <w:t xml:space="preserve"> – “</w:t>
      </w:r>
      <w:r w:rsidR="00C54034" w:rsidRPr="00C54034">
        <w:t xml:space="preserve">LS on UE capabilities and RRC </w:t>
      </w:r>
      <w:r w:rsidR="000F1A6D" w:rsidRPr="00C54034">
        <w:t>signaling</w:t>
      </w:r>
      <w:r w:rsidR="00C54034" w:rsidRPr="00C54034">
        <w:t xml:space="preserve"> on Tx switching period delay</w:t>
      </w:r>
      <w:r>
        <w:t xml:space="preserve">”, </w:t>
      </w:r>
      <w:r w:rsidR="00C54034">
        <w:t xml:space="preserve">RAN4 </w:t>
      </w:r>
      <w:r w:rsidR="00C54034">
        <w:rPr>
          <w:rFonts w:ascii="Wingdings" w:eastAsia="Wingdings" w:hAnsi="Wingdings" w:cs="Wingdings"/>
        </w:rPr>
        <w:t></w:t>
      </w:r>
      <w:r w:rsidR="00C54034">
        <w:t xml:space="preserve"> RAN2 (cc RAN1) LS, RAN1#100-e, February 2020.</w:t>
      </w:r>
    </w:p>
    <w:sectPr w:rsidR="00942632">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74C29" w14:textId="77777777" w:rsidR="008B064A" w:rsidRDefault="008B064A">
      <w:r>
        <w:separator/>
      </w:r>
    </w:p>
  </w:endnote>
  <w:endnote w:type="continuationSeparator" w:id="0">
    <w:p w14:paraId="0F50323E" w14:textId="77777777" w:rsidR="008B064A" w:rsidRDefault="008B064A">
      <w:r>
        <w:continuationSeparator/>
      </w:r>
    </w:p>
  </w:endnote>
  <w:endnote w:type="continuationNotice" w:id="1">
    <w:p w14:paraId="413D1B8A" w14:textId="77777777" w:rsidR="008B064A" w:rsidRDefault="008B0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741DBD" w:rsidRDefault="00741D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741DBD" w:rsidRDefault="00741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BCE6E" w14:textId="77777777" w:rsidR="008B064A" w:rsidRDefault="008B064A">
      <w:r>
        <w:separator/>
      </w:r>
    </w:p>
  </w:footnote>
  <w:footnote w:type="continuationSeparator" w:id="0">
    <w:p w14:paraId="57DE54E6" w14:textId="77777777" w:rsidR="008B064A" w:rsidRDefault="008B064A">
      <w:r>
        <w:continuationSeparator/>
      </w:r>
    </w:p>
  </w:footnote>
  <w:footnote w:type="continuationNotice" w:id="1">
    <w:p w14:paraId="4FA6ECB3" w14:textId="77777777" w:rsidR="008B064A" w:rsidRDefault="008B06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741DBD" w:rsidRDefault="00741DBD"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9047D"/>
    <w:multiLevelType w:val="hybridMultilevel"/>
    <w:tmpl w:val="9882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5560A"/>
    <w:multiLevelType w:val="hybridMultilevel"/>
    <w:tmpl w:val="1DC6A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B2169"/>
    <w:multiLevelType w:val="hybridMultilevel"/>
    <w:tmpl w:val="D6D66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83CC7"/>
    <w:multiLevelType w:val="hybridMultilevel"/>
    <w:tmpl w:val="D6D07B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B626C8D"/>
    <w:multiLevelType w:val="hybridMultilevel"/>
    <w:tmpl w:val="79A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6"/>
  </w:num>
  <w:num w:numId="2">
    <w:abstractNumId w:val="8"/>
  </w:num>
  <w:num w:numId="3">
    <w:abstractNumId w:val="13"/>
  </w:num>
  <w:num w:numId="4">
    <w:abstractNumId w:val="6"/>
  </w:num>
  <w:num w:numId="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17"/>
  </w:num>
  <w:num w:numId="11">
    <w:abstractNumId w:val="0"/>
  </w:num>
  <w:num w:numId="12">
    <w:abstractNumId w:val="2"/>
  </w:num>
  <w:num w:numId="13">
    <w:abstractNumId w:val="14"/>
  </w:num>
  <w:num w:numId="14">
    <w:abstractNumId w:val="9"/>
  </w:num>
  <w:num w:numId="15">
    <w:abstractNumId w:val="1"/>
  </w:num>
  <w:num w:numId="16">
    <w:abstractNumId w:val="11"/>
  </w:num>
  <w:num w:numId="17">
    <w:abstractNumId w:val="4"/>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7E0"/>
    <w:rsid w:val="00052317"/>
    <w:rsid w:val="0005603D"/>
    <w:rsid w:val="00061200"/>
    <w:rsid w:val="00062E56"/>
    <w:rsid w:val="00064EC6"/>
    <w:rsid w:val="000737DE"/>
    <w:rsid w:val="00073B5E"/>
    <w:rsid w:val="0008138D"/>
    <w:rsid w:val="00081CD0"/>
    <w:rsid w:val="000837A5"/>
    <w:rsid w:val="00083D17"/>
    <w:rsid w:val="00093A2C"/>
    <w:rsid w:val="00094B85"/>
    <w:rsid w:val="000A0C10"/>
    <w:rsid w:val="000A3160"/>
    <w:rsid w:val="000B5C4B"/>
    <w:rsid w:val="000C008D"/>
    <w:rsid w:val="000C1F70"/>
    <w:rsid w:val="000C4F19"/>
    <w:rsid w:val="000C7ACA"/>
    <w:rsid w:val="000C7DE2"/>
    <w:rsid w:val="000D018B"/>
    <w:rsid w:val="000D20C9"/>
    <w:rsid w:val="000D5B50"/>
    <w:rsid w:val="000E09E0"/>
    <w:rsid w:val="000E2535"/>
    <w:rsid w:val="000E324D"/>
    <w:rsid w:val="000E3CCE"/>
    <w:rsid w:val="000E4FE4"/>
    <w:rsid w:val="000E7A4A"/>
    <w:rsid w:val="000F10A0"/>
    <w:rsid w:val="000F14DF"/>
    <w:rsid w:val="000F1A6D"/>
    <w:rsid w:val="000F2D92"/>
    <w:rsid w:val="000F3F71"/>
    <w:rsid w:val="000F4425"/>
    <w:rsid w:val="00103353"/>
    <w:rsid w:val="00107F79"/>
    <w:rsid w:val="001108E3"/>
    <w:rsid w:val="001161C3"/>
    <w:rsid w:val="00120E82"/>
    <w:rsid w:val="00127CCA"/>
    <w:rsid w:val="001303E8"/>
    <w:rsid w:val="001325EC"/>
    <w:rsid w:val="0013767B"/>
    <w:rsid w:val="00145657"/>
    <w:rsid w:val="001544FE"/>
    <w:rsid w:val="00154C7A"/>
    <w:rsid w:val="00156C7A"/>
    <w:rsid w:val="00167C21"/>
    <w:rsid w:val="00175AB4"/>
    <w:rsid w:val="0018342A"/>
    <w:rsid w:val="0019059E"/>
    <w:rsid w:val="001908C8"/>
    <w:rsid w:val="0019555F"/>
    <w:rsid w:val="001967F3"/>
    <w:rsid w:val="001A10D5"/>
    <w:rsid w:val="001A2D6D"/>
    <w:rsid w:val="001B0E82"/>
    <w:rsid w:val="001B4063"/>
    <w:rsid w:val="001C1C66"/>
    <w:rsid w:val="001D00C3"/>
    <w:rsid w:val="001D3B44"/>
    <w:rsid w:val="001D6A97"/>
    <w:rsid w:val="001E58D1"/>
    <w:rsid w:val="001F41A7"/>
    <w:rsid w:val="001F4FF4"/>
    <w:rsid w:val="001F509B"/>
    <w:rsid w:val="001F5C70"/>
    <w:rsid w:val="001F6A50"/>
    <w:rsid w:val="001F7948"/>
    <w:rsid w:val="0020180D"/>
    <w:rsid w:val="0020626A"/>
    <w:rsid w:val="00207ABF"/>
    <w:rsid w:val="00207F92"/>
    <w:rsid w:val="00211938"/>
    <w:rsid w:val="0022600C"/>
    <w:rsid w:val="0023089B"/>
    <w:rsid w:val="00235CB6"/>
    <w:rsid w:val="00235FA3"/>
    <w:rsid w:val="00235FEA"/>
    <w:rsid w:val="00237486"/>
    <w:rsid w:val="00241034"/>
    <w:rsid w:val="002421E0"/>
    <w:rsid w:val="002517F8"/>
    <w:rsid w:val="0025694B"/>
    <w:rsid w:val="00263055"/>
    <w:rsid w:val="00263EBB"/>
    <w:rsid w:val="00264760"/>
    <w:rsid w:val="00265C5C"/>
    <w:rsid w:val="00266ABE"/>
    <w:rsid w:val="00281F44"/>
    <w:rsid w:val="00285C74"/>
    <w:rsid w:val="00286494"/>
    <w:rsid w:val="00295192"/>
    <w:rsid w:val="002A2115"/>
    <w:rsid w:val="002A2B86"/>
    <w:rsid w:val="002B2067"/>
    <w:rsid w:val="002B22E7"/>
    <w:rsid w:val="002B2A60"/>
    <w:rsid w:val="002C46BE"/>
    <w:rsid w:val="002E138F"/>
    <w:rsid w:val="002E2EFF"/>
    <w:rsid w:val="002E3CE3"/>
    <w:rsid w:val="002F3F00"/>
    <w:rsid w:val="002F7AF7"/>
    <w:rsid w:val="00305716"/>
    <w:rsid w:val="00307EF7"/>
    <w:rsid w:val="00324BAE"/>
    <w:rsid w:val="00325DE9"/>
    <w:rsid w:val="00334517"/>
    <w:rsid w:val="0033492C"/>
    <w:rsid w:val="00334C90"/>
    <w:rsid w:val="00335959"/>
    <w:rsid w:val="00342945"/>
    <w:rsid w:val="00342C7C"/>
    <w:rsid w:val="003549BE"/>
    <w:rsid w:val="003564F1"/>
    <w:rsid w:val="003600D4"/>
    <w:rsid w:val="0036242B"/>
    <w:rsid w:val="0036247C"/>
    <w:rsid w:val="00362E82"/>
    <w:rsid w:val="00364EA1"/>
    <w:rsid w:val="0036734D"/>
    <w:rsid w:val="00371645"/>
    <w:rsid w:val="003736DD"/>
    <w:rsid w:val="0037786F"/>
    <w:rsid w:val="00377C49"/>
    <w:rsid w:val="00381D36"/>
    <w:rsid w:val="00385D4C"/>
    <w:rsid w:val="00390355"/>
    <w:rsid w:val="0039533E"/>
    <w:rsid w:val="00395869"/>
    <w:rsid w:val="003970C1"/>
    <w:rsid w:val="003A0B2C"/>
    <w:rsid w:val="003A21F3"/>
    <w:rsid w:val="003A3145"/>
    <w:rsid w:val="003A38AF"/>
    <w:rsid w:val="003A438C"/>
    <w:rsid w:val="003A5DC6"/>
    <w:rsid w:val="003B2B72"/>
    <w:rsid w:val="003C13A9"/>
    <w:rsid w:val="003C15DD"/>
    <w:rsid w:val="003C3998"/>
    <w:rsid w:val="003D7BCB"/>
    <w:rsid w:val="003D7CA5"/>
    <w:rsid w:val="003E066E"/>
    <w:rsid w:val="003E0E94"/>
    <w:rsid w:val="003E32E0"/>
    <w:rsid w:val="003E3514"/>
    <w:rsid w:val="003E434B"/>
    <w:rsid w:val="003E59B9"/>
    <w:rsid w:val="003E7524"/>
    <w:rsid w:val="003F1DD5"/>
    <w:rsid w:val="003F1F60"/>
    <w:rsid w:val="003F44F1"/>
    <w:rsid w:val="003F4B6A"/>
    <w:rsid w:val="003F7487"/>
    <w:rsid w:val="00407067"/>
    <w:rsid w:val="0041138D"/>
    <w:rsid w:val="00411937"/>
    <w:rsid w:val="00414168"/>
    <w:rsid w:val="004168B2"/>
    <w:rsid w:val="00416929"/>
    <w:rsid w:val="0042002D"/>
    <w:rsid w:val="00420C5A"/>
    <w:rsid w:val="004226B9"/>
    <w:rsid w:val="00422A8A"/>
    <w:rsid w:val="004241C9"/>
    <w:rsid w:val="0042613F"/>
    <w:rsid w:val="004324D4"/>
    <w:rsid w:val="004331D2"/>
    <w:rsid w:val="00434CA7"/>
    <w:rsid w:val="00436517"/>
    <w:rsid w:val="00437317"/>
    <w:rsid w:val="00441653"/>
    <w:rsid w:val="00442E27"/>
    <w:rsid w:val="00447526"/>
    <w:rsid w:val="004508CB"/>
    <w:rsid w:val="00451AF0"/>
    <w:rsid w:val="00453124"/>
    <w:rsid w:val="0045325A"/>
    <w:rsid w:val="00456D3D"/>
    <w:rsid w:val="004629D5"/>
    <w:rsid w:val="004663E5"/>
    <w:rsid w:val="00474BB9"/>
    <w:rsid w:val="004803B3"/>
    <w:rsid w:val="00486383"/>
    <w:rsid w:val="00492614"/>
    <w:rsid w:val="00494027"/>
    <w:rsid w:val="00495E7F"/>
    <w:rsid w:val="004962F7"/>
    <w:rsid w:val="004A54AF"/>
    <w:rsid w:val="004A6C42"/>
    <w:rsid w:val="004C259B"/>
    <w:rsid w:val="004C26E8"/>
    <w:rsid w:val="004C46C5"/>
    <w:rsid w:val="004C7F11"/>
    <w:rsid w:val="004D4E2A"/>
    <w:rsid w:val="004D52F8"/>
    <w:rsid w:val="004D750C"/>
    <w:rsid w:val="004F03A6"/>
    <w:rsid w:val="004F0DEA"/>
    <w:rsid w:val="005005F4"/>
    <w:rsid w:val="00504A2E"/>
    <w:rsid w:val="00504F4A"/>
    <w:rsid w:val="0051324C"/>
    <w:rsid w:val="005145AC"/>
    <w:rsid w:val="00515140"/>
    <w:rsid w:val="0051562B"/>
    <w:rsid w:val="0051638B"/>
    <w:rsid w:val="00516926"/>
    <w:rsid w:val="00532F60"/>
    <w:rsid w:val="00546493"/>
    <w:rsid w:val="00550C2A"/>
    <w:rsid w:val="0055129B"/>
    <w:rsid w:val="00557460"/>
    <w:rsid w:val="00563504"/>
    <w:rsid w:val="00565F92"/>
    <w:rsid w:val="005702FC"/>
    <w:rsid w:val="00572C08"/>
    <w:rsid w:val="00574209"/>
    <w:rsid w:val="0057434A"/>
    <w:rsid w:val="00574DE4"/>
    <w:rsid w:val="00582D43"/>
    <w:rsid w:val="00586871"/>
    <w:rsid w:val="00595988"/>
    <w:rsid w:val="005B159D"/>
    <w:rsid w:val="005B3D19"/>
    <w:rsid w:val="005B7316"/>
    <w:rsid w:val="005C32F2"/>
    <w:rsid w:val="005C3DE7"/>
    <w:rsid w:val="005C5D37"/>
    <w:rsid w:val="005C76A7"/>
    <w:rsid w:val="005D0487"/>
    <w:rsid w:val="005D0E9A"/>
    <w:rsid w:val="005D17E1"/>
    <w:rsid w:val="005D5E0E"/>
    <w:rsid w:val="005D5F2E"/>
    <w:rsid w:val="005E4200"/>
    <w:rsid w:val="005E5872"/>
    <w:rsid w:val="005F0FA4"/>
    <w:rsid w:val="005F10C4"/>
    <w:rsid w:val="0060597C"/>
    <w:rsid w:val="0061036D"/>
    <w:rsid w:val="0061080D"/>
    <w:rsid w:val="00612944"/>
    <w:rsid w:val="00615CD9"/>
    <w:rsid w:val="00615F68"/>
    <w:rsid w:val="00621EA9"/>
    <w:rsid w:val="006230FD"/>
    <w:rsid w:val="006263F7"/>
    <w:rsid w:val="006328B9"/>
    <w:rsid w:val="006374C9"/>
    <w:rsid w:val="00640F17"/>
    <w:rsid w:val="00640FE3"/>
    <w:rsid w:val="006425AF"/>
    <w:rsid w:val="006435D9"/>
    <w:rsid w:val="00644F75"/>
    <w:rsid w:val="006516B6"/>
    <w:rsid w:val="00651D01"/>
    <w:rsid w:val="00651E5A"/>
    <w:rsid w:val="00657D45"/>
    <w:rsid w:val="00665106"/>
    <w:rsid w:val="0066779C"/>
    <w:rsid w:val="0067552F"/>
    <w:rsid w:val="00675726"/>
    <w:rsid w:val="00675A7D"/>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4556"/>
    <w:rsid w:val="006D4577"/>
    <w:rsid w:val="006D7C88"/>
    <w:rsid w:val="006E2A5F"/>
    <w:rsid w:val="006E7403"/>
    <w:rsid w:val="006F5EA0"/>
    <w:rsid w:val="00700913"/>
    <w:rsid w:val="00700FC4"/>
    <w:rsid w:val="00703B38"/>
    <w:rsid w:val="007046AD"/>
    <w:rsid w:val="007064E9"/>
    <w:rsid w:val="00710873"/>
    <w:rsid w:val="00712274"/>
    <w:rsid w:val="00712F97"/>
    <w:rsid w:val="007139E4"/>
    <w:rsid w:val="00715866"/>
    <w:rsid w:val="00723460"/>
    <w:rsid w:val="00723DD9"/>
    <w:rsid w:val="00724A53"/>
    <w:rsid w:val="007258AB"/>
    <w:rsid w:val="00734D2A"/>
    <w:rsid w:val="007358C7"/>
    <w:rsid w:val="00741DBD"/>
    <w:rsid w:val="007437A3"/>
    <w:rsid w:val="00746EF3"/>
    <w:rsid w:val="00747451"/>
    <w:rsid w:val="007476A7"/>
    <w:rsid w:val="007524E9"/>
    <w:rsid w:val="00753DCF"/>
    <w:rsid w:val="00756F1E"/>
    <w:rsid w:val="00761AF0"/>
    <w:rsid w:val="00773F19"/>
    <w:rsid w:val="007753E7"/>
    <w:rsid w:val="0077559C"/>
    <w:rsid w:val="00775904"/>
    <w:rsid w:val="007762BC"/>
    <w:rsid w:val="00776A46"/>
    <w:rsid w:val="00784DA7"/>
    <w:rsid w:val="00790A6C"/>
    <w:rsid w:val="00792051"/>
    <w:rsid w:val="00795B94"/>
    <w:rsid w:val="007966CD"/>
    <w:rsid w:val="00796716"/>
    <w:rsid w:val="00797136"/>
    <w:rsid w:val="007A3E18"/>
    <w:rsid w:val="007A714B"/>
    <w:rsid w:val="007B188C"/>
    <w:rsid w:val="007B1F32"/>
    <w:rsid w:val="007B56B3"/>
    <w:rsid w:val="007C39B2"/>
    <w:rsid w:val="007D04AE"/>
    <w:rsid w:val="007D1267"/>
    <w:rsid w:val="007D149D"/>
    <w:rsid w:val="007D18A5"/>
    <w:rsid w:val="007D2A8E"/>
    <w:rsid w:val="007D3F4D"/>
    <w:rsid w:val="007D663F"/>
    <w:rsid w:val="007D7B07"/>
    <w:rsid w:val="007E0EE1"/>
    <w:rsid w:val="007E193F"/>
    <w:rsid w:val="007E293D"/>
    <w:rsid w:val="007F24E3"/>
    <w:rsid w:val="007F3E10"/>
    <w:rsid w:val="007F42AE"/>
    <w:rsid w:val="007F6D5A"/>
    <w:rsid w:val="00805DE1"/>
    <w:rsid w:val="0080779E"/>
    <w:rsid w:val="00807979"/>
    <w:rsid w:val="008153BA"/>
    <w:rsid w:val="00817201"/>
    <w:rsid w:val="00826CA1"/>
    <w:rsid w:val="0083521B"/>
    <w:rsid w:val="008367D3"/>
    <w:rsid w:val="00842FDC"/>
    <w:rsid w:val="008446DE"/>
    <w:rsid w:val="008459B6"/>
    <w:rsid w:val="00845F3D"/>
    <w:rsid w:val="008461B2"/>
    <w:rsid w:val="008654CB"/>
    <w:rsid w:val="00865A1E"/>
    <w:rsid w:val="00866D6C"/>
    <w:rsid w:val="00866FB9"/>
    <w:rsid w:val="008671B7"/>
    <w:rsid w:val="008679C7"/>
    <w:rsid w:val="008867AD"/>
    <w:rsid w:val="00886D68"/>
    <w:rsid w:val="008950EF"/>
    <w:rsid w:val="008A31AF"/>
    <w:rsid w:val="008A3EDE"/>
    <w:rsid w:val="008A5E4A"/>
    <w:rsid w:val="008B064A"/>
    <w:rsid w:val="008B3609"/>
    <w:rsid w:val="008B6C5D"/>
    <w:rsid w:val="008C173A"/>
    <w:rsid w:val="008C7AFA"/>
    <w:rsid w:val="008E32DE"/>
    <w:rsid w:val="008E5DFE"/>
    <w:rsid w:val="008F3BE6"/>
    <w:rsid w:val="008F432B"/>
    <w:rsid w:val="00902CBC"/>
    <w:rsid w:val="00903CF7"/>
    <w:rsid w:val="00910650"/>
    <w:rsid w:val="00916D7D"/>
    <w:rsid w:val="00917BA3"/>
    <w:rsid w:val="009217C7"/>
    <w:rsid w:val="00921DBE"/>
    <w:rsid w:val="00923456"/>
    <w:rsid w:val="00926862"/>
    <w:rsid w:val="0093150A"/>
    <w:rsid w:val="00933022"/>
    <w:rsid w:val="009350E2"/>
    <w:rsid w:val="00942632"/>
    <w:rsid w:val="00954C63"/>
    <w:rsid w:val="00954F50"/>
    <w:rsid w:val="009561CB"/>
    <w:rsid w:val="009565A2"/>
    <w:rsid w:val="00957CCD"/>
    <w:rsid w:val="009627F8"/>
    <w:rsid w:val="00962CF0"/>
    <w:rsid w:val="009637DA"/>
    <w:rsid w:val="00963F86"/>
    <w:rsid w:val="00964F39"/>
    <w:rsid w:val="00972C70"/>
    <w:rsid w:val="00975562"/>
    <w:rsid w:val="0098186A"/>
    <w:rsid w:val="009846A5"/>
    <w:rsid w:val="00987C6C"/>
    <w:rsid w:val="00991748"/>
    <w:rsid w:val="00994211"/>
    <w:rsid w:val="0099522D"/>
    <w:rsid w:val="009A0C3C"/>
    <w:rsid w:val="009A24CA"/>
    <w:rsid w:val="009C12FB"/>
    <w:rsid w:val="009C2EA4"/>
    <w:rsid w:val="009C341F"/>
    <w:rsid w:val="009C4441"/>
    <w:rsid w:val="009C4756"/>
    <w:rsid w:val="009C4BAC"/>
    <w:rsid w:val="009E11C7"/>
    <w:rsid w:val="009E5C2B"/>
    <w:rsid w:val="009F1149"/>
    <w:rsid w:val="009F3577"/>
    <w:rsid w:val="009F378F"/>
    <w:rsid w:val="009F6A87"/>
    <w:rsid w:val="00A06368"/>
    <w:rsid w:val="00A06C15"/>
    <w:rsid w:val="00A07CB3"/>
    <w:rsid w:val="00A127AF"/>
    <w:rsid w:val="00A2267B"/>
    <w:rsid w:val="00A260F7"/>
    <w:rsid w:val="00A269A7"/>
    <w:rsid w:val="00A275FB"/>
    <w:rsid w:val="00A30A40"/>
    <w:rsid w:val="00A41977"/>
    <w:rsid w:val="00A46C86"/>
    <w:rsid w:val="00A50987"/>
    <w:rsid w:val="00A5717B"/>
    <w:rsid w:val="00A615E7"/>
    <w:rsid w:val="00A64A92"/>
    <w:rsid w:val="00A66D65"/>
    <w:rsid w:val="00A71E20"/>
    <w:rsid w:val="00A72D87"/>
    <w:rsid w:val="00A751E8"/>
    <w:rsid w:val="00A76376"/>
    <w:rsid w:val="00A96532"/>
    <w:rsid w:val="00A971C5"/>
    <w:rsid w:val="00A978CA"/>
    <w:rsid w:val="00AA0122"/>
    <w:rsid w:val="00AA2477"/>
    <w:rsid w:val="00AA29C2"/>
    <w:rsid w:val="00AA5C31"/>
    <w:rsid w:val="00AA76A2"/>
    <w:rsid w:val="00AB23D0"/>
    <w:rsid w:val="00AC0764"/>
    <w:rsid w:val="00AC2AA2"/>
    <w:rsid w:val="00AC4B6B"/>
    <w:rsid w:val="00AC5A4C"/>
    <w:rsid w:val="00AC7A63"/>
    <w:rsid w:val="00AD2C53"/>
    <w:rsid w:val="00AD4587"/>
    <w:rsid w:val="00AD7F59"/>
    <w:rsid w:val="00AE2D80"/>
    <w:rsid w:val="00AE3798"/>
    <w:rsid w:val="00AE428C"/>
    <w:rsid w:val="00AE58B1"/>
    <w:rsid w:val="00AE7952"/>
    <w:rsid w:val="00AF6AAB"/>
    <w:rsid w:val="00AF6CDE"/>
    <w:rsid w:val="00AF7DA7"/>
    <w:rsid w:val="00B1181E"/>
    <w:rsid w:val="00B16862"/>
    <w:rsid w:val="00B23886"/>
    <w:rsid w:val="00B24D9A"/>
    <w:rsid w:val="00B24DC0"/>
    <w:rsid w:val="00B263A1"/>
    <w:rsid w:val="00B263D0"/>
    <w:rsid w:val="00B27964"/>
    <w:rsid w:val="00B3136E"/>
    <w:rsid w:val="00B33658"/>
    <w:rsid w:val="00B43DD6"/>
    <w:rsid w:val="00B44469"/>
    <w:rsid w:val="00B53210"/>
    <w:rsid w:val="00B60051"/>
    <w:rsid w:val="00B61227"/>
    <w:rsid w:val="00B62625"/>
    <w:rsid w:val="00B65287"/>
    <w:rsid w:val="00B67848"/>
    <w:rsid w:val="00B7027D"/>
    <w:rsid w:val="00B72574"/>
    <w:rsid w:val="00B80642"/>
    <w:rsid w:val="00B8069D"/>
    <w:rsid w:val="00B84D08"/>
    <w:rsid w:val="00B85EBD"/>
    <w:rsid w:val="00B94706"/>
    <w:rsid w:val="00BA0E95"/>
    <w:rsid w:val="00BA0F45"/>
    <w:rsid w:val="00BA5D5D"/>
    <w:rsid w:val="00BB3536"/>
    <w:rsid w:val="00BB5966"/>
    <w:rsid w:val="00BC0801"/>
    <w:rsid w:val="00BC4B99"/>
    <w:rsid w:val="00BC7D5C"/>
    <w:rsid w:val="00BD1822"/>
    <w:rsid w:val="00BD1B95"/>
    <w:rsid w:val="00BE00EB"/>
    <w:rsid w:val="00BE0D47"/>
    <w:rsid w:val="00BE3675"/>
    <w:rsid w:val="00BE40E6"/>
    <w:rsid w:val="00BE6645"/>
    <w:rsid w:val="00BE66CA"/>
    <w:rsid w:val="00BE717A"/>
    <w:rsid w:val="00BF271D"/>
    <w:rsid w:val="00BF2835"/>
    <w:rsid w:val="00BF3BA3"/>
    <w:rsid w:val="00C02855"/>
    <w:rsid w:val="00C02E7C"/>
    <w:rsid w:val="00C03E7B"/>
    <w:rsid w:val="00C12644"/>
    <w:rsid w:val="00C1366B"/>
    <w:rsid w:val="00C13CF7"/>
    <w:rsid w:val="00C147D0"/>
    <w:rsid w:val="00C23861"/>
    <w:rsid w:val="00C24650"/>
    <w:rsid w:val="00C25D75"/>
    <w:rsid w:val="00C26763"/>
    <w:rsid w:val="00C2796E"/>
    <w:rsid w:val="00C3552D"/>
    <w:rsid w:val="00C45372"/>
    <w:rsid w:val="00C45445"/>
    <w:rsid w:val="00C50813"/>
    <w:rsid w:val="00C52589"/>
    <w:rsid w:val="00C54034"/>
    <w:rsid w:val="00C55E7D"/>
    <w:rsid w:val="00C56F6F"/>
    <w:rsid w:val="00C60195"/>
    <w:rsid w:val="00C713C6"/>
    <w:rsid w:val="00C746D4"/>
    <w:rsid w:val="00C76473"/>
    <w:rsid w:val="00C7647D"/>
    <w:rsid w:val="00C81BF1"/>
    <w:rsid w:val="00C9635F"/>
    <w:rsid w:val="00CA011B"/>
    <w:rsid w:val="00CA0D9F"/>
    <w:rsid w:val="00CA2489"/>
    <w:rsid w:val="00CA6342"/>
    <w:rsid w:val="00CB3163"/>
    <w:rsid w:val="00CB57FF"/>
    <w:rsid w:val="00CB5CFE"/>
    <w:rsid w:val="00CB7197"/>
    <w:rsid w:val="00CC1102"/>
    <w:rsid w:val="00CC733E"/>
    <w:rsid w:val="00CD03B0"/>
    <w:rsid w:val="00CD0A73"/>
    <w:rsid w:val="00CD73E8"/>
    <w:rsid w:val="00CE0B15"/>
    <w:rsid w:val="00CE0DE5"/>
    <w:rsid w:val="00CE1121"/>
    <w:rsid w:val="00CE5E26"/>
    <w:rsid w:val="00CE63B1"/>
    <w:rsid w:val="00CF045A"/>
    <w:rsid w:val="00CF07C4"/>
    <w:rsid w:val="00CF1BCB"/>
    <w:rsid w:val="00CF3DF8"/>
    <w:rsid w:val="00CF5D05"/>
    <w:rsid w:val="00D048CB"/>
    <w:rsid w:val="00D0689D"/>
    <w:rsid w:val="00D11885"/>
    <w:rsid w:val="00D17807"/>
    <w:rsid w:val="00D22B67"/>
    <w:rsid w:val="00D2344C"/>
    <w:rsid w:val="00D25F3A"/>
    <w:rsid w:val="00D26A26"/>
    <w:rsid w:val="00D27374"/>
    <w:rsid w:val="00D30957"/>
    <w:rsid w:val="00D3175D"/>
    <w:rsid w:val="00D31839"/>
    <w:rsid w:val="00D34CA8"/>
    <w:rsid w:val="00D36474"/>
    <w:rsid w:val="00D3716C"/>
    <w:rsid w:val="00D44D16"/>
    <w:rsid w:val="00D53325"/>
    <w:rsid w:val="00D635BF"/>
    <w:rsid w:val="00D64909"/>
    <w:rsid w:val="00D720DF"/>
    <w:rsid w:val="00D73295"/>
    <w:rsid w:val="00D75ADD"/>
    <w:rsid w:val="00D83596"/>
    <w:rsid w:val="00D84C2C"/>
    <w:rsid w:val="00D926AA"/>
    <w:rsid w:val="00D93CD9"/>
    <w:rsid w:val="00D95C02"/>
    <w:rsid w:val="00D95C4D"/>
    <w:rsid w:val="00D972EA"/>
    <w:rsid w:val="00D97AA1"/>
    <w:rsid w:val="00DA22D3"/>
    <w:rsid w:val="00DA50F8"/>
    <w:rsid w:val="00DA6C25"/>
    <w:rsid w:val="00DB0421"/>
    <w:rsid w:val="00DC43C7"/>
    <w:rsid w:val="00DC5631"/>
    <w:rsid w:val="00DD111B"/>
    <w:rsid w:val="00DD2BE6"/>
    <w:rsid w:val="00DD6DFE"/>
    <w:rsid w:val="00DE2110"/>
    <w:rsid w:val="00DE2AE7"/>
    <w:rsid w:val="00DE67F7"/>
    <w:rsid w:val="00DF0018"/>
    <w:rsid w:val="00DF2E04"/>
    <w:rsid w:val="00DF630C"/>
    <w:rsid w:val="00E00428"/>
    <w:rsid w:val="00E03202"/>
    <w:rsid w:val="00E0725B"/>
    <w:rsid w:val="00E07BEF"/>
    <w:rsid w:val="00E131DB"/>
    <w:rsid w:val="00E25416"/>
    <w:rsid w:val="00E264B0"/>
    <w:rsid w:val="00E34FAA"/>
    <w:rsid w:val="00E40C4F"/>
    <w:rsid w:val="00E44824"/>
    <w:rsid w:val="00E46100"/>
    <w:rsid w:val="00E46A4C"/>
    <w:rsid w:val="00E51DF2"/>
    <w:rsid w:val="00E51FB7"/>
    <w:rsid w:val="00E53241"/>
    <w:rsid w:val="00E55CAB"/>
    <w:rsid w:val="00E574AD"/>
    <w:rsid w:val="00E60F0F"/>
    <w:rsid w:val="00E63624"/>
    <w:rsid w:val="00E70EA6"/>
    <w:rsid w:val="00E731F9"/>
    <w:rsid w:val="00E74DBF"/>
    <w:rsid w:val="00E750B0"/>
    <w:rsid w:val="00E826F1"/>
    <w:rsid w:val="00E83087"/>
    <w:rsid w:val="00E83744"/>
    <w:rsid w:val="00E84053"/>
    <w:rsid w:val="00E90756"/>
    <w:rsid w:val="00E92E62"/>
    <w:rsid w:val="00E96CF9"/>
    <w:rsid w:val="00EA07AD"/>
    <w:rsid w:val="00EA13CA"/>
    <w:rsid w:val="00EB0A3E"/>
    <w:rsid w:val="00EB26E0"/>
    <w:rsid w:val="00EB72FE"/>
    <w:rsid w:val="00EC10F7"/>
    <w:rsid w:val="00EC28B9"/>
    <w:rsid w:val="00EC4C7B"/>
    <w:rsid w:val="00EC5FC9"/>
    <w:rsid w:val="00EC64A2"/>
    <w:rsid w:val="00EC669C"/>
    <w:rsid w:val="00ED0166"/>
    <w:rsid w:val="00ED5A14"/>
    <w:rsid w:val="00ED5DEF"/>
    <w:rsid w:val="00ED7F61"/>
    <w:rsid w:val="00EE4817"/>
    <w:rsid w:val="00EE7B95"/>
    <w:rsid w:val="00EF09A9"/>
    <w:rsid w:val="00EF1696"/>
    <w:rsid w:val="00EF3A99"/>
    <w:rsid w:val="00EF7410"/>
    <w:rsid w:val="00F0078A"/>
    <w:rsid w:val="00F00F92"/>
    <w:rsid w:val="00F02DF5"/>
    <w:rsid w:val="00F04EEF"/>
    <w:rsid w:val="00F10868"/>
    <w:rsid w:val="00F12CDC"/>
    <w:rsid w:val="00F25E3A"/>
    <w:rsid w:val="00F27DF0"/>
    <w:rsid w:val="00F27FAA"/>
    <w:rsid w:val="00F33B46"/>
    <w:rsid w:val="00F42742"/>
    <w:rsid w:val="00F44CDB"/>
    <w:rsid w:val="00F52E2F"/>
    <w:rsid w:val="00F53C94"/>
    <w:rsid w:val="00F543C2"/>
    <w:rsid w:val="00F55AF4"/>
    <w:rsid w:val="00F60113"/>
    <w:rsid w:val="00F61521"/>
    <w:rsid w:val="00F63F46"/>
    <w:rsid w:val="00F65C02"/>
    <w:rsid w:val="00F667F2"/>
    <w:rsid w:val="00F67F33"/>
    <w:rsid w:val="00F777B4"/>
    <w:rsid w:val="00F8381B"/>
    <w:rsid w:val="00F849B7"/>
    <w:rsid w:val="00F85071"/>
    <w:rsid w:val="00F87838"/>
    <w:rsid w:val="00F90612"/>
    <w:rsid w:val="00F94110"/>
    <w:rsid w:val="00F9584C"/>
    <w:rsid w:val="00FA1A92"/>
    <w:rsid w:val="00FA378E"/>
    <w:rsid w:val="00FA3DAA"/>
    <w:rsid w:val="00FB093F"/>
    <w:rsid w:val="00FB2C2C"/>
    <w:rsid w:val="00FB4978"/>
    <w:rsid w:val="00FB540A"/>
    <w:rsid w:val="00FB63AC"/>
    <w:rsid w:val="00FB64AE"/>
    <w:rsid w:val="00FB7117"/>
    <w:rsid w:val="00FC335C"/>
    <w:rsid w:val="00FC3933"/>
    <w:rsid w:val="00FE2937"/>
    <w:rsid w:val="00FE6E52"/>
    <w:rsid w:val="00FE755D"/>
    <w:rsid w:val="03308362"/>
    <w:rsid w:val="06FBBDCE"/>
    <w:rsid w:val="0B9A306A"/>
    <w:rsid w:val="0BF5E2E6"/>
    <w:rsid w:val="0D089CB5"/>
    <w:rsid w:val="0FBC413A"/>
    <w:rsid w:val="14F37560"/>
    <w:rsid w:val="159382A1"/>
    <w:rsid w:val="1A07691D"/>
    <w:rsid w:val="234301AB"/>
    <w:rsid w:val="2A16840D"/>
    <w:rsid w:val="3239F52A"/>
    <w:rsid w:val="38B9EC1B"/>
    <w:rsid w:val="3CAE6A8B"/>
    <w:rsid w:val="3F1F8524"/>
    <w:rsid w:val="3F241CD8"/>
    <w:rsid w:val="3F47C4ED"/>
    <w:rsid w:val="4422A891"/>
    <w:rsid w:val="46E3E85F"/>
    <w:rsid w:val="5545E77F"/>
    <w:rsid w:val="55ABD066"/>
    <w:rsid w:val="574E49F4"/>
    <w:rsid w:val="5A2FB950"/>
    <w:rsid w:val="62DEA0F7"/>
    <w:rsid w:val="64AC73CA"/>
    <w:rsid w:val="7FFD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CF3DF8"/>
    <w:pPr>
      <w:spacing w:after="180"/>
      <w:ind w:left="568" w:hanging="284"/>
    </w:pPr>
    <w:rPr>
      <w:szCs w:val="20"/>
      <w:lang w:val="x-none"/>
    </w:rPr>
  </w:style>
  <w:style w:type="character" w:customStyle="1" w:styleId="B1Zchn">
    <w:name w:val="B1 Zchn"/>
    <w:link w:val="B1"/>
    <w:qFormat/>
    <w:rsid w:val="00CF3DF8"/>
    <w:rPr>
      <w:rFonts w:ascii="Times New Roman" w:eastAsia="Times New Roman" w:hAnsi="Times New Roman" w:cs="Times New Roman"/>
      <w:sz w:val="20"/>
      <w:szCs w:val="20"/>
      <w:lang w:val="x-none"/>
    </w:rPr>
  </w:style>
  <w:style w:type="character" w:styleId="Hyperlink">
    <w:name w:val="Hyperlink"/>
    <w:uiPriority w:val="99"/>
    <w:rsid w:val="00C54034"/>
    <w:rPr>
      <w:color w:val="0000FF"/>
      <w:u w:val="single"/>
    </w:rPr>
  </w:style>
  <w:style w:type="paragraph" w:styleId="Revision">
    <w:name w:val="Revision"/>
    <w:hidden/>
    <w:uiPriority w:val="99"/>
    <w:semiHidden/>
    <w:rsid w:val="00F9411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26">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231696677">
      <w:bodyDiv w:val="1"/>
      <w:marLeft w:val="0"/>
      <w:marRight w:val="0"/>
      <w:marTop w:val="0"/>
      <w:marBottom w:val="0"/>
      <w:divBdr>
        <w:top w:val="none" w:sz="0" w:space="0" w:color="auto"/>
        <w:left w:val="none" w:sz="0" w:space="0" w:color="auto"/>
        <w:bottom w:val="none" w:sz="0" w:space="0" w:color="auto"/>
        <w:right w:val="none" w:sz="0" w:space="0" w:color="auto"/>
      </w:divBdr>
    </w:div>
    <w:div w:id="715399461">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23294327">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52019716">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emf"/><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1.emf"/><Relationship Id="rId27" Type="http://schemas.openxmlformats.org/officeDocument/2006/relationships/oleObject" Target="embeddings/oleObject6.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5692C-18A0-4A54-AB6A-3D9C30E1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2020-02-15T06:32:00Z</dcterms:created>
  <dcterms:modified xsi:type="dcterms:W3CDTF">2020-02-15T06:32:00Z</dcterms:modified>
</cp:coreProperties>
</file>