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F758B" w14:textId="77777777" w:rsidR="009D2775" w:rsidRPr="009D2775" w:rsidRDefault="009D2775" w:rsidP="009D2775">
      <w:pPr>
        <w:pStyle w:val="Header"/>
        <w:rPr>
          <w:sz w:val="24"/>
        </w:rPr>
      </w:pPr>
      <w:r w:rsidRPr="009D2775">
        <w:rPr>
          <w:sz w:val="24"/>
        </w:rPr>
        <w:t>3GPP TSG RAN WG1 AH_NR Meeting</w:t>
      </w:r>
      <w:r w:rsidRPr="009D2775">
        <w:rPr>
          <w:sz w:val="24"/>
        </w:rPr>
        <w:tab/>
      </w:r>
      <w:r w:rsidRPr="009D2775">
        <w:rPr>
          <w:sz w:val="24"/>
        </w:rPr>
        <w:tab/>
      </w:r>
      <w:bookmarkStart w:id="0" w:name="_GoBack"/>
      <w:bookmarkEnd w:id="0"/>
      <w:r w:rsidRPr="009D2775">
        <w:rPr>
          <w:sz w:val="24"/>
        </w:rPr>
        <w:t>R1-1</w:t>
      </w:r>
      <w:r w:rsidRPr="009D2775">
        <w:rPr>
          <w:rFonts w:hint="eastAsia"/>
          <w:sz w:val="24"/>
        </w:rPr>
        <w:t>7</w:t>
      </w:r>
      <w:r w:rsidRPr="009D2775">
        <w:rPr>
          <w:sz w:val="24"/>
        </w:rPr>
        <w:t>0</w:t>
      </w:r>
      <w:r w:rsidR="00C625F8">
        <w:rPr>
          <w:sz w:val="24"/>
        </w:rPr>
        <w:t>1140</w:t>
      </w:r>
    </w:p>
    <w:p w14:paraId="0DAF758C" w14:textId="77777777" w:rsidR="009D2775" w:rsidRPr="009D2775" w:rsidRDefault="009D2775" w:rsidP="009D2775">
      <w:pPr>
        <w:pStyle w:val="Header"/>
        <w:rPr>
          <w:sz w:val="24"/>
        </w:rPr>
      </w:pPr>
      <w:r w:rsidRPr="009D2775">
        <w:rPr>
          <w:rFonts w:hint="eastAsia"/>
          <w:sz w:val="24"/>
        </w:rPr>
        <w:t>Spokane</w:t>
      </w:r>
      <w:r w:rsidRPr="009D2775">
        <w:rPr>
          <w:sz w:val="24"/>
        </w:rPr>
        <w:t xml:space="preserve">, </w:t>
      </w:r>
      <w:r w:rsidRPr="009D2775">
        <w:rPr>
          <w:rFonts w:hint="eastAsia"/>
          <w:sz w:val="24"/>
        </w:rPr>
        <w:t>USA</w:t>
      </w:r>
      <w:r w:rsidRPr="009D2775">
        <w:rPr>
          <w:sz w:val="24"/>
        </w:rPr>
        <w:t xml:space="preserve">, </w:t>
      </w:r>
      <w:r w:rsidRPr="009D2775">
        <w:rPr>
          <w:rFonts w:hint="eastAsia"/>
          <w:sz w:val="24"/>
        </w:rPr>
        <w:t xml:space="preserve">16th </w:t>
      </w:r>
      <w:r w:rsidRPr="009D2775">
        <w:rPr>
          <w:sz w:val="24"/>
        </w:rPr>
        <w:t xml:space="preserve">- </w:t>
      </w:r>
      <w:r w:rsidRPr="009D2775">
        <w:rPr>
          <w:rFonts w:hint="eastAsia"/>
          <w:sz w:val="24"/>
        </w:rPr>
        <w:t>20</w:t>
      </w:r>
      <w:r w:rsidRPr="009D2775">
        <w:rPr>
          <w:sz w:val="24"/>
        </w:rPr>
        <w:t xml:space="preserve">th </w:t>
      </w:r>
      <w:r w:rsidRPr="009D2775">
        <w:rPr>
          <w:rFonts w:hint="eastAsia"/>
          <w:sz w:val="24"/>
        </w:rPr>
        <w:t>January</w:t>
      </w:r>
      <w:r w:rsidRPr="009D2775">
        <w:rPr>
          <w:sz w:val="24"/>
        </w:rPr>
        <w:t xml:space="preserve"> 201</w:t>
      </w:r>
      <w:r w:rsidRPr="009D2775">
        <w:rPr>
          <w:rFonts w:hint="eastAsia"/>
          <w:sz w:val="24"/>
        </w:rPr>
        <w:t>7</w:t>
      </w:r>
    </w:p>
    <w:p w14:paraId="0DAF758D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0DAF758E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1" w:name="Source"/>
      <w:bookmarkEnd w:id="1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C625F8" w:rsidRPr="00C625F8">
        <w:rPr>
          <w:rFonts w:ascii="Arial" w:hAnsi="Arial" w:cs="Arial"/>
          <w:b/>
          <w:color w:val="000000"/>
          <w:sz w:val="24"/>
          <w:szCs w:val="20"/>
          <w:lang w:val="en-GB"/>
        </w:rPr>
        <w:t>5.1.4</w:t>
      </w:r>
    </w:p>
    <w:p w14:paraId="0DAF758F" w14:textId="17963CA1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2" w:name="Title"/>
      <w:bookmarkEnd w:id="2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C625F8">
        <w:rPr>
          <w:rFonts w:ascii="Arial" w:hAnsi="Arial" w:cs="Arial"/>
          <w:b/>
          <w:color w:val="000000"/>
          <w:sz w:val="24"/>
          <w:szCs w:val="20"/>
          <w:lang w:val="en-GB"/>
        </w:rPr>
        <w:t>Co</w:t>
      </w:r>
      <w:r w:rsidR="00F3187A">
        <w:rPr>
          <w:rFonts w:ascii="Arial" w:hAnsi="Arial" w:cs="Arial"/>
          <w:b/>
          <w:color w:val="000000"/>
          <w:sz w:val="24"/>
          <w:szCs w:val="20"/>
          <w:lang w:val="en-GB"/>
        </w:rPr>
        <w:t>ntrol Channel Design with Mini-s</w:t>
      </w:r>
      <w:r w:rsidR="00C625F8">
        <w:rPr>
          <w:rFonts w:ascii="Arial" w:hAnsi="Arial" w:cs="Arial"/>
          <w:b/>
          <w:color w:val="000000"/>
          <w:sz w:val="24"/>
          <w:szCs w:val="20"/>
          <w:lang w:val="en-GB"/>
        </w:rPr>
        <w:t>lot</w:t>
      </w:r>
    </w:p>
    <w:p w14:paraId="0DAF7590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0DAF7591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3" w:name="DocumentFor"/>
      <w:bookmarkEnd w:id="3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0DAF7592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0DAF7593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0DAF7594" w14:textId="2120042C" w:rsidR="008C678C" w:rsidRDefault="008C678C" w:rsidP="008C678C">
      <w:pPr>
        <w:pStyle w:val="BodyTex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the </w:t>
      </w:r>
      <w:r w:rsidRPr="00550C7C">
        <w:rPr>
          <w:rFonts w:eastAsia="Malgun Gothic"/>
          <w:lang w:eastAsia="ko-KR"/>
        </w:rPr>
        <w:t xml:space="preserve">RAN1 </w:t>
      </w:r>
      <w:r w:rsidR="00F3187A">
        <w:rPr>
          <w:rFonts w:eastAsia="Malgun Gothic"/>
          <w:lang w:eastAsia="ko-KR"/>
        </w:rPr>
        <w:t xml:space="preserve">#87 </w:t>
      </w:r>
      <w:proofErr w:type="spellStart"/>
      <w:r w:rsidR="00F3187A">
        <w:rPr>
          <w:rFonts w:eastAsia="Malgun Gothic"/>
          <w:lang w:eastAsia="ko-KR"/>
        </w:rPr>
        <w:t>meting</w:t>
      </w:r>
      <w:proofErr w:type="spellEnd"/>
      <w:r w:rsidR="00F3187A">
        <w:rPr>
          <w:rFonts w:eastAsia="Malgun Gothic"/>
          <w:lang w:eastAsia="ko-KR"/>
        </w:rPr>
        <w:t>, the following were</w:t>
      </w:r>
      <w:r>
        <w:rPr>
          <w:rFonts w:eastAsia="Malgun Gothic"/>
          <w:lang w:eastAsia="ko-KR"/>
        </w:rPr>
        <w:t xml:space="preserve"> agreed </w:t>
      </w:r>
      <w:r w:rsidR="00F3187A">
        <w:rPr>
          <w:rFonts w:eastAsia="Malgun Gothic"/>
          <w:lang w:eastAsia="ko-KR"/>
        </w:rPr>
        <w:t>on Mini-slot design</w:t>
      </w:r>
      <w:r w:rsidRPr="00550C7C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1</w:t>
      </w:r>
      <w:r>
        <w:rPr>
          <w:rFonts w:eastAsia="Malgun Gothic" w:hint="eastAsia"/>
          <w:lang w:eastAsia="ko-KR"/>
        </w:rPr>
        <w:t>]</w:t>
      </w:r>
      <w:r w:rsidRPr="00550C7C">
        <w:rPr>
          <w:rFonts w:eastAsia="Malgun Gothic"/>
          <w:lang w:eastAsia="ko-KR"/>
        </w:rPr>
        <w:t>.</w:t>
      </w:r>
    </w:p>
    <w:p w14:paraId="7AB8B978" w14:textId="77894166" w:rsidR="00F3187A" w:rsidRPr="00F3187A" w:rsidRDefault="00F3187A" w:rsidP="008C678C">
      <w:pPr>
        <w:pStyle w:val="BodyText"/>
        <w:rPr>
          <w:rFonts w:eastAsia="Malgun Gothic"/>
          <w:i/>
          <w:u w:val="single"/>
          <w:lang w:eastAsia="ko-KR"/>
        </w:rPr>
      </w:pPr>
      <w:r w:rsidRPr="00F3187A">
        <w:rPr>
          <w:b/>
          <w:i/>
          <w:u w:val="single"/>
          <w:lang w:eastAsia="ja-JP"/>
        </w:rPr>
        <w:t>R1-1613630</w:t>
      </w:r>
    </w:p>
    <w:p w14:paraId="677BB447" w14:textId="77777777" w:rsidR="00F3187A" w:rsidRPr="00F3187A" w:rsidRDefault="00F3187A" w:rsidP="00F3187A">
      <w:pPr>
        <w:numPr>
          <w:ilvl w:val="0"/>
          <w:numId w:val="13"/>
        </w:numPr>
        <w:tabs>
          <w:tab w:val="num" w:pos="2160"/>
        </w:tabs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Mini-slots have the following lengths</w:t>
      </w:r>
    </w:p>
    <w:p w14:paraId="0FBFF8DD" w14:textId="77777777" w:rsidR="00F3187A" w:rsidRPr="00F3187A" w:rsidRDefault="00F3187A" w:rsidP="00F3187A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At least above 6 GHz, mini-slot with length 1 symbol supported</w:t>
      </w:r>
    </w:p>
    <w:p w14:paraId="52BAED6E" w14:textId="77777777" w:rsidR="00F3187A" w:rsidRPr="00F3187A" w:rsidRDefault="00F3187A" w:rsidP="00F3187A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FFS below 6 GHz including unlicensed band</w:t>
      </w:r>
    </w:p>
    <w:p w14:paraId="6833892C" w14:textId="77777777" w:rsidR="00F3187A" w:rsidRPr="00F3187A" w:rsidRDefault="00F3187A" w:rsidP="00F3187A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FFS for URLLC use case regardless frequency band</w:t>
      </w:r>
    </w:p>
    <w:p w14:paraId="1C2252A0" w14:textId="77777777" w:rsidR="00F3187A" w:rsidRPr="00F3187A" w:rsidRDefault="00F3187A" w:rsidP="00F3187A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 xml:space="preserve">FFS whether DL control can be supported within one mini-slot of length 1 </w:t>
      </w:r>
    </w:p>
    <w:p w14:paraId="6BC87E58" w14:textId="77777777" w:rsidR="00F3187A" w:rsidRPr="00F3187A" w:rsidRDefault="00F3187A" w:rsidP="00F3187A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Lengths from 2 to slot length -1</w:t>
      </w:r>
    </w:p>
    <w:p w14:paraId="05A3D4FB" w14:textId="77777777" w:rsidR="00F3187A" w:rsidRPr="00F3187A" w:rsidRDefault="00F3187A" w:rsidP="00F3187A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 xml:space="preserve">FFS on restrictions of mini-slot length based on restrictions on starting position </w:t>
      </w:r>
    </w:p>
    <w:p w14:paraId="792E60F2" w14:textId="77777777" w:rsidR="00F3187A" w:rsidRPr="00F3187A" w:rsidRDefault="00F3187A" w:rsidP="00F3187A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 xml:space="preserve">For URLLC, 2 is supported, FFS other values </w:t>
      </w:r>
    </w:p>
    <w:p w14:paraId="034A13DC" w14:textId="77777777" w:rsidR="00F3187A" w:rsidRPr="00F3187A" w:rsidRDefault="00F3187A" w:rsidP="00F3187A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Note: Some UEs targeting certain use cases may not support all mini-slot lengths and all starting positions</w:t>
      </w:r>
    </w:p>
    <w:p w14:paraId="4BE8A0C9" w14:textId="77777777" w:rsidR="00F3187A" w:rsidRPr="00F3187A" w:rsidRDefault="00F3187A" w:rsidP="00F3187A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Can start at any OFDM symbol, at least above 6 GHz</w:t>
      </w:r>
    </w:p>
    <w:p w14:paraId="366D0BE6" w14:textId="77777777" w:rsidR="00F3187A" w:rsidRPr="00F3187A" w:rsidRDefault="00F3187A" w:rsidP="00F3187A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FFS below 6 GHz including unlicensed band</w:t>
      </w:r>
    </w:p>
    <w:p w14:paraId="106E4EF9" w14:textId="77777777" w:rsidR="00F3187A" w:rsidRPr="00F3187A" w:rsidRDefault="00F3187A" w:rsidP="00F3187A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FFS for URLLC use case regardless frequency band</w:t>
      </w:r>
    </w:p>
    <w:p w14:paraId="72D866D1" w14:textId="77777777" w:rsidR="00F3187A" w:rsidRPr="00F3187A" w:rsidRDefault="00F3187A" w:rsidP="00F3187A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 xml:space="preserve">A mini-slot contains DMRS at position(s) relative to the start of the mini-slot </w:t>
      </w:r>
    </w:p>
    <w:p w14:paraId="4DE5DAF7" w14:textId="65EF5070" w:rsidR="00F3187A" w:rsidRPr="00F3187A" w:rsidRDefault="00F3187A" w:rsidP="00F3187A">
      <w:pPr>
        <w:rPr>
          <w:rFonts w:eastAsia="MS Mincho"/>
          <w:b/>
          <w:i/>
          <w:u w:val="single"/>
          <w:lang w:eastAsia="ja-JP"/>
        </w:rPr>
      </w:pPr>
      <w:r w:rsidRPr="00F3187A">
        <w:rPr>
          <w:rFonts w:eastAsia="MS Mincho" w:hint="eastAsia"/>
          <w:b/>
          <w:i/>
          <w:u w:val="single"/>
          <w:lang w:eastAsia="ja-JP"/>
        </w:rPr>
        <w:t>R1-1613779</w:t>
      </w:r>
    </w:p>
    <w:p w14:paraId="671CD62D" w14:textId="77777777" w:rsidR="00F3187A" w:rsidRPr="00F3187A" w:rsidRDefault="00F3187A" w:rsidP="00F3187A">
      <w:pPr>
        <w:numPr>
          <w:ilvl w:val="0"/>
          <w:numId w:val="14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NR-PDCCH monitoring at least for single-stage DCI design,</w:t>
      </w:r>
    </w:p>
    <w:p w14:paraId="58517D26" w14:textId="77777777" w:rsidR="00F3187A" w:rsidRPr="00F3187A" w:rsidRDefault="00F3187A" w:rsidP="00F3187A">
      <w:pPr>
        <w:numPr>
          <w:ilvl w:val="1"/>
          <w:numId w:val="14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 xml:space="preserve">NR supports the following minimum granularity of the DCI monitoring occasion: </w:t>
      </w:r>
    </w:p>
    <w:p w14:paraId="493AFDDC" w14:textId="77777777" w:rsidR="00F3187A" w:rsidRPr="00F3187A" w:rsidRDefault="00F3187A" w:rsidP="00F3187A">
      <w:pPr>
        <w:numPr>
          <w:ilvl w:val="2"/>
          <w:numId w:val="14"/>
        </w:numPr>
        <w:tabs>
          <w:tab w:val="num" w:pos="2160"/>
        </w:tabs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For slots: once per slot</w:t>
      </w:r>
    </w:p>
    <w:p w14:paraId="7729BFB4" w14:textId="77777777" w:rsidR="00F3187A" w:rsidRPr="00F3187A" w:rsidRDefault="00F3187A" w:rsidP="00F3187A">
      <w:pPr>
        <w:numPr>
          <w:ilvl w:val="2"/>
          <w:numId w:val="14"/>
        </w:numPr>
        <w:tabs>
          <w:tab w:val="num" w:pos="2160"/>
        </w:tabs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>When  mini-slots are used: FFS if every symbol or every second symbol</w:t>
      </w:r>
    </w:p>
    <w:p w14:paraId="17AC53FB" w14:textId="77777777" w:rsidR="00F3187A" w:rsidRPr="00842085" w:rsidRDefault="00F3187A" w:rsidP="00F3187A">
      <w:pPr>
        <w:numPr>
          <w:ilvl w:val="3"/>
          <w:numId w:val="14"/>
        </w:numPr>
        <w:rPr>
          <w:rFonts w:eastAsia="MS Mincho"/>
          <w:i/>
          <w:lang w:eastAsia="ja-JP"/>
        </w:rPr>
      </w:pPr>
      <w:r w:rsidRPr="00F3187A">
        <w:rPr>
          <w:rFonts w:eastAsia="MS Mincho"/>
          <w:i/>
          <w:lang w:eastAsia="ja-JP"/>
        </w:rPr>
        <w:t xml:space="preserve">FFS with respect to which numerology if slot and mini-slot have different </w:t>
      </w:r>
      <w:r w:rsidRPr="00842085">
        <w:rPr>
          <w:rFonts w:eastAsia="MS Mincho"/>
          <w:i/>
          <w:lang w:eastAsia="ja-JP"/>
        </w:rPr>
        <w:t>numerology (e.g. SCS, CP overhead)</w:t>
      </w:r>
    </w:p>
    <w:p w14:paraId="491E73C3" w14:textId="77777777" w:rsidR="00F3187A" w:rsidRPr="00842085" w:rsidRDefault="00F3187A" w:rsidP="00F3187A">
      <w:pPr>
        <w:numPr>
          <w:ilvl w:val="3"/>
          <w:numId w:val="14"/>
        </w:numPr>
        <w:rPr>
          <w:rFonts w:eastAsia="MS Mincho"/>
          <w:i/>
          <w:lang w:eastAsia="ja-JP"/>
        </w:rPr>
      </w:pPr>
      <w:r w:rsidRPr="00842085">
        <w:rPr>
          <w:rFonts w:eastAsia="MS Mincho"/>
          <w:i/>
          <w:lang w:eastAsia="ja-JP"/>
        </w:rPr>
        <w:t xml:space="preserve">Note: slot/mini-slot alignment is not assumed here </w:t>
      </w:r>
    </w:p>
    <w:p w14:paraId="304BE6CB" w14:textId="77777777" w:rsidR="00F3187A" w:rsidRPr="00842085" w:rsidRDefault="00F3187A" w:rsidP="00F3187A">
      <w:pPr>
        <w:numPr>
          <w:ilvl w:val="3"/>
          <w:numId w:val="14"/>
        </w:numPr>
        <w:rPr>
          <w:rFonts w:eastAsia="MS Mincho"/>
          <w:b/>
          <w:i/>
          <w:lang w:eastAsia="ja-JP"/>
        </w:rPr>
      </w:pPr>
      <w:r w:rsidRPr="00842085">
        <w:rPr>
          <w:rFonts w:eastAsia="MS Mincho"/>
          <w:i/>
          <w:lang w:eastAsia="ja-JP"/>
        </w:rPr>
        <w:t>Note: This may not apply in all cases</w:t>
      </w:r>
    </w:p>
    <w:p w14:paraId="28EDC137" w14:textId="77777777" w:rsidR="00F3187A" w:rsidRPr="00842085" w:rsidRDefault="00F3187A" w:rsidP="00F3187A">
      <w:pPr>
        <w:rPr>
          <w:rFonts w:eastAsia="MS Mincho"/>
          <w:lang w:eastAsia="ja-JP"/>
        </w:rPr>
      </w:pPr>
    </w:p>
    <w:p w14:paraId="0DAF7597" w14:textId="120A8F98" w:rsidR="00332034" w:rsidRPr="00842085" w:rsidRDefault="00F3187A" w:rsidP="00CE4E11">
      <w:pPr>
        <w:pStyle w:val="BodyText"/>
      </w:pPr>
      <w:r w:rsidRPr="00842085">
        <w:t xml:space="preserve">In this contribution, we </w:t>
      </w:r>
      <w:proofErr w:type="spellStart"/>
      <w:r w:rsidRPr="00842085">
        <w:t>descuss</w:t>
      </w:r>
      <w:proofErr w:type="spellEnd"/>
      <w:r w:rsidRPr="00842085">
        <w:t xml:space="preserve"> several options of control channel design with the Mini-slots</w:t>
      </w:r>
      <w:r w:rsidR="00D95F2B" w:rsidRPr="00842085">
        <w:t>.</w:t>
      </w:r>
    </w:p>
    <w:p w14:paraId="1CBC3B6A" w14:textId="13754830" w:rsidR="00F3187A" w:rsidRPr="00842085" w:rsidRDefault="00F3187A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842085">
        <w:rPr>
          <w:rFonts w:ascii="Arial" w:hAnsi="Arial"/>
          <w:sz w:val="24"/>
          <w:szCs w:val="24"/>
        </w:rPr>
        <w:t>Discussion of Control Channel Design with Mini-slots</w:t>
      </w:r>
    </w:p>
    <w:p w14:paraId="0DAF7599" w14:textId="2E474FFF" w:rsidR="00762DF4" w:rsidRDefault="00F175F0" w:rsidP="00762DF4">
      <w:pPr>
        <w:pStyle w:val="BodyText"/>
      </w:pPr>
      <w:r w:rsidRPr="00842085">
        <w:t>A mini-slot is a minimum time interval for scheduling or transmitting within a subframe or slot in a NR system. If a DL mini-slot is scheduled, the UE expecting to receive from the mini-slot needs to be</w:t>
      </w:r>
      <w:r>
        <w:t xml:space="preserve"> aware of the mini-slot configuration so that to be able to allocate and decode the payload carried on the mini-slot(s)</w:t>
      </w:r>
      <w:r w:rsidR="00544CF0">
        <w:t>.</w:t>
      </w:r>
    </w:p>
    <w:p w14:paraId="3E88236E" w14:textId="0FF1CFFE" w:rsidR="00F175F0" w:rsidRPr="003306E9" w:rsidRDefault="00B52CDC" w:rsidP="00F175F0">
      <w:pPr>
        <w:spacing w:after="120"/>
      </w:pPr>
      <w:r>
        <w:t>Based on different usage of mini-slot,</w:t>
      </w:r>
      <w:r w:rsidR="00F175F0" w:rsidRPr="003306E9">
        <w:t xml:space="preserve"> </w:t>
      </w:r>
      <w:r w:rsidR="00F175F0">
        <w:t xml:space="preserve">mini-slot configuration </w:t>
      </w:r>
      <w:r w:rsidR="00F175F0" w:rsidRPr="003306E9">
        <w:t xml:space="preserve">may be indicated </w:t>
      </w:r>
      <w:r w:rsidR="00F175F0">
        <w:t>with the following options</w:t>
      </w:r>
    </w:p>
    <w:p w14:paraId="07C41592" w14:textId="77777777" w:rsidR="00F175F0" w:rsidRDefault="00F175F0" w:rsidP="00F175F0">
      <w:pPr>
        <w:pStyle w:val="ListParagraph"/>
        <w:numPr>
          <w:ilvl w:val="0"/>
          <w:numId w:val="15"/>
        </w:numPr>
        <w:spacing w:after="120"/>
        <w:contextualSpacing w:val="0"/>
        <w:rPr>
          <w:szCs w:val="20"/>
        </w:rPr>
      </w:pPr>
      <w:r>
        <w:rPr>
          <w:szCs w:val="20"/>
        </w:rPr>
        <w:t>statically via system information,</w:t>
      </w:r>
    </w:p>
    <w:p w14:paraId="087C3704" w14:textId="432F07FD" w:rsidR="00F175F0" w:rsidRPr="003306E9" w:rsidRDefault="00F175F0" w:rsidP="00F175F0">
      <w:pPr>
        <w:pStyle w:val="ListParagraph"/>
        <w:numPr>
          <w:ilvl w:val="0"/>
          <w:numId w:val="15"/>
        </w:numPr>
        <w:spacing w:after="120"/>
        <w:contextualSpacing w:val="0"/>
        <w:rPr>
          <w:szCs w:val="20"/>
        </w:rPr>
      </w:pPr>
      <w:r>
        <w:rPr>
          <w:szCs w:val="20"/>
        </w:rPr>
        <w:t>se</w:t>
      </w:r>
      <w:r w:rsidRPr="003306E9">
        <w:rPr>
          <w:szCs w:val="20"/>
        </w:rPr>
        <w:t>mi</w:t>
      </w:r>
      <w:r>
        <w:rPr>
          <w:szCs w:val="20"/>
        </w:rPr>
        <w:t>-</w:t>
      </w:r>
      <w:r w:rsidRPr="003306E9">
        <w:rPr>
          <w:szCs w:val="20"/>
        </w:rPr>
        <w:t>statica</w:t>
      </w:r>
      <w:r>
        <w:rPr>
          <w:szCs w:val="20"/>
        </w:rPr>
        <w:t xml:space="preserve">lly via RRC </w:t>
      </w:r>
      <w:proofErr w:type="spellStart"/>
      <w:r>
        <w:rPr>
          <w:szCs w:val="20"/>
        </w:rPr>
        <w:t>signal</w:t>
      </w:r>
      <w:r w:rsidR="003556B3">
        <w:rPr>
          <w:szCs w:val="20"/>
        </w:rPr>
        <w:t>ings</w:t>
      </w:r>
      <w:proofErr w:type="spellEnd"/>
      <w:r>
        <w:rPr>
          <w:szCs w:val="20"/>
        </w:rPr>
        <w:t xml:space="preserve"> </w:t>
      </w:r>
    </w:p>
    <w:p w14:paraId="165B562F" w14:textId="31C322A3" w:rsidR="00B52CDC" w:rsidRPr="00B52CDC" w:rsidRDefault="00F175F0" w:rsidP="00B52CDC">
      <w:pPr>
        <w:pStyle w:val="BodyText"/>
        <w:numPr>
          <w:ilvl w:val="0"/>
          <w:numId w:val="15"/>
        </w:numPr>
      </w:pPr>
      <w:r w:rsidRPr="003306E9">
        <w:rPr>
          <w:szCs w:val="20"/>
        </w:rPr>
        <w:t xml:space="preserve">dynamically via the DL control channel </w:t>
      </w:r>
      <w:r w:rsidR="003556B3">
        <w:rPr>
          <w:szCs w:val="20"/>
        </w:rPr>
        <w:t>or MAC CE</w:t>
      </w:r>
    </w:p>
    <w:p w14:paraId="6E88D935" w14:textId="77777777" w:rsidR="00842085" w:rsidRDefault="00B1628E" w:rsidP="00544CF0">
      <w:pPr>
        <w:pStyle w:val="BodyText"/>
      </w:pPr>
      <w:r>
        <w:t>If dynamic indication is used, the indication may be designed with one level or two level control channel approach.</w:t>
      </w:r>
    </w:p>
    <w:p w14:paraId="61C48D64" w14:textId="7C56C2DA" w:rsidR="00842085" w:rsidRDefault="00B1628E" w:rsidP="00544CF0">
      <w:pPr>
        <w:pStyle w:val="BodyText"/>
      </w:pPr>
      <w:r>
        <w:t xml:space="preserve">As </w:t>
      </w:r>
      <w:r w:rsidR="00B52CDC" w:rsidRPr="00B52CDC">
        <w:t>illustrated in Figure 1</w:t>
      </w:r>
      <w:r w:rsidR="00B52CDC">
        <w:t xml:space="preserve">, </w:t>
      </w:r>
      <w:r>
        <w:t xml:space="preserve">a mini-slot’s configuration may be indicated by the common DL control channel and the UEs </w:t>
      </w:r>
      <w:r w:rsidR="00842085">
        <w:t xml:space="preserve">receiving mini-slots need to detect and decode the DCIs related to mini-slots at the beginning of each subframe. The cost of this one-level indication is the extra overhead for </w:t>
      </w:r>
      <w:r w:rsidR="003556B3">
        <w:t xml:space="preserve">information of detailed </w:t>
      </w:r>
      <w:r w:rsidR="00842085">
        <w:t>mini-slot</w:t>
      </w:r>
      <w:r w:rsidR="003556B3">
        <w:t xml:space="preserve"> configuration</w:t>
      </w:r>
      <w:r w:rsidR="00842085">
        <w:t xml:space="preserve"> in the common DL control channel and potentially larger blind detection.</w:t>
      </w:r>
    </w:p>
    <w:p w14:paraId="0F135437" w14:textId="2ACD7070" w:rsidR="00F175F0" w:rsidRDefault="00B52CDC" w:rsidP="00B52CDC">
      <w:pPr>
        <w:pStyle w:val="BodyText"/>
        <w:jc w:val="center"/>
      </w:pPr>
      <w:r w:rsidRPr="00B52CDC">
        <w:rPr>
          <w:noProof/>
        </w:rPr>
        <w:lastRenderedPageBreak/>
        <w:drawing>
          <wp:inline distT="0" distB="0" distL="0" distR="0" wp14:anchorId="488E5D33" wp14:editId="5D9F5B8F">
            <wp:extent cx="3181020" cy="2150364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87" cy="215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F75A1" w14:textId="04E3210B" w:rsidR="00C5382A" w:rsidRDefault="00C5382A" w:rsidP="00C5382A">
      <w:pPr>
        <w:pStyle w:val="Caption"/>
        <w:jc w:val="center"/>
      </w:pPr>
      <w:bookmarkStart w:id="4" w:name="_Ref4713859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 w:rsidR="00B52CDC">
        <w:t xml:space="preserve"> </w:t>
      </w:r>
      <w:r w:rsidR="00B1628E">
        <w:t>One-level</w:t>
      </w:r>
      <w:r w:rsidR="00B52CDC">
        <w:t xml:space="preserve"> </w:t>
      </w:r>
      <w:r w:rsidR="00B1628E">
        <w:t>Indication</w:t>
      </w:r>
    </w:p>
    <w:p w14:paraId="6FBCBF14" w14:textId="7E523C2A" w:rsidR="00842085" w:rsidRDefault="00842085" w:rsidP="00842085">
      <w:pPr>
        <w:pStyle w:val="BodyText"/>
      </w:pPr>
      <w:r>
        <w:t>Also a mini-slot’s configuration may be indicated by two</w:t>
      </w:r>
      <w:r w:rsidR="003556B3">
        <w:t>-</w:t>
      </w:r>
      <w:r>
        <w:t xml:space="preserve">level approach as shown in </w:t>
      </w:r>
      <w:r>
        <w:fldChar w:fldCharType="begin"/>
      </w:r>
      <w:r>
        <w:instrText xml:space="preserve"> REF _Ref471736353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. For example, the possible mini-slot’s location is first indicated by the DCIs in the common DL control channel, and then detailed configuration or following mini-slot’s configuration is indicated by the mini-DCIs contained in the mini-slot. This reduces the overhead in the common DL control channel for mini-slots as well as the potential blind decoding, but increases the overhead for the UEs to detect and decode the mini-DCIs for mini-slots multiple times within a subframe.</w:t>
      </w:r>
    </w:p>
    <w:p w14:paraId="7A9F7098" w14:textId="51CEE37D" w:rsidR="003A2DA6" w:rsidRPr="003A2DA6" w:rsidRDefault="00842085" w:rsidP="00842085">
      <w:pPr>
        <w:jc w:val="center"/>
      </w:pPr>
      <w:r>
        <w:object w:dxaOrig="9667" w:dyaOrig="6176" w14:anchorId="7FC45A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3pt;height:179.25pt" o:ole="">
            <v:imagedata r:id="rId12" o:title=""/>
          </v:shape>
          <o:OLEObject Type="Embed" ProgID="Visio.Drawing.15" ShapeID="_x0000_i1025" DrawAspect="Content" ObjectID="_1545513679" r:id="rId13"/>
        </w:object>
      </w:r>
    </w:p>
    <w:p w14:paraId="390CAF64" w14:textId="620D7C61" w:rsidR="00B52CDC" w:rsidRDefault="00B52CDC" w:rsidP="00B52CDC">
      <w:pPr>
        <w:pStyle w:val="Caption"/>
        <w:jc w:val="center"/>
      </w:pPr>
      <w:bookmarkStart w:id="5" w:name="_Ref4717363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</w:t>
      </w:r>
      <w:r w:rsidR="00B1628E">
        <w:t>Two-level Indication</w:t>
      </w:r>
    </w:p>
    <w:p w14:paraId="115D480C" w14:textId="33DB0D7F" w:rsidR="00CF35D7" w:rsidRDefault="00CF35D7" w:rsidP="00842085">
      <w:pPr>
        <w:pStyle w:val="BodyText"/>
        <w:rPr>
          <w:b/>
          <w:i/>
        </w:rPr>
      </w:pPr>
      <w:r>
        <w:rPr>
          <w:b/>
          <w:i/>
        </w:rPr>
        <w:t xml:space="preserve">Observation </w:t>
      </w:r>
      <w:r w:rsidR="00842085" w:rsidRPr="00842085">
        <w:rPr>
          <w:b/>
          <w:i/>
        </w:rPr>
        <w:t xml:space="preserve">1: </w:t>
      </w:r>
      <w:r w:rsidR="00842085">
        <w:rPr>
          <w:b/>
          <w:i/>
        </w:rPr>
        <w:t>One</w:t>
      </w:r>
      <w:r w:rsidR="00736612">
        <w:rPr>
          <w:b/>
          <w:i/>
        </w:rPr>
        <w:t>-</w:t>
      </w:r>
      <w:r w:rsidR="00842085">
        <w:rPr>
          <w:b/>
          <w:i/>
        </w:rPr>
        <w:t xml:space="preserve">level </w:t>
      </w:r>
      <w:r w:rsidR="00736612">
        <w:rPr>
          <w:b/>
          <w:i/>
        </w:rPr>
        <w:t xml:space="preserve">DL </w:t>
      </w:r>
      <w:r w:rsidR="00842085">
        <w:rPr>
          <w:b/>
          <w:i/>
        </w:rPr>
        <w:t>control</w:t>
      </w:r>
      <w:r>
        <w:rPr>
          <w:b/>
          <w:i/>
        </w:rPr>
        <w:t xml:space="preserve"> </w:t>
      </w:r>
      <w:r w:rsidR="00736612">
        <w:rPr>
          <w:b/>
          <w:i/>
        </w:rPr>
        <w:t xml:space="preserve">channel </w:t>
      </w:r>
      <w:r>
        <w:rPr>
          <w:b/>
          <w:i/>
        </w:rPr>
        <w:t xml:space="preserve">design for mini-slot may simplify mini-slot UE’s control info detection and decoding process, but may increase the overall common DL control channel overhead and therefore potentially the blind decoding cost. </w:t>
      </w:r>
    </w:p>
    <w:p w14:paraId="33301C65" w14:textId="07F209DF" w:rsidR="00842085" w:rsidRDefault="00CF35D7" w:rsidP="00842085">
      <w:pPr>
        <w:pStyle w:val="BodyText"/>
        <w:rPr>
          <w:b/>
          <w:i/>
        </w:rPr>
      </w:pPr>
      <w:r>
        <w:rPr>
          <w:b/>
          <w:i/>
        </w:rPr>
        <w:t>Observation 2</w:t>
      </w:r>
      <w:r w:rsidRPr="00842085">
        <w:rPr>
          <w:b/>
          <w:i/>
        </w:rPr>
        <w:t xml:space="preserve">: </w:t>
      </w:r>
      <w:r>
        <w:rPr>
          <w:b/>
          <w:i/>
        </w:rPr>
        <w:t>Two</w:t>
      </w:r>
      <w:r w:rsidR="00736612">
        <w:rPr>
          <w:b/>
          <w:i/>
        </w:rPr>
        <w:t>-</w:t>
      </w:r>
      <w:r>
        <w:rPr>
          <w:b/>
          <w:i/>
        </w:rPr>
        <w:t xml:space="preserve">level </w:t>
      </w:r>
      <w:r w:rsidR="00736612">
        <w:rPr>
          <w:b/>
          <w:i/>
        </w:rPr>
        <w:t xml:space="preserve">DL </w:t>
      </w:r>
      <w:r>
        <w:rPr>
          <w:b/>
          <w:i/>
        </w:rPr>
        <w:t xml:space="preserve">control </w:t>
      </w:r>
      <w:r w:rsidR="00736612">
        <w:rPr>
          <w:b/>
          <w:i/>
        </w:rPr>
        <w:t xml:space="preserve">channel </w:t>
      </w:r>
      <w:r>
        <w:rPr>
          <w:b/>
          <w:i/>
        </w:rPr>
        <w:t xml:space="preserve">design for mini-slot may reduce the overall common DL control channel overhead and therefore potentially the blind decoding cost, but </w:t>
      </w:r>
      <w:r w:rsidR="00736612">
        <w:rPr>
          <w:b/>
          <w:i/>
        </w:rPr>
        <w:t>this may be achieved at</w:t>
      </w:r>
      <w:r>
        <w:rPr>
          <w:b/>
          <w:i/>
        </w:rPr>
        <w:t xml:space="preserve"> the cost of  increased compl</w:t>
      </w:r>
      <w:r w:rsidR="00046F3E">
        <w:rPr>
          <w:b/>
          <w:i/>
        </w:rPr>
        <w:t>e</w:t>
      </w:r>
      <w:r>
        <w:rPr>
          <w:b/>
          <w:i/>
        </w:rPr>
        <w:t>xity of UE’s control info detection and decoding process for mini-slots.</w:t>
      </w:r>
    </w:p>
    <w:p w14:paraId="5EDCD423" w14:textId="794D1535" w:rsidR="00CF35D7" w:rsidRDefault="00CF35D7" w:rsidP="00842085">
      <w:pPr>
        <w:pStyle w:val="BodyText"/>
        <w:rPr>
          <w:i/>
        </w:rPr>
      </w:pPr>
      <w:r>
        <w:t xml:space="preserve">For the different </w:t>
      </w:r>
      <w:proofErr w:type="spellStart"/>
      <w:r>
        <w:t>senarios</w:t>
      </w:r>
      <w:proofErr w:type="spellEnd"/>
      <w:r>
        <w:t xml:space="preserve"> of using mini-slots, the pros and cons need to be studied for both one</w:t>
      </w:r>
      <w:r w:rsidR="00736612">
        <w:t>-</w:t>
      </w:r>
      <w:r>
        <w:t>level and two</w:t>
      </w:r>
      <w:r w:rsidR="00736612">
        <w:t>-</w:t>
      </w:r>
      <w:r>
        <w:t xml:space="preserve">level </w:t>
      </w:r>
      <w:r w:rsidR="00736612" w:rsidRPr="002D1B83">
        <w:t xml:space="preserve">DL </w:t>
      </w:r>
      <w:r>
        <w:t xml:space="preserve">control </w:t>
      </w:r>
      <w:r w:rsidR="00736612">
        <w:t xml:space="preserve">channel </w:t>
      </w:r>
      <w:r>
        <w:t>design with mini-slots, in order to meet different performance requirements with efficient usage of the NR system resources.</w:t>
      </w:r>
    </w:p>
    <w:p w14:paraId="26455E42" w14:textId="5C6FBC4E" w:rsidR="00842085" w:rsidRPr="00842085" w:rsidRDefault="00CF35D7" w:rsidP="00842085">
      <w:pPr>
        <w:pStyle w:val="BodyText"/>
        <w:rPr>
          <w:i/>
        </w:rPr>
      </w:pPr>
      <w:r>
        <w:rPr>
          <w:b/>
          <w:i/>
        </w:rPr>
        <w:t xml:space="preserve">Proposal </w:t>
      </w:r>
      <w:r w:rsidR="00842085" w:rsidRPr="00842085">
        <w:rPr>
          <w:b/>
          <w:i/>
        </w:rPr>
        <w:t xml:space="preserve">1: NR </w:t>
      </w:r>
      <w:r>
        <w:rPr>
          <w:b/>
          <w:i/>
        </w:rPr>
        <w:t>may</w:t>
      </w:r>
      <w:r w:rsidR="00842085" w:rsidRPr="00842085">
        <w:rPr>
          <w:b/>
          <w:i/>
        </w:rPr>
        <w:t xml:space="preserve"> consider </w:t>
      </w:r>
      <w:r>
        <w:rPr>
          <w:b/>
          <w:i/>
        </w:rPr>
        <w:t>both one</w:t>
      </w:r>
      <w:r w:rsidR="00736612">
        <w:rPr>
          <w:b/>
          <w:i/>
        </w:rPr>
        <w:t>-</w:t>
      </w:r>
      <w:r>
        <w:rPr>
          <w:b/>
          <w:i/>
        </w:rPr>
        <w:t>level and two</w:t>
      </w:r>
      <w:r w:rsidR="00736612">
        <w:rPr>
          <w:b/>
          <w:i/>
        </w:rPr>
        <w:t>-</w:t>
      </w:r>
      <w:r>
        <w:rPr>
          <w:b/>
          <w:i/>
        </w:rPr>
        <w:t xml:space="preserve">level </w:t>
      </w:r>
      <w:r w:rsidR="00736612">
        <w:rPr>
          <w:b/>
          <w:i/>
        </w:rPr>
        <w:t xml:space="preserve">DL </w:t>
      </w:r>
      <w:r>
        <w:rPr>
          <w:b/>
          <w:i/>
        </w:rPr>
        <w:t xml:space="preserve">control </w:t>
      </w:r>
      <w:r w:rsidR="00736612">
        <w:rPr>
          <w:b/>
          <w:i/>
        </w:rPr>
        <w:t xml:space="preserve">channel </w:t>
      </w:r>
      <w:r>
        <w:rPr>
          <w:b/>
          <w:i/>
        </w:rPr>
        <w:t>design for mini-slots</w:t>
      </w:r>
      <w:r w:rsidR="00842085" w:rsidRPr="00842085">
        <w:rPr>
          <w:i/>
        </w:rPr>
        <w:t>.</w:t>
      </w:r>
    </w:p>
    <w:p w14:paraId="0DAF75AA" w14:textId="77777777" w:rsidR="0096027F" w:rsidRPr="00842085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842085">
        <w:rPr>
          <w:rFonts w:ascii="Arial" w:hAnsi="Arial"/>
          <w:sz w:val="24"/>
          <w:szCs w:val="24"/>
        </w:rPr>
        <w:t>Conclusion</w:t>
      </w:r>
    </w:p>
    <w:p w14:paraId="764CC7FB" w14:textId="6DDDA40F" w:rsidR="00CF35D7" w:rsidRPr="00CF35D7" w:rsidRDefault="00CF35D7" w:rsidP="00EF59E3">
      <w:pPr>
        <w:pStyle w:val="BodyText"/>
      </w:pPr>
      <w:r w:rsidRPr="00CF35D7">
        <w:t>In this contribution, we have discussed the pros and cons of one</w:t>
      </w:r>
      <w:r w:rsidR="00736612">
        <w:t>-</w:t>
      </w:r>
      <w:r w:rsidRPr="00CF35D7">
        <w:t>level and two</w:t>
      </w:r>
      <w:r w:rsidR="00736612">
        <w:t>-</w:t>
      </w:r>
      <w:r w:rsidRPr="00CF35D7">
        <w:t xml:space="preserve">level </w:t>
      </w:r>
      <w:r w:rsidR="00736612">
        <w:t xml:space="preserve">DL </w:t>
      </w:r>
      <w:r w:rsidRPr="00CF35D7">
        <w:t xml:space="preserve">control </w:t>
      </w:r>
      <w:r w:rsidR="00736612">
        <w:t xml:space="preserve">channel </w:t>
      </w:r>
      <w:r w:rsidRPr="00CF35D7">
        <w:t>design for mini-slots, which is summarized as the following:</w:t>
      </w:r>
    </w:p>
    <w:p w14:paraId="30CCF854" w14:textId="6AEBC8C9" w:rsidR="00CF35D7" w:rsidRPr="00CF35D7" w:rsidRDefault="00CF35D7" w:rsidP="00CF35D7">
      <w:pPr>
        <w:pStyle w:val="BodyText"/>
        <w:rPr>
          <w:b/>
        </w:rPr>
      </w:pPr>
      <w:r w:rsidRPr="00CF35D7">
        <w:rPr>
          <w:b/>
        </w:rPr>
        <w:t xml:space="preserve">Observation 1: </w:t>
      </w:r>
      <w:r w:rsidRPr="00CF35D7">
        <w:t>One</w:t>
      </w:r>
      <w:r w:rsidR="00736612">
        <w:t>-</w:t>
      </w:r>
      <w:r w:rsidRPr="00CF35D7">
        <w:t xml:space="preserve">level control </w:t>
      </w:r>
      <w:r w:rsidR="00736612">
        <w:t xml:space="preserve">channel </w:t>
      </w:r>
      <w:r w:rsidRPr="00CF35D7">
        <w:t>design for mini-slot may simplify mini-slot UE’s control info detection and decoding process, but may increase the overall common DL control channel overhead and therefore potentially the blind decoding cost.</w:t>
      </w:r>
      <w:r w:rsidRPr="00CF35D7">
        <w:rPr>
          <w:b/>
        </w:rPr>
        <w:t xml:space="preserve"> </w:t>
      </w:r>
    </w:p>
    <w:p w14:paraId="425F7FBD" w14:textId="6F1E1C2F" w:rsidR="00CF35D7" w:rsidRPr="00CF35D7" w:rsidRDefault="00CF35D7" w:rsidP="00CF35D7">
      <w:pPr>
        <w:pStyle w:val="BodyText"/>
        <w:rPr>
          <w:b/>
        </w:rPr>
      </w:pPr>
      <w:r w:rsidRPr="00CF35D7">
        <w:rPr>
          <w:b/>
        </w:rPr>
        <w:lastRenderedPageBreak/>
        <w:t xml:space="preserve">Observation 2: </w:t>
      </w:r>
      <w:r w:rsidRPr="00CF35D7">
        <w:t>Two</w:t>
      </w:r>
      <w:r w:rsidR="00736612">
        <w:t>-</w:t>
      </w:r>
      <w:r w:rsidRPr="00CF35D7">
        <w:t xml:space="preserve">level control design for mini-slot may reduce the overall common DL control channel overhead and therefore potentially the blind decoding cost, but </w:t>
      </w:r>
      <w:r w:rsidR="00736612" w:rsidRPr="003D4346">
        <w:t>this may be achieved at</w:t>
      </w:r>
      <w:r w:rsidR="00736612" w:rsidRPr="003D4346">
        <w:rPr>
          <w:u w:val="single"/>
        </w:rPr>
        <w:t xml:space="preserve"> </w:t>
      </w:r>
      <w:r w:rsidRPr="00CF35D7">
        <w:t>the cost of  increased compl</w:t>
      </w:r>
      <w:r w:rsidR="00046F3E">
        <w:t>e</w:t>
      </w:r>
      <w:r w:rsidRPr="00CF35D7">
        <w:t>xity of UE’s control info detection and decoding process for mini-slots.</w:t>
      </w:r>
    </w:p>
    <w:p w14:paraId="0DAF75AD" w14:textId="704AF60F" w:rsidR="009D2775" w:rsidRPr="00CF35D7" w:rsidRDefault="00CF35D7" w:rsidP="009D2775">
      <w:pPr>
        <w:pStyle w:val="BodyText"/>
      </w:pPr>
      <w:r w:rsidRPr="00CF35D7">
        <w:rPr>
          <w:b/>
        </w:rPr>
        <w:t xml:space="preserve">Proposal 1: </w:t>
      </w:r>
      <w:r w:rsidRPr="00CF35D7">
        <w:t>NR may consider both one level and two level control design for mini-slots.</w:t>
      </w:r>
    </w:p>
    <w:p w14:paraId="0DAF75AE" w14:textId="77777777" w:rsidR="009D2775" w:rsidRPr="009D2775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9D2775">
        <w:rPr>
          <w:rFonts w:ascii="Arial" w:hAnsi="Arial" w:cs="Arial" w:hint="eastAsia"/>
          <w:b/>
          <w:sz w:val="24"/>
        </w:rPr>
        <w:t>4</w:t>
      </w:r>
      <w:r w:rsidRPr="009D2775">
        <w:rPr>
          <w:rFonts w:ascii="Arial" w:hAnsi="Arial" w:cs="Arial"/>
          <w:b/>
          <w:sz w:val="24"/>
        </w:rPr>
        <w:t xml:space="preserve">. </w:t>
      </w:r>
      <w:r w:rsidRPr="009D2775">
        <w:rPr>
          <w:rFonts w:ascii="Arial" w:hAnsi="Arial" w:cs="Arial" w:hint="eastAsia"/>
          <w:b/>
          <w:sz w:val="24"/>
        </w:rPr>
        <w:t>Reference</w:t>
      </w:r>
      <w:r>
        <w:rPr>
          <w:rFonts w:ascii="Arial" w:hAnsi="Arial" w:cs="Arial"/>
          <w:b/>
          <w:sz w:val="24"/>
        </w:rPr>
        <w:t>s</w:t>
      </w:r>
    </w:p>
    <w:p w14:paraId="0DAF75AF" w14:textId="77777777" w:rsidR="009D2775" w:rsidRPr="001D33C9" w:rsidRDefault="009D2775" w:rsidP="009D2775">
      <w:pPr>
        <w:pStyle w:val="iReference"/>
        <w:numPr>
          <w:ilvl w:val="0"/>
          <w:numId w:val="7"/>
        </w:numPr>
        <w:spacing w:before="0" w:after="0"/>
        <w:rPr>
          <w:rFonts w:ascii="Times New Roman" w:eastAsia="MS Mincho" w:hAnsi="Times New Roman" w:cs="Times New Roman"/>
          <w:sz w:val="20"/>
          <w:szCs w:val="24"/>
        </w:rPr>
      </w:pPr>
      <w:bookmarkStart w:id="6" w:name="_Ref466016400"/>
      <w:r w:rsidRPr="001D33C9">
        <w:rPr>
          <w:rFonts w:ascii="Times New Roman" w:eastAsia="MS Mincho" w:hAnsi="Times New Roman" w:cs="Times New Roman"/>
          <w:sz w:val="20"/>
          <w:szCs w:val="24"/>
        </w:rPr>
        <w:t>RAN1 Chairman’s Notes, 3GPP TSG RAN WG1 Meeting #87, Reno, USA, 14th - 18th November 2016</w:t>
      </w:r>
      <w:bookmarkEnd w:id="6"/>
    </w:p>
    <w:p w14:paraId="0DAF75B0" w14:textId="77777777" w:rsidR="00124A17" w:rsidRPr="009D2775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9D2775" w:rsidSect="00961E14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9C77F" w14:textId="77777777" w:rsidR="000D1139" w:rsidRDefault="000D1139">
      <w:r>
        <w:separator/>
      </w:r>
    </w:p>
  </w:endnote>
  <w:endnote w:type="continuationSeparator" w:id="0">
    <w:p w14:paraId="1DEE9CD9" w14:textId="77777777" w:rsidR="000D1139" w:rsidRDefault="000D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A8518" w14:textId="77777777" w:rsidR="000D1139" w:rsidRDefault="000D1139">
      <w:r>
        <w:separator/>
      </w:r>
    </w:p>
  </w:footnote>
  <w:footnote w:type="continuationSeparator" w:id="0">
    <w:p w14:paraId="6449E633" w14:textId="77777777" w:rsidR="000D1139" w:rsidRDefault="000D1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F75B5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5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6645ACA"/>
    <w:multiLevelType w:val="hybridMultilevel"/>
    <w:tmpl w:val="08A86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13"/>
  </w:num>
  <w:num w:numId="5">
    <w:abstractNumId w:val="7"/>
  </w:num>
  <w:num w:numId="6">
    <w:abstractNumId w:val="2"/>
  </w:num>
  <w:num w:numId="7">
    <w:abstractNumId w:val="4"/>
  </w:num>
  <w:num w:numId="8">
    <w:abstractNumId w:val="10"/>
  </w:num>
  <w:num w:numId="9">
    <w:abstractNumId w:val="12"/>
  </w:num>
  <w:num w:numId="10">
    <w:abstractNumId w:val="11"/>
  </w:num>
  <w:num w:numId="11">
    <w:abstractNumId w:val="0"/>
  </w:num>
  <w:num w:numId="12">
    <w:abstractNumId w:val="1"/>
  </w:num>
  <w:num w:numId="13">
    <w:abstractNumId w:val="8"/>
  </w:num>
  <w:num w:numId="14">
    <w:abstractNumId w:val="3"/>
  </w:num>
  <w:num w:numId="1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251E"/>
    <w:rsid w:val="00046F3E"/>
    <w:rsid w:val="00053CDC"/>
    <w:rsid w:val="00056F8C"/>
    <w:rsid w:val="000756DD"/>
    <w:rsid w:val="0009038A"/>
    <w:rsid w:val="00091D03"/>
    <w:rsid w:val="000944E4"/>
    <w:rsid w:val="000A258F"/>
    <w:rsid w:val="000B3C07"/>
    <w:rsid w:val="000C0387"/>
    <w:rsid w:val="000D1139"/>
    <w:rsid w:val="000F2D9E"/>
    <w:rsid w:val="0010025E"/>
    <w:rsid w:val="001018DF"/>
    <w:rsid w:val="001027FF"/>
    <w:rsid w:val="00112E18"/>
    <w:rsid w:val="00114B6A"/>
    <w:rsid w:val="00124A17"/>
    <w:rsid w:val="001379C7"/>
    <w:rsid w:val="00141448"/>
    <w:rsid w:val="00142260"/>
    <w:rsid w:val="001672C0"/>
    <w:rsid w:val="00172B27"/>
    <w:rsid w:val="00175D32"/>
    <w:rsid w:val="00191E60"/>
    <w:rsid w:val="001A579A"/>
    <w:rsid w:val="001B4110"/>
    <w:rsid w:val="001C5CE9"/>
    <w:rsid w:val="001D33C9"/>
    <w:rsid w:val="001D5808"/>
    <w:rsid w:val="001F0AB8"/>
    <w:rsid w:val="002029F5"/>
    <w:rsid w:val="00205AF2"/>
    <w:rsid w:val="00210105"/>
    <w:rsid w:val="0021013F"/>
    <w:rsid w:val="00214784"/>
    <w:rsid w:val="002348F8"/>
    <w:rsid w:val="0025528F"/>
    <w:rsid w:val="0025780D"/>
    <w:rsid w:val="00267343"/>
    <w:rsid w:val="002854A8"/>
    <w:rsid w:val="00290099"/>
    <w:rsid w:val="002B1A3A"/>
    <w:rsid w:val="002B5439"/>
    <w:rsid w:val="002C0453"/>
    <w:rsid w:val="002C3A4F"/>
    <w:rsid w:val="002D0AB6"/>
    <w:rsid w:val="002D1B83"/>
    <w:rsid w:val="002E6A70"/>
    <w:rsid w:val="002F12FE"/>
    <w:rsid w:val="00304706"/>
    <w:rsid w:val="0031422F"/>
    <w:rsid w:val="0032050A"/>
    <w:rsid w:val="00332034"/>
    <w:rsid w:val="00343A18"/>
    <w:rsid w:val="00350180"/>
    <w:rsid w:val="003556B3"/>
    <w:rsid w:val="00361CA8"/>
    <w:rsid w:val="00363390"/>
    <w:rsid w:val="0036695F"/>
    <w:rsid w:val="00374D59"/>
    <w:rsid w:val="003875A3"/>
    <w:rsid w:val="003A2DA6"/>
    <w:rsid w:val="003A3E47"/>
    <w:rsid w:val="003A6FB3"/>
    <w:rsid w:val="003C4C5C"/>
    <w:rsid w:val="003D2B14"/>
    <w:rsid w:val="003D4346"/>
    <w:rsid w:val="003E44B8"/>
    <w:rsid w:val="003F03A0"/>
    <w:rsid w:val="003F2649"/>
    <w:rsid w:val="004067C0"/>
    <w:rsid w:val="00411152"/>
    <w:rsid w:val="00420A12"/>
    <w:rsid w:val="00422F7B"/>
    <w:rsid w:val="00426280"/>
    <w:rsid w:val="00437ACB"/>
    <w:rsid w:val="0045465A"/>
    <w:rsid w:val="00477D0C"/>
    <w:rsid w:val="004837C7"/>
    <w:rsid w:val="00485D21"/>
    <w:rsid w:val="00492A78"/>
    <w:rsid w:val="00497805"/>
    <w:rsid w:val="004B57FD"/>
    <w:rsid w:val="004B5A03"/>
    <w:rsid w:val="004C321E"/>
    <w:rsid w:val="004C3D6F"/>
    <w:rsid w:val="004C4387"/>
    <w:rsid w:val="004D4629"/>
    <w:rsid w:val="004D7360"/>
    <w:rsid w:val="004E70DB"/>
    <w:rsid w:val="00511453"/>
    <w:rsid w:val="00525831"/>
    <w:rsid w:val="00525911"/>
    <w:rsid w:val="005260BE"/>
    <w:rsid w:val="00533099"/>
    <w:rsid w:val="00537B4C"/>
    <w:rsid w:val="0054164C"/>
    <w:rsid w:val="00541E43"/>
    <w:rsid w:val="00544CF0"/>
    <w:rsid w:val="0054744E"/>
    <w:rsid w:val="0055264E"/>
    <w:rsid w:val="00560C8F"/>
    <w:rsid w:val="0056282E"/>
    <w:rsid w:val="00566F92"/>
    <w:rsid w:val="00570BCE"/>
    <w:rsid w:val="00580D67"/>
    <w:rsid w:val="00587AD2"/>
    <w:rsid w:val="00594C69"/>
    <w:rsid w:val="005A2873"/>
    <w:rsid w:val="005C14F1"/>
    <w:rsid w:val="005C439D"/>
    <w:rsid w:val="005C5D2C"/>
    <w:rsid w:val="005D4E03"/>
    <w:rsid w:val="005D67F9"/>
    <w:rsid w:val="005E2125"/>
    <w:rsid w:val="005F57CF"/>
    <w:rsid w:val="0060203F"/>
    <w:rsid w:val="0061336B"/>
    <w:rsid w:val="0062673F"/>
    <w:rsid w:val="006348C5"/>
    <w:rsid w:val="00636F01"/>
    <w:rsid w:val="0064164A"/>
    <w:rsid w:val="00643A16"/>
    <w:rsid w:val="00647C59"/>
    <w:rsid w:val="006657F0"/>
    <w:rsid w:val="00665E2A"/>
    <w:rsid w:val="00670FD9"/>
    <w:rsid w:val="00690D10"/>
    <w:rsid w:val="006A286A"/>
    <w:rsid w:val="006A3129"/>
    <w:rsid w:val="006B0E49"/>
    <w:rsid w:val="006B271B"/>
    <w:rsid w:val="006E0D45"/>
    <w:rsid w:val="006F5B72"/>
    <w:rsid w:val="006F7196"/>
    <w:rsid w:val="00726A12"/>
    <w:rsid w:val="00736612"/>
    <w:rsid w:val="00741E68"/>
    <w:rsid w:val="00744D73"/>
    <w:rsid w:val="007506C7"/>
    <w:rsid w:val="0075384C"/>
    <w:rsid w:val="007569CA"/>
    <w:rsid w:val="00762DF4"/>
    <w:rsid w:val="0076348D"/>
    <w:rsid w:val="00765485"/>
    <w:rsid w:val="00776930"/>
    <w:rsid w:val="00780CB9"/>
    <w:rsid w:val="007A01C0"/>
    <w:rsid w:val="007B3933"/>
    <w:rsid w:val="007B6C73"/>
    <w:rsid w:val="007D6A2A"/>
    <w:rsid w:val="007E2C96"/>
    <w:rsid w:val="007E4F90"/>
    <w:rsid w:val="007F0CB5"/>
    <w:rsid w:val="007F3F65"/>
    <w:rsid w:val="00801F02"/>
    <w:rsid w:val="008043CE"/>
    <w:rsid w:val="00814351"/>
    <w:rsid w:val="00815566"/>
    <w:rsid w:val="008302A2"/>
    <w:rsid w:val="0083401B"/>
    <w:rsid w:val="00834DE7"/>
    <w:rsid w:val="0083689E"/>
    <w:rsid w:val="00841BE8"/>
    <w:rsid w:val="00842085"/>
    <w:rsid w:val="00843FE9"/>
    <w:rsid w:val="00846D5F"/>
    <w:rsid w:val="00853804"/>
    <w:rsid w:val="00854EA0"/>
    <w:rsid w:val="0086087F"/>
    <w:rsid w:val="008739DF"/>
    <w:rsid w:val="00890BBA"/>
    <w:rsid w:val="008978CA"/>
    <w:rsid w:val="008A062C"/>
    <w:rsid w:val="008A0B64"/>
    <w:rsid w:val="008A23AB"/>
    <w:rsid w:val="008A2D92"/>
    <w:rsid w:val="008A3AF2"/>
    <w:rsid w:val="008A5308"/>
    <w:rsid w:val="008B1B81"/>
    <w:rsid w:val="008B23D4"/>
    <w:rsid w:val="008B38BA"/>
    <w:rsid w:val="008C678C"/>
    <w:rsid w:val="008D11D9"/>
    <w:rsid w:val="008E1DF2"/>
    <w:rsid w:val="008E31D2"/>
    <w:rsid w:val="008E51B4"/>
    <w:rsid w:val="008E6A2B"/>
    <w:rsid w:val="008E7AA2"/>
    <w:rsid w:val="008F1739"/>
    <w:rsid w:val="008F77A7"/>
    <w:rsid w:val="0091488F"/>
    <w:rsid w:val="00923335"/>
    <w:rsid w:val="0094723D"/>
    <w:rsid w:val="0096027F"/>
    <w:rsid w:val="00961E14"/>
    <w:rsid w:val="0097151C"/>
    <w:rsid w:val="00973F8C"/>
    <w:rsid w:val="0097401A"/>
    <w:rsid w:val="00977B9E"/>
    <w:rsid w:val="0098312C"/>
    <w:rsid w:val="009A3751"/>
    <w:rsid w:val="009A6BB8"/>
    <w:rsid w:val="009B2E48"/>
    <w:rsid w:val="009B6504"/>
    <w:rsid w:val="009C0DAC"/>
    <w:rsid w:val="009C60EA"/>
    <w:rsid w:val="009D0238"/>
    <w:rsid w:val="009D2775"/>
    <w:rsid w:val="009D3405"/>
    <w:rsid w:val="009E70EF"/>
    <w:rsid w:val="009F0F87"/>
    <w:rsid w:val="009F4079"/>
    <w:rsid w:val="00A04388"/>
    <w:rsid w:val="00A12E54"/>
    <w:rsid w:val="00A150D3"/>
    <w:rsid w:val="00A3059E"/>
    <w:rsid w:val="00A37001"/>
    <w:rsid w:val="00A41E84"/>
    <w:rsid w:val="00A47015"/>
    <w:rsid w:val="00A62D4A"/>
    <w:rsid w:val="00A71CE0"/>
    <w:rsid w:val="00A7428A"/>
    <w:rsid w:val="00A757B8"/>
    <w:rsid w:val="00A75D04"/>
    <w:rsid w:val="00A808F6"/>
    <w:rsid w:val="00A81AA1"/>
    <w:rsid w:val="00A81EFF"/>
    <w:rsid w:val="00A85E54"/>
    <w:rsid w:val="00AA0A42"/>
    <w:rsid w:val="00AA13EF"/>
    <w:rsid w:val="00AB6372"/>
    <w:rsid w:val="00AC1B85"/>
    <w:rsid w:val="00AC2A5F"/>
    <w:rsid w:val="00AE1F3B"/>
    <w:rsid w:val="00AE3947"/>
    <w:rsid w:val="00AE7A97"/>
    <w:rsid w:val="00AF25FC"/>
    <w:rsid w:val="00AF3065"/>
    <w:rsid w:val="00B00FDB"/>
    <w:rsid w:val="00B07F76"/>
    <w:rsid w:val="00B1012B"/>
    <w:rsid w:val="00B1628E"/>
    <w:rsid w:val="00B34FDB"/>
    <w:rsid w:val="00B368D9"/>
    <w:rsid w:val="00B52C5F"/>
    <w:rsid w:val="00B52CDC"/>
    <w:rsid w:val="00B5516A"/>
    <w:rsid w:val="00B73A0F"/>
    <w:rsid w:val="00B85DCB"/>
    <w:rsid w:val="00B97B18"/>
    <w:rsid w:val="00BA2CDD"/>
    <w:rsid w:val="00BA3D9B"/>
    <w:rsid w:val="00BA610E"/>
    <w:rsid w:val="00BA76BC"/>
    <w:rsid w:val="00BF7E13"/>
    <w:rsid w:val="00C054CF"/>
    <w:rsid w:val="00C073DB"/>
    <w:rsid w:val="00C13452"/>
    <w:rsid w:val="00C1560A"/>
    <w:rsid w:val="00C27CDE"/>
    <w:rsid w:val="00C326A6"/>
    <w:rsid w:val="00C37AFA"/>
    <w:rsid w:val="00C50B3C"/>
    <w:rsid w:val="00C5382A"/>
    <w:rsid w:val="00C55346"/>
    <w:rsid w:val="00C55487"/>
    <w:rsid w:val="00C61496"/>
    <w:rsid w:val="00C625F8"/>
    <w:rsid w:val="00C65F53"/>
    <w:rsid w:val="00C71D38"/>
    <w:rsid w:val="00C7500D"/>
    <w:rsid w:val="00C93774"/>
    <w:rsid w:val="00CA15E0"/>
    <w:rsid w:val="00CB05D3"/>
    <w:rsid w:val="00CB4D3D"/>
    <w:rsid w:val="00CD49CB"/>
    <w:rsid w:val="00CE02E7"/>
    <w:rsid w:val="00CE28B2"/>
    <w:rsid w:val="00CE4E11"/>
    <w:rsid w:val="00CF2225"/>
    <w:rsid w:val="00CF35D7"/>
    <w:rsid w:val="00CF4799"/>
    <w:rsid w:val="00CF67BE"/>
    <w:rsid w:val="00CF7534"/>
    <w:rsid w:val="00D02349"/>
    <w:rsid w:val="00D03119"/>
    <w:rsid w:val="00D04257"/>
    <w:rsid w:val="00D11960"/>
    <w:rsid w:val="00D21900"/>
    <w:rsid w:val="00D338CE"/>
    <w:rsid w:val="00D350E3"/>
    <w:rsid w:val="00D423AA"/>
    <w:rsid w:val="00D516DD"/>
    <w:rsid w:val="00D53812"/>
    <w:rsid w:val="00D63209"/>
    <w:rsid w:val="00D701A0"/>
    <w:rsid w:val="00D707C4"/>
    <w:rsid w:val="00D83B62"/>
    <w:rsid w:val="00D95F2B"/>
    <w:rsid w:val="00DA110D"/>
    <w:rsid w:val="00DA5433"/>
    <w:rsid w:val="00DB3401"/>
    <w:rsid w:val="00DB3BC8"/>
    <w:rsid w:val="00DC0015"/>
    <w:rsid w:val="00DC085D"/>
    <w:rsid w:val="00DD1935"/>
    <w:rsid w:val="00DD4245"/>
    <w:rsid w:val="00DD4937"/>
    <w:rsid w:val="00DE3421"/>
    <w:rsid w:val="00DE63BC"/>
    <w:rsid w:val="00DF3AD7"/>
    <w:rsid w:val="00DF6135"/>
    <w:rsid w:val="00DF71DB"/>
    <w:rsid w:val="00DF762C"/>
    <w:rsid w:val="00E0407B"/>
    <w:rsid w:val="00E13BDA"/>
    <w:rsid w:val="00E220C0"/>
    <w:rsid w:val="00E2409D"/>
    <w:rsid w:val="00E253D6"/>
    <w:rsid w:val="00E30E59"/>
    <w:rsid w:val="00E31041"/>
    <w:rsid w:val="00E44D5A"/>
    <w:rsid w:val="00E45EB0"/>
    <w:rsid w:val="00E57CED"/>
    <w:rsid w:val="00E63D88"/>
    <w:rsid w:val="00E75AED"/>
    <w:rsid w:val="00E83054"/>
    <w:rsid w:val="00E87ACF"/>
    <w:rsid w:val="00EA08C2"/>
    <w:rsid w:val="00EA148A"/>
    <w:rsid w:val="00EA172F"/>
    <w:rsid w:val="00EA1984"/>
    <w:rsid w:val="00EB1F5C"/>
    <w:rsid w:val="00EB49BA"/>
    <w:rsid w:val="00EC61BE"/>
    <w:rsid w:val="00EC76D4"/>
    <w:rsid w:val="00EE478D"/>
    <w:rsid w:val="00EF59E3"/>
    <w:rsid w:val="00F0587F"/>
    <w:rsid w:val="00F11DCE"/>
    <w:rsid w:val="00F175F0"/>
    <w:rsid w:val="00F21365"/>
    <w:rsid w:val="00F272D4"/>
    <w:rsid w:val="00F311C8"/>
    <w:rsid w:val="00F3187A"/>
    <w:rsid w:val="00F37D49"/>
    <w:rsid w:val="00F4190F"/>
    <w:rsid w:val="00F47068"/>
    <w:rsid w:val="00F51EB4"/>
    <w:rsid w:val="00F65F44"/>
    <w:rsid w:val="00F7062A"/>
    <w:rsid w:val="00F74F61"/>
    <w:rsid w:val="00FB04C4"/>
    <w:rsid w:val="00FB1B57"/>
    <w:rsid w:val="00FD462E"/>
    <w:rsid w:val="00FD4D0F"/>
    <w:rsid w:val="00FD6BED"/>
    <w:rsid w:val="00FE304E"/>
    <w:rsid w:val="00FE5799"/>
    <w:rsid w:val="00FE6E6F"/>
    <w:rsid w:val="00FE76A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AF758B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styleId="Hyperlink">
    <w:name w:val="Hyperlink"/>
    <w:uiPriority w:val="99"/>
    <w:rsid w:val="00F31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0A6CC-77C8-4643-8023-38446C2E3CB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5A0275-A03C-4033-80BD-C94783F1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4</cp:revision>
  <dcterms:created xsi:type="dcterms:W3CDTF">2017-01-10T01:03:00Z</dcterms:created>
  <dcterms:modified xsi:type="dcterms:W3CDTF">2017-01-10T05:26:00Z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