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4FAA0" w14:textId="4CC3BB95" w:rsidR="00391553" w:rsidRPr="00391553" w:rsidRDefault="00391553" w:rsidP="00391553">
      <w:pPr>
        <w:pStyle w:val="Header"/>
        <w:rPr>
          <w:bCs/>
          <w:noProof w:val="0"/>
          <w:sz w:val="24"/>
          <w:lang w:val="en-GB"/>
        </w:rPr>
      </w:pPr>
      <w:r w:rsidRPr="00391553">
        <w:rPr>
          <w:bCs/>
          <w:noProof w:val="0"/>
          <w:sz w:val="24"/>
          <w:lang w:val="en-GB"/>
        </w:rPr>
        <w:t xml:space="preserve">3GPP TSG RAN WG1 NR Ad-Hoc Meeting          </w:t>
      </w:r>
      <w:r w:rsidRPr="00391553">
        <w:rPr>
          <w:bCs/>
          <w:noProof w:val="0"/>
          <w:sz w:val="24"/>
          <w:lang w:val="en-GB"/>
        </w:rPr>
        <w:tab/>
        <w:t xml:space="preserve">                 </w:t>
      </w:r>
      <w:r w:rsidRPr="00391553">
        <w:rPr>
          <w:bCs/>
          <w:noProof w:val="0"/>
          <w:sz w:val="24"/>
          <w:lang w:val="en-GB"/>
        </w:rPr>
        <w:tab/>
      </w:r>
      <w:r w:rsidR="004B06BB" w:rsidRPr="004B06BB">
        <w:rPr>
          <w:bCs/>
          <w:noProof w:val="0"/>
          <w:sz w:val="24"/>
          <w:lang w:val="en-GB"/>
        </w:rPr>
        <w:t>R1-1701093</w:t>
      </w:r>
    </w:p>
    <w:p w14:paraId="22333B48" w14:textId="0F8FACA3" w:rsidR="000C3073" w:rsidRDefault="00391553" w:rsidP="00391553">
      <w:pPr>
        <w:pStyle w:val="Header"/>
        <w:rPr>
          <w:bCs/>
          <w:noProof w:val="0"/>
          <w:sz w:val="24"/>
          <w:lang w:val="en-GB"/>
        </w:rPr>
      </w:pPr>
      <w:r w:rsidRPr="00391553">
        <w:rPr>
          <w:bCs/>
          <w:noProof w:val="0"/>
          <w:sz w:val="24"/>
          <w:lang w:val="en-GB"/>
        </w:rPr>
        <w:t>Spokane, USA, 16th - 20th January 2017</w:t>
      </w:r>
    </w:p>
    <w:p w14:paraId="50AC0E31" w14:textId="77777777" w:rsidR="00391553" w:rsidRPr="007B7496" w:rsidRDefault="00391553" w:rsidP="00391553">
      <w:pPr>
        <w:pStyle w:val="Header"/>
        <w:rPr>
          <w:bCs/>
          <w:noProof w:val="0"/>
          <w:sz w:val="24"/>
          <w:lang w:val="en-GB" w:eastAsia="ja-JP"/>
        </w:rPr>
      </w:pPr>
    </w:p>
    <w:p w14:paraId="22760FA0" w14:textId="439DF058"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16C03">
        <w:rPr>
          <w:rFonts w:cs="Arial"/>
          <w:b/>
          <w:bCs/>
          <w:sz w:val="24"/>
        </w:rPr>
        <w:t>5.1.2.2</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Alcatel-Lucent Shanghai Bell </w:t>
      </w:r>
    </w:p>
    <w:p w14:paraId="55701D02" w14:textId="47D92E75"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7749F">
        <w:rPr>
          <w:rFonts w:ascii="Arial" w:hAnsi="Arial" w:cs="Arial"/>
          <w:b/>
          <w:bCs/>
          <w:sz w:val="24"/>
        </w:rPr>
        <w:t>Multi-beam control channel transmission</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5FDCEB51" w14:textId="48AE602F" w:rsidR="006909FE" w:rsidRDefault="006909FE" w:rsidP="006909FE">
      <w:pPr>
        <w:spacing w:after="120"/>
        <w:rPr>
          <w:bCs/>
        </w:rPr>
      </w:pPr>
      <w:r>
        <w:rPr>
          <w:bCs/>
        </w:rPr>
        <w:t>In this contribution</w:t>
      </w:r>
      <w:r w:rsidR="00F84462">
        <w:rPr>
          <w:bCs/>
        </w:rPr>
        <w:t xml:space="preserve"> we consider beam management and </w:t>
      </w:r>
      <w:r w:rsidR="00EB6182">
        <w:rPr>
          <w:bCs/>
        </w:rPr>
        <w:t>network initiated beam switch to provide robustness against link blocking</w:t>
      </w:r>
      <w:r w:rsidR="00927FFE">
        <w:rPr>
          <w:bCs/>
        </w:rPr>
        <w:t>. In RAN1#87 the following agreement was made [3]:</w:t>
      </w:r>
    </w:p>
    <w:tbl>
      <w:tblPr>
        <w:tblStyle w:val="TableGrid"/>
        <w:tblW w:w="0" w:type="auto"/>
        <w:tblLook w:val="04A0" w:firstRow="1" w:lastRow="0" w:firstColumn="1" w:lastColumn="0" w:noHBand="0" w:noVBand="1"/>
      </w:tblPr>
      <w:tblGrid>
        <w:gridCol w:w="9629"/>
      </w:tblGrid>
      <w:tr w:rsidR="00A8771A" w14:paraId="635E0237" w14:textId="77777777" w:rsidTr="00A8771A">
        <w:tc>
          <w:tcPr>
            <w:tcW w:w="9629" w:type="dxa"/>
          </w:tcPr>
          <w:p w14:paraId="58A501FB" w14:textId="77777777" w:rsidR="00927FFE" w:rsidRPr="005669E5" w:rsidRDefault="00927FFE" w:rsidP="00927FFE">
            <w:pPr>
              <w:rPr>
                <w:rFonts w:eastAsia="MS Mincho"/>
                <w:iCs/>
                <w:lang w:eastAsia="ja-JP"/>
              </w:rPr>
            </w:pPr>
            <w:r w:rsidRPr="005669E5">
              <w:rPr>
                <w:rFonts w:eastAsia="MS Mincho"/>
                <w:iCs/>
                <w:highlight w:val="green"/>
                <w:lang w:eastAsia="ja-JP"/>
              </w:rPr>
              <w:t>Agreements</w:t>
            </w:r>
            <w:r w:rsidRPr="005669E5">
              <w:rPr>
                <w:rFonts w:eastAsia="MS Mincho"/>
                <w:iCs/>
                <w:lang w:eastAsia="ja-JP"/>
              </w:rPr>
              <w:t>:</w:t>
            </w:r>
          </w:p>
          <w:p w14:paraId="4D49D179" w14:textId="77777777" w:rsidR="00927FFE" w:rsidRPr="00927FFE" w:rsidRDefault="00927FFE" w:rsidP="00927FFE">
            <w:pPr>
              <w:pStyle w:val="ListParagraph"/>
              <w:numPr>
                <w:ilvl w:val="0"/>
                <w:numId w:val="49"/>
              </w:numPr>
              <w:overflowPunct w:val="0"/>
              <w:autoSpaceDE w:val="0"/>
              <w:autoSpaceDN w:val="0"/>
              <w:adjustRightInd w:val="0"/>
              <w:spacing w:after="180"/>
              <w:textAlignment w:val="baseline"/>
              <w:rPr>
                <w:rFonts w:eastAsia="MS Mincho"/>
                <w:iCs/>
                <w:sz w:val="20"/>
                <w:lang w:val="en-US"/>
              </w:rPr>
            </w:pPr>
            <w:r w:rsidRPr="00927FFE">
              <w:rPr>
                <w:rFonts w:eastAsia="MS Mincho"/>
                <w:iCs/>
                <w:sz w:val="20"/>
                <w:lang w:val="en-US"/>
              </w:rPr>
              <w:t>NR to provide robustness against beam pair link blocking</w:t>
            </w:r>
          </w:p>
          <w:p w14:paraId="23F60040" w14:textId="77777777" w:rsidR="00927FFE" w:rsidRPr="00927FFE" w:rsidRDefault="00927FFE" w:rsidP="00927FFE">
            <w:pPr>
              <w:pStyle w:val="ListParagraph"/>
              <w:numPr>
                <w:ilvl w:val="1"/>
                <w:numId w:val="49"/>
              </w:numPr>
              <w:overflowPunct w:val="0"/>
              <w:autoSpaceDE w:val="0"/>
              <w:autoSpaceDN w:val="0"/>
              <w:adjustRightInd w:val="0"/>
              <w:spacing w:after="180"/>
              <w:textAlignment w:val="baseline"/>
              <w:rPr>
                <w:rFonts w:eastAsia="MS Mincho"/>
                <w:iCs/>
                <w:sz w:val="20"/>
                <w:lang w:val="en-US"/>
              </w:rPr>
            </w:pPr>
            <w:r w:rsidRPr="00927FFE">
              <w:rPr>
                <w:rFonts w:eastAsia="MS Mincho"/>
                <w:iCs/>
                <w:sz w:val="20"/>
                <w:lang w:val="en-US"/>
              </w:rPr>
              <w:t>Study mechanisms to achieve the above purpose</w:t>
            </w:r>
          </w:p>
          <w:p w14:paraId="2F74634E" w14:textId="77777777" w:rsidR="00927FFE" w:rsidRPr="00927FFE" w:rsidRDefault="00927FFE" w:rsidP="00927FFE">
            <w:pPr>
              <w:pStyle w:val="ListParagraph"/>
              <w:numPr>
                <w:ilvl w:val="2"/>
                <w:numId w:val="49"/>
              </w:numPr>
              <w:overflowPunct w:val="0"/>
              <w:autoSpaceDE w:val="0"/>
              <w:autoSpaceDN w:val="0"/>
              <w:adjustRightInd w:val="0"/>
              <w:spacing w:after="180"/>
              <w:textAlignment w:val="baseline"/>
              <w:rPr>
                <w:rFonts w:eastAsia="MS Mincho"/>
                <w:iCs/>
                <w:sz w:val="20"/>
                <w:lang w:val="en-US"/>
              </w:rPr>
            </w:pPr>
            <w:r w:rsidRPr="00927FFE">
              <w:rPr>
                <w:rFonts w:eastAsia="MS Mincho"/>
                <w:iCs/>
                <w:sz w:val="20"/>
                <w:lang w:val="en-US"/>
              </w:rPr>
              <w:t>E.g., by enabling PDCCH/PDSCH monitoring with N beams</w:t>
            </w:r>
          </w:p>
          <w:p w14:paraId="1F1268D3" w14:textId="77777777" w:rsidR="00927FFE" w:rsidRPr="00927FFE" w:rsidRDefault="00927FFE" w:rsidP="00927FFE">
            <w:pPr>
              <w:pStyle w:val="ListParagraph"/>
              <w:numPr>
                <w:ilvl w:val="3"/>
                <w:numId w:val="49"/>
              </w:numPr>
              <w:overflowPunct w:val="0"/>
              <w:autoSpaceDE w:val="0"/>
              <w:autoSpaceDN w:val="0"/>
              <w:adjustRightInd w:val="0"/>
              <w:spacing w:after="180"/>
              <w:textAlignment w:val="baseline"/>
              <w:rPr>
                <w:rFonts w:eastAsia="MS Mincho"/>
                <w:iCs/>
                <w:sz w:val="20"/>
                <w:lang w:val="en-US"/>
              </w:rPr>
            </w:pPr>
            <w:r w:rsidRPr="00927FFE">
              <w:rPr>
                <w:rFonts w:eastAsia="MS Mincho"/>
                <w:iCs/>
                <w:sz w:val="20"/>
                <w:lang w:val="en-US"/>
              </w:rPr>
              <w:t>E.g., N=1, 2, …</w:t>
            </w:r>
          </w:p>
          <w:p w14:paraId="204C370D" w14:textId="77777777" w:rsidR="00927FFE" w:rsidRPr="00927FFE" w:rsidRDefault="00927FFE" w:rsidP="00927FFE">
            <w:pPr>
              <w:pStyle w:val="ListParagraph"/>
              <w:numPr>
                <w:ilvl w:val="3"/>
                <w:numId w:val="49"/>
              </w:numPr>
              <w:overflowPunct w:val="0"/>
              <w:autoSpaceDE w:val="0"/>
              <w:autoSpaceDN w:val="0"/>
              <w:adjustRightInd w:val="0"/>
              <w:spacing w:after="180"/>
              <w:textAlignment w:val="baseline"/>
              <w:rPr>
                <w:rFonts w:eastAsia="MS Mincho"/>
                <w:iCs/>
                <w:sz w:val="20"/>
                <w:lang w:val="en-US"/>
              </w:rPr>
            </w:pPr>
            <w:r w:rsidRPr="00927FFE">
              <w:rPr>
                <w:rFonts w:eastAsia="MS Mincho"/>
                <w:iCs/>
                <w:sz w:val="20"/>
                <w:lang w:val="en-US"/>
              </w:rPr>
              <w:t>E.g., TDM monitoring, simultaneous monitoring, etc.</w:t>
            </w:r>
          </w:p>
          <w:p w14:paraId="26E8C3BE" w14:textId="77777777" w:rsidR="00927FFE" w:rsidRPr="00927FFE" w:rsidRDefault="00927FFE" w:rsidP="00927FFE">
            <w:pPr>
              <w:pStyle w:val="ListParagraph"/>
              <w:numPr>
                <w:ilvl w:val="2"/>
                <w:numId w:val="49"/>
              </w:numPr>
              <w:overflowPunct w:val="0"/>
              <w:autoSpaceDE w:val="0"/>
              <w:autoSpaceDN w:val="0"/>
              <w:adjustRightInd w:val="0"/>
              <w:spacing w:after="180"/>
              <w:textAlignment w:val="baseline"/>
              <w:rPr>
                <w:rFonts w:eastAsia="MS Mincho"/>
                <w:iCs/>
                <w:sz w:val="20"/>
                <w:lang w:val="en-US"/>
              </w:rPr>
            </w:pPr>
            <w:r w:rsidRPr="00927FFE">
              <w:rPr>
                <w:rFonts w:eastAsia="MS Mincho"/>
                <w:iCs/>
                <w:sz w:val="20"/>
                <w:lang w:val="en-US"/>
              </w:rPr>
              <w:t xml:space="preserve">E.g., by enabling composite beams via e.g., SFBC and/or </w:t>
            </w:r>
            <w:r w:rsidRPr="00391553">
              <w:rPr>
                <w:rFonts w:eastAsia="MS Mincho"/>
                <w:iCs/>
                <w:sz w:val="20"/>
                <w:highlight w:val="yellow"/>
                <w:lang w:val="en-US"/>
              </w:rPr>
              <w:t>multi-stage control channel</w:t>
            </w:r>
          </w:p>
          <w:p w14:paraId="6CED36D9" w14:textId="47CAD958" w:rsidR="00B9601F" w:rsidRPr="00927FFE" w:rsidRDefault="00927FFE" w:rsidP="00927FFE">
            <w:pPr>
              <w:pStyle w:val="ListParagraph"/>
              <w:numPr>
                <w:ilvl w:val="2"/>
                <w:numId w:val="49"/>
              </w:numPr>
              <w:overflowPunct w:val="0"/>
              <w:autoSpaceDE w:val="0"/>
              <w:autoSpaceDN w:val="0"/>
              <w:adjustRightInd w:val="0"/>
              <w:spacing w:after="180"/>
              <w:textAlignment w:val="baseline"/>
              <w:rPr>
                <w:rFonts w:eastAsia="MS Mincho"/>
                <w:iCs/>
                <w:lang w:val="en-US"/>
              </w:rPr>
            </w:pPr>
            <w:r w:rsidRPr="00927FFE">
              <w:rPr>
                <w:rFonts w:eastAsia="MS Mincho"/>
                <w:iCs/>
                <w:sz w:val="20"/>
                <w:lang w:val="en-US"/>
              </w:rPr>
              <w:t>The examples are not intended to be exhaustive</w:t>
            </w:r>
          </w:p>
        </w:tc>
      </w:tr>
    </w:tbl>
    <w:p w14:paraId="7D1ABB9C" w14:textId="77777777" w:rsidR="00F02D22" w:rsidRDefault="00F02D22" w:rsidP="006909FE">
      <w:pPr>
        <w:spacing w:after="120"/>
        <w:rPr>
          <w:bCs/>
        </w:rPr>
      </w:pPr>
    </w:p>
    <w:p w14:paraId="1DF305FE" w14:textId="22C7335D"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5C43E3E5" w14:textId="07F158A7" w:rsidR="000550B4" w:rsidRDefault="001A3BDD" w:rsidP="000550B4">
      <w:pPr>
        <w:jc w:val="both"/>
        <w:rPr>
          <w:lang w:val="en-US" w:eastAsia="x-none"/>
        </w:rPr>
      </w:pPr>
      <w:r>
        <w:rPr>
          <w:lang w:val="en-US" w:eastAsia="x-none"/>
        </w:rPr>
        <w:t xml:space="preserve">As captured in agreements from the RAN1#87, robustness against beam blocking can be provided by having multiple PDCCH candidate beams (which are not sharing the same AoD and AoA parameter pairs in QCL wise) and forming a composite PDCCH beam again from multiple candidate beams which are not sharing the same AoD and AoA parameters. The candidate PDCCH beams refer to the gNB DL beams that the UE has detected and measured to be strong beams, reported those results to the gNB and gNB has configured the beams to </w:t>
      </w:r>
      <w:r w:rsidR="00773231">
        <w:rPr>
          <w:lang w:val="en-US" w:eastAsia="x-none"/>
        </w:rPr>
        <w:t>a</w:t>
      </w:r>
      <w:r>
        <w:rPr>
          <w:lang w:val="en-US" w:eastAsia="x-none"/>
        </w:rPr>
        <w:t xml:space="preserve"> candidate beam set for the UE using which the PDCCH can be transmitted.</w:t>
      </w:r>
    </w:p>
    <w:p w14:paraId="7D838BAA" w14:textId="1FBEAA38" w:rsidR="00337686" w:rsidRDefault="00095F11" w:rsidP="000550B4">
      <w:pPr>
        <w:jc w:val="both"/>
        <w:rPr>
          <w:lang w:val="en-US" w:eastAsia="x-none"/>
        </w:rPr>
      </w:pPr>
      <w:r>
        <w:rPr>
          <w:lang w:val="en-US" w:eastAsia="x-none"/>
        </w:rPr>
        <w:t xml:space="preserve">To evaluate which </w:t>
      </w:r>
      <w:r w:rsidR="00FE03A2">
        <w:rPr>
          <w:lang w:val="en-US" w:eastAsia="x-none"/>
        </w:rPr>
        <w:t>solution</w:t>
      </w:r>
      <w:r>
        <w:rPr>
          <w:lang w:val="en-US" w:eastAsia="x-none"/>
        </w:rPr>
        <w:t xml:space="preserve"> is better than the other</w:t>
      </w:r>
      <w:r w:rsidR="00FE03A2">
        <w:rPr>
          <w:lang w:val="en-US" w:eastAsia="x-none"/>
        </w:rPr>
        <w:t>,</w:t>
      </w:r>
      <w:r>
        <w:rPr>
          <w:lang w:val="en-US" w:eastAsia="x-none"/>
        </w:rPr>
        <w:t xml:space="preserve"> there may be different assumptions and aspects that influence on the result like used beamwidths at both gNB and UE, number of simultaneous bea</w:t>
      </w:r>
      <w:r w:rsidR="00AA3A25">
        <w:rPr>
          <w:lang w:val="en-US" w:eastAsia="x-none"/>
        </w:rPr>
        <w:t xml:space="preserve">ms e.g. at the UE and whether the cell is having multiple non co-located TRPs or not. </w:t>
      </w:r>
      <w:r w:rsidR="00F71B2E">
        <w:rPr>
          <w:lang w:val="en-US" w:eastAsia="x-none"/>
        </w:rPr>
        <w:t>On the other hand, use of multi-stage control channel comprising common PDCCH as a first stage and UE specific as the second stage is not considered very practical when using analog or hybrid transceiver architecture because common signaling would require beam sweeping operation introducing potentially significant system overhead. Thus, we don’t see multi-stage control channel practical option in multi-beam DL configuration</w:t>
      </w:r>
      <w:r w:rsidR="00BB1A9B">
        <w:rPr>
          <w:lang w:val="en-US" w:eastAsia="x-none"/>
        </w:rPr>
        <w:t xml:space="preserve"> and do not consider it as an option in subsequent discussion which assumes multi-beam system configuration.</w:t>
      </w:r>
    </w:p>
    <w:p w14:paraId="1CF65FC4" w14:textId="4E8C9E7F" w:rsidR="00F71B2E" w:rsidRPr="00391553" w:rsidRDefault="00F71B2E" w:rsidP="000550B4">
      <w:pPr>
        <w:jc w:val="both"/>
        <w:rPr>
          <w:b/>
          <w:i/>
          <w:lang w:val="en-US" w:eastAsia="x-none"/>
        </w:rPr>
      </w:pPr>
      <w:r>
        <w:rPr>
          <w:b/>
          <w:i/>
          <w:lang w:val="en-US" w:eastAsia="x-none"/>
        </w:rPr>
        <w:t xml:space="preserve">Observation: Multi-stage PDCCH comprising </w:t>
      </w:r>
      <w:r w:rsidR="00BB1A9B">
        <w:rPr>
          <w:b/>
          <w:i/>
          <w:lang w:val="en-US" w:eastAsia="x-none"/>
        </w:rPr>
        <w:t>common and UE specific stages, where common requires beam sweeping, is not seen attractive when the gNB operates using analog or hybrid transceiver architecture.</w:t>
      </w:r>
    </w:p>
    <w:p w14:paraId="0D1F7F42" w14:textId="2869DC71" w:rsidR="00773231" w:rsidRDefault="00773231" w:rsidP="00773231">
      <w:pPr>
        <w:pStyle w:val="Heading2"/>
        <w:rPr>
          <w:lang w:val="en-US"/>
        </w:rPr>
      </w:pPr>
      <w:r>
        <w:rPr>
          <w:lang w:val="en-US"/>
        </w:rPr>
        <w:t>2.1</w:t>
      </w:r>
      <w:r>
        <w:rPr>
          <w:lang w:val="en-US"/>
        </w:rPr>
        <w:tab/>
        <w:t>Composite Beam</w:t>
      </w:r>
    </w:p>
    <w:p w14:paraId="3C8594D7" w14:textId="6493B509" w:rsidR="00773231" w:rsidRPr="00773231" w:rsidRDefault="00E03054" w:rsidP="00773231">
      <w:pPr>
        <w:jc w:val="both"/>
        <w:rPr>
          <w:lang w:val="en-US" w:eastAsia="x-none"/>
        </w:rPr>
      </w:pPr>
      <w:r>
        <w:rPr>
          <w:lang w:val="en-US" w:eastAsia="x-none"/>
        </w:rPr>
        <w:t xml:space="preserve">Composite beam transmission refers to the simultaneous transmission of multiple beams which may be received by the UE in a transparent way. However, such a definition is facing a few hurdles when the UE is performing Rx beamforming as well. </w:t>
      </w:r>
      <w:r w:rsidR="001A3BDD">
        <w:rPr>
          <w:lang w:val="en-US" w:eastAsia="x-none"/>
        </w:rPr>
        <w:t>When beam</w:t>
      </w:r>
      <w:r w:rsidR="00095F11">
        <w:rPr>
          <w:lang w:val="en-US" w:eastAsia="x-none"/>
        </w:rPr>
        <w:t xml:space="preserve"> blockage happens in case </w:t>
      </w:r>
      <w:r w:rsidR="00FE03A2">
        <w:rPr>
          <w:lang w:val="en-US" w:eastAsia="x-none"/>
        </w:rPr>
        <w:t>of narrow beams at both ends</w:t>
      </w:r>
      <w:r w:rsidR="006F73E9">
        <w:rPr>
          <w:lang w:val="en-US" w:eastAsia="x-none"/>
        </w:rPr>
        <w:t>,</w:t>
      </w:r>
      <w:r w:rsidR="00FE03A2">
        <w:rPr>
          <w:lang w:val="en-US" w:eastAsia="x-none"/>
        </w:rPr>
        <w:t xml:space="preserve"> it i</w:t>
      </w:r>
      <w:r w:rsidR="00095F11">
        <w:rPr>
          <w:lang w:val="en-US" w:eastAsia="x-none"/>
        </w:rPr>
        <w:t xml:space="preserve">s likely that both transmitter and receiver should change the beam in order to find a path without suffering from blockage. </w:t>
      </w:r>
      <w:r w:rsidR="00AA3A25">
        <w:rPr>
          <w:lang w:val="en-US" w:eastAsia="x-none"/>
        </w:rPr>
        <w:t xml:space="preserve">As an example, </w:t>
      </w:r>
      <w:r w:rsidR="006F73E9">
        <w:rPr>
          <w:lang w:val="en-US" w:eastAsia="x-none"/>
        </w:rPr>
        <w:t xml:space="preserve">let’s </w:t>
      </w:r>
      <w:r w:rsidR="00AA3A25">
        <w:rPr>
          <w:lang w:val="en-US" w:eastAsia="x-none"/>
        </w:rPr>
        <w:t xml:space="preserve">assume that a UE is having a capability to form one beam at a time (e.g. one x-pol beam) and that a 3dB beamwidth is more narrow than </w:t>
      </w:r>
      <w:r w:rsidR="00AA3A25">
        <w:rPr>
          <w:lang w:val="en-US" w:eastAsia="x-none"/>
        </w:rPr>
        <w:lastRenderedPageBreak/>
        <w:t>omni-directional beam. It’s further assumed a multi-TRP scenario</w:t>
      </w:r>
      <w:r w:rsidR="00337686">
        <w:rPr>
          <w:lang w:val="en-US" w:eastAsia="x-none"/>
        </w:rPr>
        <w:t xml:space="preserve"> (TRP#A and TRP#B)</w:t>
      </w:r>
      <w:r w:rsidR="006F73E9">
        <w:rPr>
          <w:lang w:val="en-US" w:eastAsia="x-none"/>
        </w:rPr>
        <w:t xml:space="preserve"> where TRPs are non co-located, see Figure 1 below.</w:t>
      </w:r>
      <w:r w:rsidR="00AA3A25">
        <w:rPr>
          <w:lang w:val="en-US" w:eastAsia="x-none"/>
        </w:rPr>
        <w:t xml:space="preserve"> </w:t>
      </w:r>
    </w:p>
    <w:p w14:paraId="1DC776CA" w14:textId="207E8822" w:rsidR="00337686" w:rsidRDefault="007C53D5" w:rsidP="000550B4">
      <w:pPr>
        <w:jc w:val="both"/>
        <w:rPr>
          <w:lang w:val="en-US" w:eastAsia="x-none"/>
        </w:rPr>
      </w:pPr>
      <w:r>
        <w:rPr>
          <w:lang w:val="en-US" w:eastAsia="x-none"/>
        </w:rPr>
        <w:t xml:space="preserve">The </w:t>
      </w:r>
      <w:r w:rsidR="00AA3A25">
        <w:rPr>
          <w:lang w:val="en-US" w:eastAsia="x-none"/>
        </w:rPr>
        <w:t xml:space="preserve">UE is being served via a serving beam from TRP #A to which its RX beam aligned with when a blockage happens. It’s assumed that blockage is wider in angular domain than angular spreads between TRP #A and UE. </w:t>
      </w:r>
      <w:r w:rsidR="00337686">
        <w:rPr>
          <w:lang w:val="en-US" w:eastAsia="x-none"/>
        </w:rPr>
        <w:t xml:space="preserve">That means that UE is not able to receive any transmission from the gNB unless the UE changes its RX beam and align e.g. with a strong beam from TRP #B. Thus, it’s argued that pure composite beam transmission e.g. from multiple TRPs may not provide any robustness if the UE side beam is not aligned with blockage free transmitting gNB beam. </w:t>
      </w:r>
      <w:r w:rsidR="001C4DFD">
        <w:rPr>
          <w:lang w:val="en-US" w:eastAsia="x-none"/>
        </w:rPr>
        <w:t>This can</w:t>
      </w:r>
      <w:r w:rsidR="00337686">
        <w:rPr>
          <w:lang w:val="en-US" w:eastAsia="x-none"/>
        </w:rPr>
        <w:t xml:space="preserve"> be solved by configuring UE with the gNB beams that are used to form a composite beam and UE may re-align its RX beam from one candidate beam to another when the UE detects that the candidate beam towards which its RX beam is aligned has degraded.</w:t>
      </w:r>
      <w:r w:rsidR="00C4474C">
        <w:rPr>
          <w:lang w:val="en-US" w:eastAsia="x-none"/>
        </w:rPr>
        <w:t xml:space="preserve"> Here the candidate beams are strong beams that the UE is not able receive simultaneously but with different RX beams that UE has to multiplex in time domain. </w:t>
      </w:r>
      <w:r w:rsidR="00337686">
        <w:rPr>
          <w:lang w:val="en-US" w:eastAsia="x-none"/>
        </w:rPr>
        <w:t xml:space="preserve">To enable tracking of candidate beam qualities, there should be </w:t>
      </w:r>
      <w:r w:rsidR="001C4DFD">
        <w:rPr>
          <w:lang w:val="en-US" w:eastAsia="x-none"/>
        </w:rPr>
        <w:t xml:space="preserve">a </w:t>
      </w:r>
      <w:r w:rsidR="00337686">
        <w:rPr>
          <w:lang w:val="en-US" w:eastAsia="x-none"/>
        </w:rPr>
        <w:t>possibility for continuou</w:t>
      </w:r>
      <w:r w:rsidR="00C4474C">
        <w:rPr>
          <w:lang w:val="en-US" w:eastAsia="x-none"/>
        </w:rPr>
        <w:t>s</w:t>
      </w:r>
      <w:r w:rsidR="00337686">
        <w:rPr>
          <w:lang w:val="en-US" w:eastAsia="x-none"/>
        </w:rPr>
        <w:t xml:space="preserve"> track</w:t>
      </w:r>
      <w:r w:rsidR="00C4474C">
        <w:rPr>
          <w:lang w:val="en-US" w:eastAsia="x-none"/>
        </w:rPr>
        <w:t>ing</w:t>
      </w:r>
      <w:r w:rsidR="00337686">
        <w:rPr>
          <w:lang w:val="en-US" w:eastAsia="x-none"/>
        </w:rPr>
        <w:t xml:space="preserve"> and measur</w:t>
      </w:r>
      <w:r w:rsidR="00C4474C">
        <w:rPr>
          <w:lang w:val="en-US" w:eastAsia="x-none"/>
        </w:rPr>
        <w:t>ing</w:t>
      </w:r>
      <w:r w:rsidR="00337686">
        <w:rPr>
          <w:lang w:val="en-US" w:eastAsia="x-none"/>
        </w:rPr>
        <w:t xml:space="preserve"> </w:t>
      </w:r>
      <w:r w:rsidR="00C4474C">
        <w:rPr>
          <w:lang w:val="en-US" w:eastAsia="x-none"/>
        </w:rPr>
        <w:t xml:space="preserve">of </w:t>
      </w:r>
      <w:r w:rsidR="00337686">
        <w:rPr>
          <w:lang w:val="en-US" w:eastAsia="x-none"/>
        </w:rPr>
        <w:t>gNB beams</w:t>
      </w:r>
      <w:r w:rsidR="00C4474C">
        <w:rPr>
          <w:lang w:val="en-US" w:eastAsia="x-none"/>
        </w:rPr>
        <w:t xml:space="preserve">. </w:t>
      </w:r>
    </w:p>
    <w:p w14:paraId="74137A93" w14:textId="31394E81" w:rsidR="00C4474C" w:rsidRDefault="00C4474C" w:rsidP="000550B4">
      <w:pPr>
        <w:jc w:val="both"/>
        <w:rPr>
          <w:lang w:val="en-US" w:eastAsia="x-none"/>
        </w:rPr>
      </w:pPr>
      <w:r>
        <w:rPr>
          <w:lang w:val="en-US" w:eastAsia="x-none"/>
        </w:rPr>
        <w:t>As described</w:t>
      </w:r>
      <w:r w:rsidR="001C4DFD">
        <w:rPr>
          <w:lang w:val="en-US" w:eastAsia="x-none"/>
        </w:rPr>
        <w:t>,</w:t>
      </w:r>
      <w:r>
        <w:rPr>
          <w:lang w:val="en-US" w:eastAsia="x-none"/>
        </w:rPr>
        <w:t xml:space="preserve"> the composite beam based transmission may provide robustness against blockages but with the cost of waste of expensive downlink beam resources</w:t>
      </w:r>
      <w:r w:rsidR="00773231">
        <w:rPr>
          <w:lang w:val="en-US" w:eastAsia="x-none"/>
        </w:rPr>
        <w:t xml:space="preserve"> as illustrated in </w:t>
      </w:r>
      <w:r w:rsidR="00773231">
        <w:rPr>
          <w:lang w:val="en-US" w:eastAsia="x-none"/>
        </w:rPr>
        <w:fldChar w:fldCharType="begin"/>
      </w:r>
      <w:r w:rsidR="00773231">
        <w:rPr>
          <w:lang w:val="en-US" w:eastAsia="x-none"/>
        </w:rPr>
        <w:instrText xml:space="preserve"> REF _Ref469487137 \h </w:instrText>
      </w:r>
      <w:r w:rsidR="00773231">
        <w:rPr>
          <w:lang w:val="en-US" w:eastAsia="x-none"/>
        </w:rPr>
      </w:r>
      <w:r w:rsidR="00773231">
        <w:rPr>
          <w:lang w:val="en-US" w:eastAsia="x-none"/>
        </w:rPr>
        <w:fldChar w:fldCharType="separate"/>
      </w:r>
      <w:r w:rsidR="00773231">
        <w:t xml:space="preserve">Figure </w:t>
      </w:r>
      <w:r w:rsidR="00773231">
        <w:rPr>
          <w:noProof/>
        </w:rPr>
        <w:t>1</w:t>
      </w:r>
      <w:r w:rsidR="00773231">
        <w:rPr>
          <w:lang w:val="en-US" w:eastAsia="x-none"/>
        </w:rPr>
        <w:fldChar w:fldCharType="end"/>
      </w:r>
      <w:r>
        <w:rPr>
          <w:lang w:val="en-US" w:eastAsia="x-none"/>
        </w:rPr>
        <w:t xml:space="preserve">. And especially in case the UE is not able to receive from multiple directions simultaneously, the transmission form TRP #B may not provide any positive contribution upon TRP #A transmission when UE’s RX beam is aligned with TRP #A transmitting beam. </w:t>
      </w:r>
    </w:p>
    <w:p w14:paraId="399F5DD1" w14:textId="316A3638" w:rsidR="00773231" w:rsidRDefault="00773231" w:rsidP="00773231">
      <w:pPr>
        <w:jc w:val="center"/>
      </w:pPr>
      <w:r>
        <w:object w:dxaOrig="12872" w:dyaOrig="7157" w14:anchorId="53A0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3in" o:ole="">
            <v:imagedata r:id="rId11" o:title=""/>
          </v:shape>
          <o:OLEObject Type="Embed" ProgID="Visio.Drawing.11" ShapeID="_x0000_i1025" DrawAspect="Content" ObjectID="_1545489497" r:id="rId12"/>
        </w:object>
      </w:r>
    </w:p>
    <w:p w14:paraId="31DEFFDB" w14:textId="77777777" w:rsidR="00773231" w:rsidRPr="00773231" w:rsidRDefault="00773231" w:rsidP="00773231">
      <w:pPr>
        <w:pStyle w:val="Caption"/>
        <w:jc w:val="center"/>
        <w:rPr>
          <w:lang w:val="en-US"/>
        </w:rPr>
      </w:pPr>
      <w:bookmarkStart w:id="2" w:name="_Ref469487137"/>
      <w:r>
        <w:t xml:space="preserve">Figure </w:t>
      </w:r>
      <w:r w:rsidR="003411CB">
        <w:fldChar w:fldCharType="begin"/>
      </w:r>
      <w:r w:rsidR="003411CB">
        <w:instrText xml:space="preserve"> SEQ Figure \* ARABIC </w:instrText>
      </w:r>
      <w:r w:rsidR="003411CB">
        <w:fldChar w:fldCharType="separate"/>
      </w:r>
      <w:r w:rsidR="00EF3969">
        <w:rPr>
          <w:noProof/>
        </w:rPr>
        <w:t>1</w:t>
      </w:r>
      <w:r w:rsidR="003411CB">
        <w:rPr>
          <w:noProof/>
        </w:rPr>
        <w:fldChar w:fldCharType="end"/>
      </w:r>
      <w:bookmarkEnd w:id="2"/>
      <w:r w:rsidRPr="00773231">
        <w:rPr>
          <w:lang w:val="en-US"/>
        </w:rPr>
        <w:t xml:space="preserve"> PDCCH using composite beam (transmitting beams from different TRPs of the cell).</w:t>
      </w:r>
    </w:p>
    <w:p w14:paraId="0CF1C827" w14:textId="1B46FD59" w:rsidR="00337686" w:rsidRDefault="00337686" w:rsidP="000550B4">
      <w:pPr>
        <w:jc w:val="both"/>
        <w:rPr>
          <w:b/>
          <w:i/>
          <w:lang w:val="en-US" w:eastAsia="x-none"/>
        </w:rPr>
      </w:pPr>
      <w:r>
        <w:rPr>
          <w:b/>
          <w:i/>
          <w:lang w:val="en-US" w:eastAsia="x-none"/>
        </w:rPr>
        <w:t xml:space="preserve">Observation: </w:t>
      </w:r>
      <w:r w:rsidR="00C4474C">
        <w:rPr>
          <w:b/>
          <w:i/>
          <w:lang w:val="en-US" w:eastAsia="x-none"/>
        </w:rPr>
        <w:t xml:space="preserve">Use of composite beam from multiple gNB beams can provide robustness against blockages but with the cost of consuming expensive hardware/beam resources. </w:t>
      </w:r>
    </w:p>
    <w:p w14:paraId="497BF04C" w14:textId="47016027" w:rsidR="00EF3D67" w:rsidRPr="00EF3D67" w:rsidRDefault="00EF3D67" w:rsidP="000550B4">
      <w:pPr>
        <w:jc w:val="both"/>
        <w:rPr>
          <w:lang w:val="en-US" w:eastAsia="x-none"/>
        </w:rPr>
      </w:pPr>
      <w:r>
        <w:rPr>
          <w:lang w:val="en-US" w:eastAsia="x-none"/>
        </w:rPr>
        <w:t>To be a</w:t>
      </w:r>
      <w:r w:rsidR="00E03054">
        <w:rPr>
          <w:lang w:val="en-US" w:eastAsia="x-none"/>
        </w:rPr>
        <w:t>ble to inform gNB about the loss</w:t>
      </w:r>
      <w:r>
        <w:rPr>
          <w:lang w:val="en-US" w:eastAsia="x-none"/>
        </w:rPr>
        <w:t xml:space="preserve"> of one serving beam, the UE should </w:t>
      </w:r>
      <w:r w:rsidR="004B4A9A">
        <w:rPr>
          <w:lang w:val="en-US" w:eastAsia="x-none"/>
        </w:rPr>
        <w:t xml:space="preserve">also </w:t>
      </w:r>
      <w:r>
        <w:rPr>
          <w:lang w:val="en-US" w:eastAsia="x-none"/>
        </w:rPr>
        <w:t xml:space="preserve">be provided UL PUCCH or PUSCH resources </w:t>
      </w:r>
      <w:r w:rsidR="004B4A9A">
        <w:rPr>
          <w:lang w:val="en-US" w:eastAsia="x-none"/>
        </w:rPr>
        <w:t xml:space="preserve">in similar manner, i.e. via different UL RX beams to which the UE may align its TX beam. Upon reception of the report the gNB may update the current serving beam set to the UE for PDCCH reception. </w:t>
      </w:r>
    </w:p>
    <w:p w14:paraId="0D71F49C" w14:textId="30054A2C" w:rsidR="00C4474C" w:rsidRDefault="00773231" w:rsidP="00773231">
      <w:pPr>
        <w:pStyle w:val="Heading2"/>
        <w:rPr>
          <w:lang w:val="en-US"/>
        </w:rPr>
      </w:pPr>
      <w:r>
        <w:rPr>
          <w:lang w:val="en-US"/>
        </w:rPr>
        <w:t>2.2</w:t>
      </w:r>
      <w:r>
        <w:rPr>
          <w:lang w:val="en-US"/>
        </w:rPr>
        <w:tab/>
      </w:r>
      <w:r w:rsidR="00C34D7B">
        <w:rPr>
          <w:lang w:val="en-US"/>
        </w:rPr>
        <w:t>Multiple PDCCH Monitoring Beams</w:t>
      </w:r>
      <w:r>
        <w:rPr>
          <w:lang w:val="en-US"/>
        </w:rPr>
        <w:t xml:space="preserve"> </w:t>
      </w:r>
    </w:p>
    <w:p w14:paraId="29FB46FD" w14:textId="7FA0F05F" w:rsidR="00EA3823" w:rsidRDefault="00BA662E" w:rsidP="00EA3823">
      <w:pPr>
        <w:jc w:val="both"/>
        <w:rPr>
          <w:lang w:val="en-US"/>
        </w:rPr>
      </w:pPr>
      <w:r>
        <w:rPr>
          <w:lang w:val="en-US"/>
        </w:rPr>
        <w:t xml:space="preserve">In addition to composite beam approach, another approach would be to have multiple candidate/serving beams for PDCCH transmission. </w:t>
      </w:r>
      <w:r w:rsidR="004B4A9A">
        <w:rPr>
          <w:lang w:val="en-US"/>
        </w:rPr>
        <w:t xml:space="preserve">Given the limited number of </w:t>
      </w:r>
      <w:r>
        <w:rPr>
          <w:lang w:val="en-US"/>
        </w:rPr>
        <w:t xml:space="preserve">simultaneous RX beams </w:t>
      </w:r>
      <w:r w:rsidR="004B4A9A">
        <w:rPr>
          <w:lang w:val="en-US"/>
        </w:rPr>
        <w:t xml:space="preserve">at UE </w:t>
      </w:r>
      <w:r>
        <w:rPr>
          <w:lang w:val="en-US"/>
        </w:rPr>
        <w:t xml:space="preserve">there is a need to </w:t>
      </w:r>
      <w:r w:rsidR="001B2609">
        <w:rPr>
          <w:lang w:val="en-US"/>
        </w:rPr>
        <w:t xml:space="preserve">exist a </w:t>
      </w:r>
      <w:r>
        <w:rPr>
          <w:lang w:val="en-US"/>
        </w:rPr>
        <w:t xml:space="preserve">time domain pattern for the PDCCH beams so that </w:t>
      </w:r>
      <w:r w:rsidR="00643E16">
        <w:rPr>
          <w:lang w:val="en-US"/>
        </w:rPr>
        <w:t xml:space="preserve">the </w:t>
      </w:r>
      <w:r>
        <w:rPr>
          <w:lang w:val="en-US"/>
        </w:rPr>
        <w:t>UE is able</w:t>
      </w:r>
      <w:r w:rsidR="00643E16">
        <w:rPr>
          <w:lang w:val="en-US"/>
        </w:rPr>
        <w:t xml:space="preserve"> to</w:t>
      </w:r>
      <w:r>
        <w:rPr>
          <w:lang w:val="en-US"/>
        </w:rPr>
        <w:t xml:space="preserve"> know what would be the transmitting beam for PDCCH at certain slot.</w:t>
      </w:r>
      <w:r w:rsidR="00EA3823">
        <w:rPr>
          <w:lang w:val="en-US"/>
        </w:rPr>
        <w:t xml:space="preserve"> One way to implement that is to consider </w:t>
      </w:r>
      <w:r w:rsidR="00EA3823">
        <w:rPr>
          <w:lang w:val="en-US" w:eastAsia="x-none"/>
        </w:rPr>
        <w:t>so called primary and secondary beams. Primary beam is a beam used  primarily for PDCCH transmission and secondary beam(s) act as backup beam(s) that gNB may configure more seldom mainly targeting at recovering the PDCCH connection if primary beam has degraded e.g. due to blockage. Similarly to the case with a composite beam approach, the UE should be provided UL PUCCH or PUSCH resources correspondingly, i.e. via secondary UL RX beams to which the UE is able to align its TX beam. These uplink control information resources may be semi-statically allocated within the same primary/secondary beam configuration. Upon reception of the report the gNB may update the current serving beam set to the UE for PDCCH reception.</w:t>
      </w:r>
    </w:p>
    <w:p w14:paraId="2F5EEE86" w14:textId="64376E1E" w:rsidR="00BA662E" w:rsidRDefault="00EA3823" w:rsidP="00EA3823">
      <w:pPr>
        <w:jc w:val="center"/>
      </w:pPr>
      <w:r>
        <w:object w:dxaOrig="13284" w:dyaOrig="8006" w14:anchorId="3688E755">
          <v:shape id="_x0000_i1026" type="#_x0000_t75" style="width:355.4pt;height:214.85pt" o:ole="">
            <v:imagedata r:id="rId13" o:title=""/>
          </v:shape>
          <o:OLEObject Type="Embed" ProgID="Visio.Drawing.11" ShapeID="_x0000_i1026" DrawAspect="Content" ObjectID="_1545489498" r:id="rId14"/>
        </w:object>
      </w:r>
    </w:p>
    <w:p w14:paraId="3D884F0A" w14:textId="5FA0D21C" w:rsidR="00EA3823" w:rsidRPr="00A452BF" w:rsidRDefault="00A452BF" w:rsidP="00A452BF">
      <w:pPr>
        <w:pStyle w:val="Caption"/>
        <w:jc w:val="center"/>
        <w:rPr>
          <w:lang w:val="en-US"/>
        </w:rPr>
      </w:pPr>
      <w:r>
        <w:t xml:space="preserve">Figure </w:t>
      </w:r>
      <w:r w:rsidR="003411CB">
        <w:fldChar w:fldCharType="begin"/>
      </w:r>
      <w:r w:rsidR="003411CB">
        <w:instrText xml:space="preserve"> SEQ Figure \* ARABIC </w:instrText>
      </w:r>
      <w:r w:rsidR="003411CB">
        <w:fldChar w:fldCharType="separate"/>
      </w:r>
      <w:r w:rsidR="00EF3969">
        <w:rPr>
          <w:noProof/>
        </w:rPr>
        <w:t>2</w:t>
      </w:r>
      <w:r w:rsidR="003411CB">
        <w:rPr>
          <w:noProof/>
        </w:rPr>
        <w:fldChar w:fldCharType="end"/>
      </w:r>
      <w:r w:rsidRPr="00A452BF">
        <w:rPr>
          <w:lang w:val="en-US"/>
        </w:rPr>
        <w:t xml:space="preserve"> Using primary and secondary PDCCH beams for PDCCH transmission.</w:t>
      </w:r>
    </w:p>
    <w:p w14:paraId="07FA118F" w14:textId="77777777" w:rsidR="00A452BF" w:rsidRDefault="00A452BF" w:rsidP="00A452BF">
      <w:pPr>
        <w:rPr>
          <w:lang w:val="en-US"/>
        </w:rPr>
      </w:pPr>
    </w:p>
    <w:p w14:paraId="1F804E21" w14:textId="49AC3E94" w:rsidR="00A452BF" w:rsidRDefault="00A452BF" w:rsidP="00391553">
      <w:pPr>
        <w:jc w:val="both"/>
        <w:rPr>
          <w:lang w:val="en-US"/>
        </w:rPr>
      </w:pPr>
      <w:r>
        <w:rPr>
          <w:lang w:val="en-US"/>
        </w:rPr>
        <w:t>Using multiple PDCCH monitoring beams may not consume that much additional beam/hardware resources as in composite beam case but may be subject to longer delay in recovering from the beam blockage in cases the secondary beam’s occurrence is lower than primary beam’s occurrence.</w:t>
      </w:r>
      <w:r w:rsidR="00643E16">
        <w:rPr>
          <w:lang w:val="en-US"/>
        </w:rPr>
        <w:t xml:space="preserve"> One may of course configure multiple PDCCH transmission in the same time, but such operation ends up having the same requirements and system resources consumption as composite beam transmission.</w:t>
      </w:r>
    </w:p>
    <w:p w14:paraId="37A9740F" w14:textId="6FE99745" w:rsidR="00A452BF" w:rsidRDefault="00A452BF" w:rsidP="00A452BF">
      <w:pPr>
        <w:rPr>
          <w:b/>
          <w:i/>
          <w:lang w:val="en-US"/>
        </w:rPr>
      </w:pPr>
      <w:r>
        <w:rPr>
          <w:b/>
          <w:i/>
          <w:lang w:val="en-US"/>
        </w:rPr>
        <w:t xml:space="preserve">Observation: Using multiple </w:t>
      </w:r>
      <w:r w:rsidR="00643E16">
        <w:rPr>
          <w:b/>
          <w:i/>
          <w:lang w:val="en-US"/>
        </w:rPr>
        <w:t xml:space="preserve">TDM </w:t>
      </w:r>
      <w:r>
        <w:rPr>
          <w:b/>
          <w:i/>
          <w:lang w:val="en-US"/>
        </w:rPr>
        <w:t>PDCCH monitoring beams require defining and configuring association between time slots PDCCH may be transmitted and gNB beams.</w:t>
      </w:r>
    </w:p>
    <w:p w14:paraId="6137916D" w14:textId="6F5D144B" w:rsidR="00EB6182" w:rsidRDefault="00A452BF" w:rsidP="00A452BF">
      <w:pPr>
        <w:rPr>
          <w:b/>
          <w:i/>
          <w:lang w:val="en-US"/>
        </w:rPr>
      </w:pPr>
      <w:r>
        <w:rPr>
          <w:b/>
          <w:i/>
          <w:lang w:val="en-US"/>
        </w:rPr>
        <w:t xml:space="preserve">Observation: Using multiple </w:t>
      </w:r>
      <w:r w:rsidR="00643E16">
        <w:rPr>
          <w:b/>
          <w:i/>
          <w:lang w:val="en-US"/>
        </w:rPr>
        <w:t xml:space="preserve">TDM </w:t>
      </w:r>
      <w:r>
        <w:rPr>
          <w:b/>
          <w:i/>
          <w:lang w:val="en-US"/>
        </w:rPr>
        <w:t xml:space="preserve">PDCCH monitoring beams may not consume beam/hardware hardware resources in similar manner to </w:t>
      </w:r>
      <w:r w:rsidR="00EB6182">
        <w:rPr>
          <w:b/>
          <w:i/>
          <w:lang w:val="en-US"/>
        </w:rPr>
        <w:t>composite beam case but may introduce longer delay in recovering from beam blockage.</w:t>
      </w:r>
    </w:p>
    <w:p w14:paraId="2C7850CB" w14:textId="60E0868B" w:rsidR="004F7F6B" w:rsidRPr="00391553" w:rsidRDefault="00643E16" w:rsidP="00A452BF">
      <w:pPr>
        <w:rPr>
          <w:lang w:val="en-US"/>
        </w:rPr>
      </w:pPr>
      <w:r w:rsidRPr="00391553">
        <w:rPr>
          <w:lang w:val="en-US"/>
        </w:rPr>
        <w:t>A summary of the pros and cons for the two types of PDCCH configurations is presented in below table.</w:t>
      </w:r>
    </w:p>
    <w:p w14:paraId="40FEBCCA" w14:textId="77777777" w:rsidR="004F7F6B" w:rsidRDefault="004F7F6B" w:rsidP="004F7F6B">
      <w:pPr>
        <w:overflowPunct/>
        <w:autoSpaceDE/>
        <w:autoSpaceDN/>
        <w:adjustRightInd/>
        <w:spacing w:after="0"/>
        <w:jc w:val="both"/>
        <w:textAlignment w:val="auto"/>
      </w:pPr>
    </w:p>
    <w:p w14:paraId="04065287" w14:textId="5386094F" w:rsidR="00643E16" w:rsidRPr="004A647C" w:rsidRDefault="00643E16" w:rsidP="00391553">
      <w:pPr>
        <w:pStyle w:val="Caption"/>
        <w:keepNext/>
        <w:jc w:val="center"/>
      </w:pPr>
      <w:r w:rsidRPr="00391553">
        <w:rPr>
          <w:b w:val="0"/>
        </w:rPr>
        <w:t xml:space="preserve">Table </w:t>
      </w:r>
      <w:r w:rsidRPr="00391553">
        <w:rPr>
          <w:b w:val="0"/>
        </w:rPr>
        <w:fldChar w:fldCharType="begin"/>
      </w:r>
      <w:r w:rsidRPr="00391553">
        <w:rPr>
          <w:b w:val="0"/>
        </w:rPr>
        <w:instrText xml:space="preserve"> SEQ Table \* ARABIC </w:instrText>
      </w:r>
      <w:r w:rsidRPr="00391553">
        <w:rPr>
          <w:b w:val="0"/>
        </w:rPr>
        <w:fldChar w:fldCharType="separate"/>
      </w:r>
      <w:r w:rsidRPr="00391553">
        <w:rPr>
          <w:b w:val="0"/>
          <w:noProof/>
        </w:rPr>
        <w:t>1</w:t>
      </w:r>
      <w:r w:rsidRPr="00391553">
        <w:rPr>
          <w:b w:val="0"/>
        </w:rPr>
        <w:fldChar w:fldCharType="end"/>
      </w:r>
      <w:r w:rsidRPr="00391553">
        <w:rPr>
          <w:b w:val="0"/>
          <w:lang w:val="en-GB"/>
        </w:rPr>
        <w:t>: Pros/cons for various ways of PDCCH transmission</w:t>
      </w:r>
    </w:p>
    <w:tbl>
      <w:tblPr>
        <w:tblW w:w="0" w:type="auto"/>
        <w:tblLook w:val="04A0" w:firstRow="1" w:lastRow="0" w:firstColumn="1" w:lastColumn="0" w:noHBand="0" w:noVBand="1"/>
      </w:tblPr>
      <w:tblGrid>
        <w:gridCol w:w="2063"/>
        <w:gridCol w:w="7576"/>
      </w:tblGrid>
      <w:tr w:rsidR="004F7F6B" w14:paraId="281C1548" w14:textId="77777777" w:rsidTr="00391553">
        <w:tc>
          <w:tcPr>
            <w:tcW w:w="2063" w:type="dxa"/>
            <w:tcBorders>
              <w:bottom w:val="single" w:sz="12" w:space="0" w:color="000000"/>
              <w:right w:val="single" w:sz="12" w:space="0" w:color="000000"/>
            </w:tcBorders>
            <w:shd w:val="clear" w:color="auto" w:fill="auto"/>
          </w:tcPr>
          <w:p w14:paraId="079D7A96" w14:textId="53429E89" w:rsidR="004F7F6B" w:rsidRPr="00663D20" w:rsidRDefault="004F7F6B" w:rsidP="003C31DE">
            <w:pPr>
              <w:overflowPunct/>
              <w:autoSpaceDE/>
              <w:autoSpaceDN/>
              <w:adjustRightInd/>
              <w:spacing w:after="0"/>
              <w:jc w:val="both"/>
              <w:textAlignment w:val="auto"/>
              <w:rPr>
                <w:b/>
                <w:bCs/>
              </w:rPr>
            </w:pPr>
            <w:r>
              <w:rPr>
                <w:b/>
                <w:bCs/>
              </w:rPr>
              <w:t>Composite beam</w:t>
            </w:r>
          </w:p>
        </w:tc>
        <w:tc>
          <w:tcPr>
            <w:tcW w:w="7576" w:type="dxa"/>
            <w:tcBorders>
              <w:bottom w:val="single" w:sz="12" w:space="0" w:color="000000"/>
            </w:tcBorders>
            <w:shd w:val="clear" w:color="auto" w:fill="auto"/>
          </w:tcPr>
          <w:p w14:paraId="5EB4A294" w14:textId="77777777" w:rsidR="004F7F6B" w:rsidRPr="00391553" w:rsidRDefault="004F7F6B" w:rsidP="00391553">
            <w:pPr>
              <w:pStyle w:val="ListParagraph"/>
              <w:numPr>
                <w:ilvl w:val="0"/>
                <w:numId w:val="51"/>
              </w:numPr>
              <w:jc w:val="both"/>
              <w:rPr>
                <w:b/>
                <w:bCs/>
                <w:lang w:val="en-US"/>
              </w:rPr>
            </w:pPr>
            <w:r w:rsidRPr="00391553">
              <w:rPr>
                <w:b/>
                <w:bCs/>
                <w:sz w:val="20"/>
                <w:szCs w:val="20"/>
                <w:lang w:val="en-GB"/>
              </w:rPr>
              <w:t>Multiple beam utilization in multiple TRPs</w:t>
            </w:r>
          </w:p>
          <w:p w14:paraId="60AFD0B1" w14:textId="074815CF" w:rsidR="0025554B" w:rsidRPr="00391553" w:rsidRDefault="0025554B" w:rsidP="00391553">
            <w:pPr>
              <w:pStyle w:val="ListParagraph"/>
              <w:numPr>
                <w:ilvl w:val="0"/>
                <w:numId w:val="51"/>
              </w:numPr>
              <w:jc w:val="both"/>
              <w:rPr>
                <w:b/>
                <w:bCs/>
                <w:lang w:val="en-US"/>
              </w:rPr>
            </w:pPr>
            <w:r>
              <w:rPr>
                <w:b/>
                <w:bCs/>
                <w:sz w:val="20"/>
                <w:szCs w:val="20"/>
                <w:lang w:val="en-GB"/>
              </w:rPr>
              <w:t>Possible to receive the composite beam only with simultaneous RX beamformers active.</w:t>
            </w:r>
          </w:p>
          <w:p w14:paraId="73809D36" w14:textId="78FA42C5" w:rsidR="0025554B" w:rsidRPr="00391553" w:rsidRDefault="0025554B" w:rsidP="00391553">
            <w:pPr>
              <w:pStyle w:val="ListParagraph"/>
              <w:ind w:left="0"/>
              <w:jc w:val="both"/>
              <w:rPr>
                <w:b/>
                <w:bCs/>
              </w:rPr>
            </w:pPr>
            <w:r>
              <w:rPr>
                <w:b/>
                <w:bCs/>
                <w:sz w:val="20"/>
                <w:szCs w:val="20"/>
                <w:lang w:val="en-GB"/>
              </w:rPr>
              <w:t>+  Single DCI monitoring</w:t>
            </w:r>
          </w:p>
        </w:tc>
      </w:tr>
      <w:tr w:rsidR="004F7F6B" w14:paraId="6FD21A5D" w14:textId="77777777" w:rsidTr="00391553">
        <w:tc>
          <w:tcPr>
            <w:tcW w:w="2063" w:type="dxa"/>
            <w:tcBorders>
              <w:right w:val="single" w:sz="12" w:space="0" w:color="000000"/>
            </w:tcBorders>
            <w:shd w:val="clear" w:color="auto" w:fill="auto"/>
          </w:tcPr>
          <w:p w14:paraId="58693DF3" w14:textId="5E057628" w:rsidR="004F7F6B" w:rsidRPr="00663D20" w:rsidRDefault="004F7F6B" w:rsidP="003C31DE">
            <w:pPr>
              <w:overflowPunct/>
              <w:autoSpaceDE/>
              <w:autoSpaceDN/>
              <w:adjustRightInd/>
              <w:spacing w:after="0"/>
              <w:jc w:val="both"/>
              <w:textAlignment w:val="auto"/>
              <w:rPr>
                <w:b/>
                <w:bCs/>
              </w:rPr>
            </w:pPr>
            <w:r>
              <w:rPr>
                <w:b/>
                <w:bCs/>
              </w:rPr>
              <w:t>Multiple beam</w:t>
            </w:r>
          </w:p>
        </w:tc>
        <w:tc>
          <w:tcPr>
            <w:tcW w:w="7576" w:type="dxa"/>
            <w:shd w:val="clear" w:color="auto" w:fill="auto"/>
          </w:tcPr>
          <w:p w14:paraId="33E085D7" w14:textId="77777777" w:rsidR="004F7F6B" w:rsidRPr="00391553" w:rsidRDefault="004F7F6B" w:rsidP="00391553">
            <w:pPr>
              <w:pStyle w:val="ListParagraph"/>
              <w:numPr>
                <w:ilvl w:val="0"/>
                <w:numId w:val="51"/>
              </w:numPr>
              <w:jc w:val="both"/>
              <w:rPr>
                <w:b/>
                <w:lang w:val="en-US"/>
              </w:rPr>
            </w:pPr>
            <w:r w:rsidRPr="00391553">
              <w:rPr>
                <w:b/>
                <w:bCs/>
                <w:sz w:val="20"/>
                <w:szCs w:val="20"/>
                <w:lang w:val="en-GB"/>
              </w:rPr>
              <w:t>Multiple beam utilization in multiple TRPs</w:t>
            </w:r>
          </w:p>
          <w:p w14:paraId="73795EFE" w14:textId="773F0A1D" w:rsidR="0025554B" w:rsidRPr="00391553" w:rsidRDefault="0025554B" w:rsidP="00391553">
            <w:pPr>
              <w:pStyle w:val="ListParagraph"/>
              <w:numPr>
                <w:ilvl w:val="0"/>
                <w:numId w:val="51"/>
              </w:numPr>
              <w:jc w:val="both"/>
              <w:rPr>
                <w:b/>
                <w:lang w:val="en-US"/>
              </w:rPr>
            </w:pPr>
            <w:r>
              <w:rPr>
                <w:b/>
                <w:bCs/>
                <w:sz w:val="20"/>
                <w:szCs w:val="20"/>
                <w:lang w:val="en-GB"/>
              </w:rPr>
              <w:t>Multiple DCI monitoring</w:t>
            </w:r>
            <w:r w:rsidR="00FF18EB">
              <w:rPr>
                <w:b/>
                <w:bCs/>
                <w:sz w:val="20"/>
                <w:szCs w:val="20"/>
                <w:lang w:val="en-GB"/>
              </w:rPr>
              <w:t xml:space="preserve"> (if simultaneous PDCCH beams are transmitted)</w:t>
            </w:r>
          </w:p>
          <w:p w14:paraId="0E377266" w14:textId="52733487" w:rsidR="00FF18EB" w:rsidRPr="003C31DE" w:rsidRDefault="00FF18EB" w:rsidP="00FF18EB">
            <w:pPr>
              <w:pStyle w:val="ListParagraph"/>
              <w:numPr>
                <w:ilvl w:val="0"/>
                <w:numId w:val="51"/>
              </w:numPr>
              <w:jc w:val="both"/>
              <w:rPr>
                <w:b/>
                <w:sz w:val="20"/>
                <w:szCs w:val="20"/>
                <w:lang w:val="en-GB"/>
              </w:rPr>
            </w:pPr>
            <w:r>
              <w:rPr>
                <w:b/>
                <w:bCs/>
                <w:sz w:val="20"/>
                <w:szCs w:val="20"/>
                <w:lang w:val="en-GB"/>
              </w:rPr>
              <w:t>Slow in beam recovery (if TDM between PDCCH beams)</w:t>
            </w:r>
          </w:p>
          <w:p w14:paraId="587A8877" w14:textId="05838EC3" w:rsidR="0025554B" w:rsidRPr="00391553" w:rsidRDefault="00A42557" w:rsidP="00391553">
            <w:pPr>
              <w:jc w:val="both"/>
              <w:rPr>
                <w:b/>
              </w:rPr>
            </w:pPr>
            <w:r w:rsidRPr="0025554B">
              <w:rPr>
                <w:b/>
                <w:bCs/>
              </w:rPr>
              <w:t xml:space="preserve">+ </w:t>
            </w:r>
            <w:r>
              <w:rPr>
                <w:b/>
                <w:bCs/>
              </w:rPr>
              <w:t xml:space="preserve"> Possible</w:t>
            </w:r>
            <w:r w:rsidR="0025554B" w:rsidRPr="00391553">
              <w:rPr>
                <w:b/>
                <w:bCs/>
              </w:rPr>
              <w:t xml:space="preserve"> to receive one beam/DCI at a time.</w:t>
            </w:r>
          </w:p>
        </w:tc>
      </w:tr>
    </w:tbl>
    <w:p w14:paraId="4F5BDE4F" w14:textId="77777777" w:rsidR="004F7F6B" w:rsidRDefault="004F7F6B" w:rsidP="00A452BF">
      <w:pPr>
        <w:rPr>
          <w:lang w:val="en-US"/>
        </w:rPr>
      </w:pPr>
    </w:p>
    <w:p w14:paraId="69A1747E" w14:textId="5775A20F" w:rsidR="00CE186B" w:rsidRDefault="00CE186B" w:rsidP="00F5338F">
      <w:pPr>
        <w:rPr>
          <w:lang w:val="en-US"/>
        </w:rPr>
      </w:pPr>
      <w:r>
        <w:rPr>
          <w:lang w:val="en-US"/>
        </w:rPr>
        <w:t xml:space="preserve">A common signaling and configuration mechanism can be defined for both usage of composite beam or multiple PDCCH monitoring beams for DCI monitoring: time domain pattern which indicates the UE the reference DL beams from which the PDCCH may be transmitted at certain </w:t>
      </w:r>
      <w:r w:rsidR="00A8174A">
        <w:rPr>
          <w:lang w:val="en-US"/>
        </w:rPr>
        <w:t xml:space="preserve">time </w:t>
      </w:r>
      <w:r>
        <w:rPr>
          <w:lang w:val="en-US"/>
        </w:rPr>
        <w:t xml:space="preserve">slot. </w:t>
      </w:r>
      <w:r w:rsidR="00A8174A">
        <w:rPr>
          <w:lang w:val="en-US"/>
        </w:rPr>
        <w:t>Composite beam case may be implemented by having the same pattern for two or more DL beams whereas the multiple monitoring beam can be implemented by</w:t>
      </w:r>
      <w:r w:rsidR="00EF3969">
        <w:rPr>
          <w:lang w:val="en-US"/>
        </w:rPr>
        <w:t xml:space="preserve"> having different patterns for two or more DL beams as illustrated in </w:t>
      </w:r>
      <w:r w:rsidR="00F51847">
        <w:rPr>
          <w:lang w:val="en-US"/>
        </w:rPr>
        <w:fldChar w:fldCharType="begin"/>
      </w:r>
      <w:r w:rsidR="00F51847">
        <w:rPr>
          <w:lang w:val="en-US"/>
        </w:rPr>
        <w:instrText xml:space="preserve"> REF _Ref471282581 \h </w:instrText>
      </w:r>
      <w:r w:rsidR="00F51847">
        <w:rPr>
          <w:lang w:val="en-US"/>
        </w:rPr>
      </w:r>
      <w:r w:rsidR="00F51847">
        <w:rPr>
          <w:lang w:val="en-US"/>
        </w:rPr>
        <w:fldChar w:fldCharType="separate"/>
      </w:r>
      <w:r w:rsidR="00F51847">
        <w:t xml:space="preserve">Figure </w:t>
      </w:r>
      <w:r w:rsidR="00F51847">
        <w:rPr>
          <w:noProof/>
        </w:rPr>
        <w:t>3</w:t>
      </w:r>
      <w:r w:rsidR="00F51847">
        <w:rPr>
          <w:lang w:val="en-US"/>
        </w:rPr>
        <w:fldChar w:fldCharType="end"/>
      </w:r>
      <w:r w:rsidR="00F51847">
        <w:rPr>
          <w:lang w:val="en-US"/>
        </w:rPr>
        <w:t xml:space="preserve">. It’s further considered that both options may be beneficial options and also that given the common signaling and configuration framework it is up to network implementation which one to use. </w:t>
      </w:r>
    </w:p>
    <w:p w14:paraId="224C5DF3" w14:textId="77777777" w:rsidR="00EF3969" w:rsidRDefault="00EF3969" w:rsidP="00F5338F">
      <w:pPr>
        <w:rPr>
          <w:lang w:val="en-US"/>
        </w:rPr>
      </w:pPr>
    </w:p>
    <w:p w14:paraId="7CD57344" w14:textId="1FB54273" w:rsidR="00EF3969" w:rsidRDefault="00EF3969" w:rsidP="00391553">
      <w:pPr>
        <w:jc w:val="center"/>
        <w:rPr>
          <w:lang w:val="en-US"/>
        </w:rPr>
      </w:pPr>
      <w:r>
        <w:rPr>
          <w:noProof/>
          <w:lang w:eastAsia="en-GB"/>
        </w:rPr>
        <w:lastRenderedPageBreak/>
        <w:drawing>
          <wp:inline distT="0" distB="0" distL="0" distR="0" wp14:anchorId="1203D519" wp14:editId="4A69EAD0">
            <wp:extent cx="6188710" cy="18992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5663" cy="1901398"/>
                    </a:xfrm>
                    <a:prstGeom prst="rect">
                      <a:avLst/>
                    </a:prstGeom>
                    <a:noFill/>
                  </pic:spPr>
                </pic:pic>
              </a:graphicData>
            </a:graphic>
          </wp:inline>
        </w:drawing>
      </w:r>
    </w:p>
    <w:p w14:paraId="5C620C0C" w14:textId="2479382A" w:rsidR="00EF3969" w:rsidRPr="00F5338F" w:rsidRDefault="00EF3969" w:rsidP="00391553">
      <w:pPr>
        <w:pStyle w:val="Caption"/>
        <w:jc w:val="center"/>
        <w:rPr>
          <w:lang w:val="en-US"/>
        </w:rPr>
      </w:pPr>
      <w:bookmarkStart w:id="3" w:name="_Ref471282581"/>
      <w:r>
        <w:t xml:space="preserve">Figure </w:t>
      </w:r>
      <w:r>
        <w:fldChar w:fldCharType="begin"/>
      </w:r>
      <w:r>
        <w:instrText xml:space="preserve"> SEQ Figure \* ARABIC </w:instrText>
      </w:r>
      <w:r>
        <w:fldChar w:fldCharType="separate"/>
      </w:r>
      <w:r>
        <w:rPr>
          <w:noProof/>
        </w:rPr>
        <w:t>3</w:t>
      </w:r>
      <w:r>
        <w:fldChar w:fldCharType="end"/>
      </w:r>
      <w:bookmarkEnd w:id="3"/>
      <w:r w:rsidRPr="00391553">
        <w:rPr>
          <w:lang w:val="en-US"/>
        </w:rPr>
        <w:t xml:space="preserve"> Configuration examples for composite beam and multiple PDCCH beams for DCI monitoring. </w:t>
      </w:r>
    </w:p>
    <w:p w14:paraId="3A9C952C" w14:textId="2EDC2C4C" w:rsidR="007355B1" w:rsidRPr="00F5338F" w:rsidRDefault="00A8174A" w:rsidP="00A452BF">
      <w:pPr>
        <w:rPr>
          <w:b/>
          <w:i/>
          <w:lang w:val="en-US"/>
        </w:rPr>
      </w:pPr>
      <w:r>
        <w:rPr>
          <w:b/>
          <w:i/>
          <w:lang w:val="en-US"/>
        </w:rPr>
        <w:t xml:space="preserve">Proposal: Define a common signaling and configuration framework to enable use of both composite beam and multiple PDCCH monitoring beams for DCI monitoring in a serving cell. </w:t>
      </w:r>
    </w:p>
    <w:p w14:paraId="577B9706" w14:textId="588EFD40" w:rsidR="00EB6182" w:rsidRDefault="0051109B" w:rsidP="00EB6182">
      <w:pPr>
        <w:pStyle w:val="Heading2"/>
        <w:rPr>
          <w:lang w:val="en-US"/>
        </w:rPr>
      </w:pPr>
      <w:r>
        <w:rPr>
          <w:lang w:val="en-US"/>
        </w:rPr>
        <w:t>2.3</w:t>
      </w:r>
      <w:r>
        <w:rPr>
          <w:lang w:val="en-US"/>
        </w:rPr>
        <w:tab/>
        <w:t xml:space="preserve">On CSS/USS usage for DCI monitoring </w:t>
      </w:r>
    </w:p>
    <w:p w14:paraId="538401B5" w14:textId="37E5C981" w:rsidR="00A452BF" w:rsidRDefault="00420A97" w:rsidP="00391553">
      <w:pPr>
        <w:jc w:val="both"/>
        <w:rPr>
          <w:lang w:val="en-US"/>
        </w:rPr>
      </w:pPr>
      <w:r>
        <w:rPr>
          <w:lang w:val="en-US"/>
        </w:rPr>
        <w:t>In both composite beam and multiple beam usage, the UE is assumed to be in Connected mode and having a valid C-RNTI. Thus, it</w:t>
      </w:r>
      <w:r w:rsidR="00B67D9C">
        <w:rPr>
          <w:lang w:val="en-US"/>
        </w:rPr>
        <w:t xml:space="preserve"> i</w:t>
      </w:r>
      <w:r>
        <w:rPr>
          <w:lang w:val="en-US"/>
        </w:rPr>
        <w:t xml:space="preserve">s considered that PDCCH transmissions in both cases should be transmitted </w:t>
      </w:r>
      <w:r w:rsidR="0051109B">
        <w:rPr>
          <w:lang w:val="en-US"/>
        </w:rPr>
        <w:t>in</w:t>
      </w:r>
      <w:r>
        <w:rPr>
          <w:lang w:val="en-US"/>
        </w:rPr>
        <w:t xml:space="preserve"> USS for the UE.</w:t>
      </w:r>
    </w:p>
    <w:p w14:paraId="09A5D04B" w14:textId="544BBC75" w:rsidR="00420A97" w:rsidRDefault="00420A97" w:rsidP="00391553">
      <w:pPr>
        <w:jc w:val="both"/>
        <w:rPr>
          <w:b/>
          <w:i/>
          <w:lang w:val="en-US"/>
        </w:rPr>
      </w:pPr>
      <w:r>
        <w:rPr>
          <w:b/>
          <w:i/>
          <w:lang w:val="en-US"/>
        </w:rPr>
        <w:t>Observation: PDCCH in both composite beam and multiple PDCCH beam usage can be transmitted using USS for the UE.</w:t>
      </w:r>
    </w:p>
    <w:p w14:paraId="57FC4A68" w14:textId="3B1DA1D7" w:rsidR="002036AA" w:rsidRPr="0051109B" w:rsidRDefault="0051109B" w:rsidP="00391553">
      <w:pPr>
        <w:jc w:val="both"/>
        <w:rPr>
          <w:lang w:val="en-US"/>
        </w:rPr>
      </w:pPr>
      <w:r>
        <w:rPr>
          <w:lang w:val="en-US"/>
        </w:rPr>
        <w:t xml:space="preserve">When the UE determines the link failure it may trigger beam recovery procedure. As a baseline solution, normal RACH procedure could be used and it’s expected that the PDCCH for Msg2 (RAR) </w:t>
      </w:r>
      <w:r w:rsidR="00641562">
        <w:rPr>
          <w:lang w:val="en-US"/>
        </w:rPr>
        <w:t xml:space="preserve">using CSS </w:t>
      </w:r>
      <w:r>
        <w:rPr>
          <w:lang w:val="en-US"/>
        </w:rPr>
        <w:t xml:space="preserve">and Msg4 (Contention Resolution) would be transmitted </w:t>
      </w:r>
      <w:r w:rsidR="00641562">
        <w:rPr>
          <w:lang w:val="en-US"/>
        </w:rPr>
        <w:t>using USS</w:t>
      </w:r>
      <w:r>
        <w:rPr>
          <w:lang w:val="en-US"/>
        </w:rPr>
        <w:t xml:space="preserve">. </w:t>
      </w:r>
      <w:r w:rsidR="002036AA">
        <w:rPr>
          <w:lang w:val="en-US"/>
        </w:rPr>
        <w:t>It’s considered to be up to gNB implementation whether use one or composite beam for downlink transmissions in the RACH procedure.</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0472E21A" w14:textId="4A48C69F" w:rsidR="00EB6182" w:rsidRDefault="00EB6182" w:rsidP="00B67D9C">
      <w:pPr>
        <w:jc w:val="both"/>
        <w:rPr>
          <w:lang w:val="en-US"/>
        </w:rPr>
      </w:pPr>
      <w:r>
        <w:rPr>
          <w:lang w:val="en-US"/>
        </w:rPr>
        <w:t>In this contribution we discussed about options for improving robustness against link blockages, and especially from PDCCH reception point of view. The following observation and proposals were made:</w:t>
      </w:r>
    </w:p>
    <w:p w14:paraId="45BE341B" w14:textId="77777777" w:rsidR="00BB1A9B" w:rsidRPr="00E7323C" w:rsidRDefault="00BB1A9B" w:rsidP="00BB1A9B">
      <w:pPr>
        <w:jc w:val="both"/>
        <w:rPr>
          <w:b/>
          <w:i/>
          <w:lang w:val="en-US" w:eastAsia="x-none"/>
        </w:rPr>
      </w:pPr>
      <w:r>
        <w:rPr>
          <w:b/>
          <w:i/>
          <w:lang w:val="en-US" w:eastAsia="x-none"/>
        </w:rPr>
        <w:t>Observation: Multi-stage PDCCH comprising common and UE specific stages, where common requires beam sweeping, is not seen attractive when the gNB operates using analog or hybrid transceiver architecture.</w:t>
      </w:r>
    </w:p>
    <w:p w14:paraId="742BAAEA" w14:textId="3208A283" w:rsidR="00EB6182" w:rsidRDefault="00EB6182" w:rsidP="00B67D9C">
      <w:pPr>
        <w:jc w:val="both"/>
        <w:rPr>
          <w:lang w:val="en-US"/>
        </w:rPr>
      </w:pPr>
      <w:r>
        <w:rPr>
          <w:b/>
          <w:i/>
          <w:lang w:val="en-US" w:eastAsia="x-none"/>
        </w:rPr>
        <w:t>Observation: Use of composite beam from multiple gNB beams can provide robustness against blockages but with the cost of consuming expensive hardware/beam resources.</w:t>
      </w:r>
    </w:p>
    <w:p w14:paraId="5E61B17A" w14:textId="77777777" w:rsidR="00EB6182" w:rsidRDefault="00EB6182" w:rsidP="00B67D9C">
      <w:pPr>
        <w:jc w:val="both"/>
        <w:rPr>
          <w:b/>
          <w:i/>
          <w:lang w:val="en-US"/>
        </w:rPr>
      </w:pPr>
      <w:r>
        <w:rPr>
          <w:b/>
          <w:i/>
          <w:lang w:val="en-US"/>
        </w:rPr>
        <w:t>Observation: Using multiple PDCCH monitoring beams require defining and configuring association between time slots PDCCH may be transmitted and gNB beams.</w:t>
      </w:r>
    </w:p>
    <w:p w14:paraId="496019D9" w14:textId="64E26FE8" w:rsidR="00DA5766" w:rsidRDefault="00EB6182" w:rsidP="00B67D9C">
      <w:pPr>
        <w:jc w:val="both"/>
        <w:rPr>
          <w:b/>
          <w:i/>
          <w:lang w:val="en-US"/>
        </w:rPr>
      </w:pPr>
      <w:r>
        <w:rPr>
          <w:b/>
          <w:i/>
          <w:lang w:val="en-US"/>
        </w:rPr>
        <w:t>Observation: Using multiple PDCCH monitoring beams may not consume beam/hardware hardware resources in similar manner to composite beam case but may introduce longer delay in recovering from beam blockage.</w:t>
      </w:r>
    </w:p>
    <w:p w14:paraId="084F0B4F" w14:textId="2F57819F" w:rsidR="00420A97" w:rsidRDefault="00420A97" w:rsidP="00B67D9C">
      <w:pPr>
        <w:jc w:val="both"/>
        <w:rPr>
          <w:b/>
          <w:i/>
          <w:lang w:val="en-US"/>
        </w:rPr>
      </w:pPr>
      <w:r>
        <w:rPr>
          <w:b/>
          <w:i/>
          <w:lang w:val="en-US"/>
        </w:rPr>
        <w:t>Observation: PDCCH transmission in both composite beam and multiple PDCCH beam usage can be transmitted using USS for the UE.</w:t>
      </w:r>
    </w:p>
    <w:p w14:paraId="3FC7EDB8" w14:textId="77777777" w:rsidR="00F5338F" w:rsidRPr="00E7323C" w:rsidRDefault="00F5338F" w:rsidP="00F5338F">
      <w:pPr>
        <w:rPr>
          <w:b/>
          <w:i/>
          <w:lang w:val="en-US"/>
        </w:rPr>
      </w:pPr>
      <w:r>
        <w:rPr>
          <w:b/>
          <w:i/>
          <w:lang w:val="en-US"/>
        </w:rPr>
        <w:t xml:space="preserve">Proposal: Define a common signaling and configuration framework to enable use of both composite beam and multiple PDCCH monitoring beams for DCI monitoring in a serving cell. </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Pr="004B06BB" w:rsidRDefault="006F1D85" w:rsidP="006F1D85">
      <w:pPr>
        <w:numPr>
          <w:ilvl w:val="0"/>
          <w:numId w:val="1"/>
        </w:numPr>
        <w:rPr>
          <w:sz w:val="18"/>
        </w:rPr>
      </w:pPr>
      <w:r w:rsidRPr="00013455">
        <w:rPr>
          <w:sz w:val="18"/>
        </w:rPr>
        <w:t>TR 38.913</w:t>
      </w:r>
      <w:bookmarkStart w:id="4" w:name="_GoBack"/>
      <w:bookmarkEnd w:id="4"/>
      <w:r w:rsidRPr="004B06BB">
        <w:rPr>
          <w:sz w:val="18"/>
        </w:rPr>
        <w:t>, “</w:t>
      </w:r>
      <w:r w:rsidRPr="004B06BB">
        <w:rPr>
          <w:i/>
          <w:sz w:val="18"/>
          <w:lang w:eastAsia="zh-CN"/>
        </w:rPr>
        <w:t>Study on Scenarios and Requirements for Next Generation Access Technologies</w:t>
      </w:r>
      <w:r w:rsidRPr="004B06BB">
        <w:rPr>
          <w:sz w:val="18"/>
        </w:rPr>
        <w:t>”, 3GPP</w:t>
      </w:r>
    </w:p>
    <w:p w14:paraId="17DD2FD1" w14:textId="69CFF05E" w:rsidR="00D35EF4" w:rsidRPr="004B06BB" w:rsidRDefault="00D35EF4" w:rsidP="00D35EF4">
      <w:pPr>
        <w:numPr>
          <w:ilvl w:val="0"/>
          <w:numId w:val="1"/>
        </w:numPr>
        <w:rPr>
          <w:sz w:val="18"/>
        </w:rPr>
      </w:pPr>
      <w:r w:rsidRPr="004B06BB">
        <w:rPr>
          <w:sz w:val="18"/>
        </w:rPr>
        <w:t>RAN1 #87 Chairman Notes</w:t>
      </w:r>
    </w:p>
    <w:p w14:paraId="46664C67" w14:textId="2E6D7F1E" w:rsidR="00F55998" w:rsidRPr="004B06BB" w:rsidRDefault="004B06BB" w:rsidP="004B06BB">
      <w:pPr>
        <w:numPr>
          <w:ilvl w:val="0"/>
          <w:numId w:val="1"/>
        </w:numPr>
        <w:rPr>
          <w:sz w:val="18"/>
        </w:rPr>
      </w:pPr>
      <w:r w:rsidRPr="004B06BB">
        <w:rPr>
          <w:sz w:val="18"/>
        </w:rPr>
        <w:lastRenderedPageBreak/>
        <w:t>R1-1701089</w:t>
      </w:r>
      <w:r w:rsidR="007E0AF3" w:rsidRPr="004B06BB">
        <w:rPr>
          <w:sz w:val="18"/>
        </w:rPr>
        <w:t>, “</w:t>
      </w:r>
      <w:r w:rsidR="000D3254" w:rsidRPr="004B06BB">
        <w:rPr>
          <w:sz w:val="18"/>
        </w:rPr>
        <w:t>Beam Management – DCI monitoring</w:t>
      </w:r>
      <w:r w:rsidR="007E0AF3" w:rsidRPr="004B06BB">
        <w:rPr>
          <w:sz w:val="18"/>
        </w:rPr>
        <w:t>”, Nokia, Alcatel-Lucent Shanghai Bell</w:t>
      </w:r>
    </w:p>
    <w:sectPr w:rsidR="00F55998" w:rsidRPr="004B06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44370" w14:textId="77777777" w:rsidR="00F802BC" w:rsidRDefault="00F802BC">
      <w:r>
        <w:separator/>
      </w:r>
    </w:p>
  </w:endnote>
  <w:endnote w:type="continuationSeparator" w:id="0">
    <w:p w14:paraId="32B9065F" w14:textId="77777777" w:rsidR="00F802BC" w:rsidRDefault="00F8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42DB8" w14:textId="77777777" w:rsidR="00F802BC" w:rsidRDefault="00F802BC">
      <w:r>
        <w:separator/>
      </w:r>
    </w:p>
  </w:footnote>
  <w:footnote w:type="continuationSeparator" w:id="0">
    <w:p w14:paraId="4220CC06" w14:textId="77777777" w:rsidR="00F802BC" w:rsidRDefault="00F802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7"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15"/>
  </w:num>
  <w:num w:numId="4">
    <w:abstractNumId w:val="50"/>
  </w:num>
  <w:num w:numId="5">
    <w:abstractNumId w:val="49"/>
  </w:num>
  <w:num w:numId="6">
    <w:abstractNumId w:val="38"/>
  </w:num>
  <w:num w:numId="7">
    <w:abstractNumId w:val="13"/>
    <w:lvlOverride w:ilvl="0">
      <w:startOverride w:val="1"/>
    </w:lvlOverride>
  </w:num>
  <w:num w:numId="8">
    <w:abstractNumId w:val="14"/>
  </w:num>
  <w:num w:numId="9">
    <w:abstractNumId w:val="37"/>
  </w:num>
  <w:num w:numId="10">
    <w:abstractNumId w:val="27"/>
  </w:num>
  <w:num w:numId="11">
    <w:abstractNumId w:val="32"/>
  </w:num>
  <w:num w:numId="12">
    <w:abstractNumId w:val="7"/>
  </w:num>
  <w:num w:numId="13">
    <w:abstractNumId w:val="46"/>
  </w:num>
  <w:num w:numId="14">
    <w:abstractNumId w:val="30"/>
  </w:num>
  <w:num w:numId="15">
    <w:abstractNumId w:val="20"/>
  </w:num>
  <w:num w:numId="16">
    <w:abstractNumId w:val="24"/>
  </w:num>
  <w:num w:numId="17">
    <w:abstractNumId w:val="45"/>
  </w:num>
  <w:num w:numId="18">
    <w:abstractNumId w:val="43"/>
  </w:num>
  <w:num w:numId="19">
    <w:abstractNumId w:val="6"/>
  </w:num>
  <w:num w:numId="20">
    <w:abstractNumId w:val="11"/>
  </w:num>
  <w:num w:numId="21">
    <w:abstractNumId w:val="17"/>
  </w:num>
  <w:num w:numId="22">
    <w:abstractNumId w:val="2"/>
  </w:num>
  <w:num w:numId="23">
    <w:abstractNumId w:val="35"/>
  </w:num>
  <w:num w:numId="24">
    <w:abstractNumId w:val="29"/>
  </w:num>
  <w:num w:numId="25">
    <w:abstractNumId w:val="42"/>
  </w:num>
  <w:num w:numId="26">
    <w:abstractNumId w:val="23"/>
  </w:num>
  <w:num w:numId="27">
    <w:abstractNumId w:val="47"/>
  </w:num>
  <w:num w:numId="28">
    <w:abstractNumId w:val="16"/>
  </w:num>
  <w:num w:numId="29">
    <w:abstractNumId w:val="5"/>
  </w:num>
  <w:num w:numId="30">
    <w:abstractNumId w:val="36"/>
  </w:num>
  <w:num w:numId="31">
    <w:abstractNumId w:val="22"/>
  </w:num>
  <w:num w:numId="32">
    <w:abstractNumId w:val="44"/>
  </w:num>
  <w:num w:numId="33">
    <w:abstractNumId w:val="39"/>
  </w:num>
  <w:num w:numId="34">
    <w:abstractNumId w:val="25"/>
  </w:num>
  <w:num w:numId="35">
    <w:abstractNumId w:val="40"/>
  </w:num>
  <w:num w:numId="36">
    <w:abstractNumId w:val="1"/>
  </w:num>
  <w:num w:numId="37">
    <w:abstractNumId w:val="33"/>
  </w:num>
  <w:num w:numId="38">
    <w:abstractNumId w:val="8"/>
  </w:num>
  <w:num w:numId="39">
    <w:abstractNumId w:val="9"/>
  </w:num>
  <w:num w:numId="40">
    <w:abstractNumId w:val="34"/>
  </w:num>
  <w:num w:numId="41">
    <w:abstractNumId w:val="4"/>
  </w:num>
  <w:num w:numId="42">
    <w:abstractNumId w:val="28"/>
  </w:num>
  <w:num w:numId="43">
    <w:abstractNumId w:val="18"/>
  </w:num>
  <w:num w:numId="44">
    <w:abstractNumId w:val="21"/>
  </w:num>
  <w:num w:numId="45">
    <w:abstractNumId w:val="19"/>
  </w:num>
  <w:num w:numId="46">
    <w:abstractNumId w:val="12"/>
  </w:num>
  <w:num w:numId="47">
    <w:abstractNumId w:val="10"/>
  </w:num>
  <w:num w:numId="48">
    <w:abstractNumId w:val="48"/>
  </w:num>
  <w:num w:numId="49">
    <w:abstractNumId w:val="0"/>
  </w:num>
  <w:num w:numId="50">
    <w:abstractNumId w:val="41"/>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578F5"/>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36AA"/>
    <w:rsid w:val="00204B3A"/>
    <w:rsid w:val="0020535A"/>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0D9"/>
    <w:rsid w:val="002C476E"/>
    <w:rsid w:val="002C6034"/>
    <w:rsid w:val="002C635B"/>
    <w:rsid w:val="002C7CFF"/>
    <w:rsid w:val="002D0BC6"/>
    <w:rsid w:val="002D17C5"/>
    <w:rsid w:val="002D217B"/>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49C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91553"/>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0A97"/>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47C"/>
    <w:rsid w:val="004A67F0"/>
    <w:rsid w:val="004A71C3"/>
    <w:rsid w:val="004A7769"/>
    <w:rsid w:val="004B06BB"/>
    <w:rsid w:val="004B23AD"/>
    <w:rsid w:val="004B2965"/>
    <w:rsid w:val="004B308D"/>
    <w:rsid w:val="004B4224"/>
    <w:rsid w:val="004B4647"/>
    <w:rsid w:val="004B4A9A"/>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4F7F6B"/>
    <w:rsid w:val="00500572"/>
    <w:rsid w:val="00501304"/>
    <w:rsid w:val="00501425"/>
    <w:rsid w:val="00504311"/>
    <w:rsid w:val="0050485C"/>
    <w:rsid w:val="00504AC6"/>
    <w:rsid w:val="00510B09"/>
    <w:rsid w:val="00511079"/>
    <w:rsid w:val="0051109B"/>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3E01"/>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912"/>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3D1"/>
    <w:rsid w:val="006E1C26"/>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5B1"/>
    <w:rsid w:val="00735C6F"/>
    <w:rsid w:val="00742B44"/>
    <w:rsid w:val="00753BB5"/>
    <w:rsid w:val="007541E5"/>
    <w:rsid w:val="00756832"/>
    <w:rsid w:val="007570D6"/>
    <w:rsid w:val="007626D0"/>
    <w:rsid w:val="007651CA"/>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3D5"/>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A13EE"/>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585"/>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27FFE"/>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56FC"/>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6EA7"/>
    <w:rsid w:val="00A8771A"/>
    <w:rsid w:val="00A91244"/>
    <w:rsid w:val="00A92776"/>
    <w:rsid w:val="00A93181"/>
    <w:rsid w:val="00A938E6"/>
    <w:rsid w:val="00A93CCF"/>
    <w:rsid w:val="00A95BD5"/>
    <w:rsid w:val="00A96F78"/>
    <w:rsid w:val="00AA1087"/>
    <w:rsid w:val="00AA25A9"/>
    <w:rsid w:val="00AA26D9"/>
    <w:rsid w:val="00AA3A25"/>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4F96"/>
    <w:rsid w:val="00B55428"/>
    <w:rsid w:val="00B570BF"/>
    <w:rsid w:val="00B63337"/>
    <w:rsid w:val="00B6369F"/>
    <w:rsid w:val="00B639D7"/>
    <w:rsid w:val="00B67805"/>
    <w:rsid w:val="00B67D9C"/>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662E"/>
    <w:rsid w:val="00BA76A9"/>
    <w:rsid w:val="00BB1A9B"/>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B7E"/>
    <w:rsid w:val="00C50715"/>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56DB"/>
    <w:rsid w:val="00DA5766"/>
    <w:rsid w:val="00DA6452"/>
    <w:rsid w:val="00DA6FE9"/>
    <w:rsid w:val="00DA7925"/>
    <w:rsid w:val="00DB0AB8"/>
    <w:rsid w:val="00DB0D2A"/>
    <w:rsid w:val="00DB11CD"/>
    <w:rsid w:val="00DB1DAB"/>
    <w:rsid w:val="00DB39D4"/>
    <w:rsid w:val="00DB3A47"/>
    <w:rsid w:val="00DB4E06"/>
    <w:rsid w:val="00DB6755"/>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E03054"/>
    <w:rsid w:val="00E0576C"/>
    <w:rsid w:val="00E068BC"/>
    <w:rsid w:val="00E073F0"/>
    <w:rsid w:val="00E10761"/>
    <w:rsid w:val="00E11152"/>
    <w:rsid w:val="00E11D7A"/>
    <w:rsid w:val="00E11EEB"/>
    <w:rsid w:val="00E128F2"/>
    <w:rsid w:val="00E13EE4"/>
    <w:rsid w:val="00E15C33"/>
    <w:rsid w:val="00E16463"/>
    <w:rsid w:val="00E2397A"/>
    <w:rsid w:val="00E239D1"/>
    <w:rsid w:val="00E2498C"/>
    <w:rsid w:val="00E26727"/>
    <w:rsid w:val="00E26970"/>
    <w:rsid w:val="00E27791"/>
    <w:rsid w:val="00E277D8"/>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7749F"/>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88A"/>
    <w:rsid w:val="00EA1D43"/>
    <w:rsid w:val="00EA3823"/>
    <w:rsid w:val="00EA4EC9"/>
    <w:rsid w:val="00EA5E0F"/>
    <w:rsid w:val="00EA6FE4"/>
    <w:rsid w:val="00EA7F4C"/>
    <w:rsid w:val="00EB1D47"/>
    <w:rsid w:val="00EB2146"/>
    <w:rsid w:val="00EB2317"/>
    <w:rsid w:val="00EB279B"/>
    <w:rsid w:val="00EB2ABB"/>
    <w:rsid w:val="00EB584C"/>
    <w:rsid w:val="00EB5D88"/>
    <w:rsid w:val="00EB6182"/>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5A0"/>
    <w:rsid w:val="00EE3663"/>
    <w:rsid w:val="00EE41C4"/>
    <w:rsid w:val="00EE76A9"/>
    <w:rsid w:val="00EE799E"/>
    <w:rsid w:val="00EE7A94"/>
    <w:rsid w:val="00EE7CA8"/>
    <w:rsid w:val="00EE7FA7"/>
    <w:rsid w:val="00EF1093"/>
    <w:rsid w:val="00EF1DEF"/>
    <w:rsid w:val="00EF1FCB"/>
    <w:rsid w:val="00EF21C3"/>
    <w:rsid w:val="00EF2E6B"/>
    <w:rsid w:val="00EF3969"/>
    <w:rsid w:val="00EF3D67"/>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30C4"/>
    <w:rsid w:val="00F242AD"/>
    <w:rsid w:val="00F247F2"/>
    <w:rsid w:val="00F252A8"/>
    <w:rsid w:val="00F253F3"/>
    <w:rsid w:val="00F265F7"/>
    <w:rsid w:val="00F27FA6"/>
    <w:rsid w:val="00F33DC8"/>
    <w:rsid w:val="00F34444"/>
    <w:rsid w:val="00F4065A"/>
    <w:rsid w:val="00F4275C"/>
    <w:rsid w:val="00F43AE0"/>
    <w:rsid w:val="00F45693"/>
    <w:rsid w:val="00F51847"/>
    <w:rsid w:val="00F52339"/>
    <w:rsid w:val="00F5277A"/>
    <w:rsid w:val="00F532E8"/>
    <w:rsid w:val="00F5338F"/>
    <w:rsid w:val="00F537FF"/>
    <w:rsid w:val="00F55998"/>
    <w:rsid w:val="00F560FE"/>
    <w:rsid w:val="00F6111C"/>
    <w:rsid w:val="00F614C0"/>
    <w:rsid w:val="00F61647"/>
    <w:rsid w:val="00F657CF"/>
    <w:rsid w:val="00F66A00"/>
    <w:rsid w:val="00F713A3"/>
    <w:rsid w:val="00F71A8F"/>
    <w:rsid w:val="00F71B2E"/>
    <w:rsid w:val="00F73BBD"/>
    <w:rsid w:val="00F75330"/>
    <w:rsid w:val="00F76BD9"/>
    <w:rsid w:val="00F802BC"/>
    <w:rsid w:val="00F80318"/>
    <w:rsid w:val="00F80703"/>
    <w:rsid w:val="00F80948"/>
    <w:rsid w:val="00F81387"/>
    <w:rsid w:val="00F822E3"/>
    <w:rsid w:val="00F82866"/>
    <w:rsid w:val="00F84421"/>
    <w:rsid w:val="00F84462"/>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E002E"/>
    <w:rsid w:val="00FE03A2"/>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78FFDBB6-62DF-4E05-ACA8-F518EA4EE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1751</Words>
  <Characters>9986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2017-01-09T15:52:00Z</dcterms:created>
  <dcterms:modified xsi:type="dcterms:W3CDTF">2017-01-09T15:52:00Z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