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725" w:rsidRPr="00446F9D" w:rsidRDefault="00407725" w:rsidP="00407725">
      <w:pPr>
        <w:pStyle w:val="Header"/>
        <w:tabs>
          <w:tab w:val="clear" w:pos="4536"/>
        </w:tabs>
        <w:rPr>
          <w:i/>
        </w:rPr>
      </w:pPr>
      <w:r w:rsidRPr="005C575B">
        <w:t>3GPP TSG RAN WG1 AH_NR Meeting</w:t>
      </w:r>
      <w:r w:rsidRPr="00A8199B" w:rsidDel="005C575B">
        <w:t xml:space="preserve"> </w:t>
      </w:r>
      <w:r w:rsidRPr="00446F9D">
        <w:tab/>
      </w:r>
      <w:r w:rsidR="003C5838" w:rsidRPr="003C5838">
        <w:t>R1-1700696</w:t>
      </w:r>
    </w:p>
    <w:p w:rsidR="00F618ED" w:rsidRDefault="00407725" w:rsidP="00407725">
      <w:pPr>
        <w:pStyle w:val="Header"/>
      </w:pPr>
      <w:r w:rsidRPr="007E365D">
        <w:t>Spokane</w:t>
      </w:r>
      <w:r w:rsidRPr="00630F42">
        <w:t xml:space="preserve">, </w:t>
      </w:r>
      <w:r w:rsidRPr="007E365D">
        <w:t>Washington</w:t>
      </w:r>
      <w:r>
        <w:t>,</w:t>
      </w:r>
      <w:r w:rsidRPr="00630F42">
        <w:t xml:space="preserve"> US</w:t>
      </w:r>
      <w:r w:rsidRPr="000833FA">
        <w:t>,</w:t>
      </w:r>
      <w:r>
        <w:t xml:space="preserve"> January 16 – 20, 2017</w:t>
      </w:r>
    </w:p>
    <w:p w:rsidR="00407725" w:rsidRPr="000833FA" w:rsidRDefault="00407725" w:rsidP="00407725">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CB3C3F">
        <w:t>On the number of HARQ processes</w:t>
      </w:r>
    </w:p>
    <w:p w:rsidR="00F618ED" w:rsidRPr="00E220C0" w:rsidRDefault="00F618ED" w:rsidP="00F618ED">
      <w:pPr>
        <w:pStyle w:val="Header"/>
        <w:tabs>
          <w:tab w:val="left" w:pos="1800"/>
        </w:tabs>
      </w:pPr>
      <w:r w:rsidRPr="00E220C0">
        <w:t>Agenda Item:</w:t>
      </w:r>
      <w:bookmarkStart w:id="1" w:name="Source"/>
      <w:bookmarkEnd w:id="1"/>
      <w:r w:rsidRPr="00E220C0">
        <w:tab/>
      </w:r>
      <w:r w:rsidR="00F23E4F">
        <w:t>5</w:t>
      </w:r>
      <w:r w:rsidR="0049799A">
        <w:t>.1.</w:t>
      </w:r>
      <w:r w:rsidR="00407725">
        <w:t>3</w:t>
      </w:r>
      <w:r w:rsidR="001B243C">
        <w:t>.</w:t>
      </w:r>
      <w:r w:rsidR="00A057EA">
        <w:t>3</w:t>
      </w:r>
    </w:p>
    <w:p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A057EA" w:rsidRPr="0022072F" w:rsidRDefault="00A96D77" w:rsidP="0022072F">
      <w:pPr>
        <w:pStyle w:val="BodyText"/>
      </w:pPr>
      <w:r>
        <w:t xml:space="preserve">In determining the number of HARQ processes there are multiple factors to consider such </w:t>
      </w:r>
      <w:r w:rsidR="00C01A55">
        <w:t xml:space="preserve">as </w:t>
      </w:r>
      <w:r>
        <w:t xml:space="preserve">the processing requirement on the UE and gNB, softbuffer memory, fronthaul delay and so forth. In this contribution we highlight the corresponding aspects </w:t>
      </w:r>
      <w:r w:rsidR="00C01A55">
        <w:t xml:space="preserve">to </w:t>
      </w:r>
      <w:r>
        <w:t xml:space="preserve">be able to start the discussion on the number of HARQ processes for both DL and UL. </w:t>
      </w:r>
    </w:p>
    <w:p w:rsidR="004B1C8B" w:rsidRDefault="00230310" w:rsidP="00230310">
      <w:pPr>
        <w:pStyle w:val="Heading1"/>
        <w:spacing w:before="180"/>
        <w:ind w:left="562" w:hanging="562"/>
      </w:pPr>
      <w:r>
        <w:t>Discussion</w:t>
      </w:r>
      <w:bookmarkStart w:id="3" w:name="_GoBack"/>
      <w:bookmarkEnd w:id="3"/>
    </w:p>
    <w:p w:rsidR="007059CD" w:rsidRDefault="007059CD" w:rsidP="00A96D77">
      <w:pPr>
        <w:pStyle w:val="BodyText"/>
      </w:pPr>
      <w:r>
        <w:t>When determining the number of HARQ processes available in both UL and DL there are many aspects to consider. First</w:t>
      </w:r>
      <w:r w:rsidR="004A5A0F">
        <w:t>,</w:t>
      </w:r>
      <w:r>
        <w:t xml:space="preserve"> it relates to th</w:t>
      </w:r>
      <w:r w:rsidR="004A5A0F">
        <w:t xml:space="preserve">e UE processing time and the turn-around time. It is noted here already that the eNB processing together with the turnaround time can vary depending on the deployment scenario that is used. In a small cell the turnaround time can be quick but in a C-RAN deployment the turn-around-time can be longer due to the delay of the fronthaul. </w:t>
      </w:r>
      <w:r w:rsidR="008B1A2F">
        <w:t>In the design work</w:t>
      </w:r>
      <w:r w:rsidR="00C01A55">
        <w:t xml:space="preserve"> for NR,</w:t>
      </w:r>
      <w:r w:rsidR="008B1A2F">
        <w:t xml:space="preserve"> it is important that we consider a wide range of scenarios </w:t>
      </w:r>
      <w:r w:rsidR="00C01A55">
        <w:t xml:space="preserve">including </w:t>
      </w:r>
      <w:r w:rsidR="008B1A2F">
        <w:t xml:space="preserve">deployments with </w:t>
      </w:r>
      <w:r w:rsidR="00C01A55">
        <w:t xml:space="preserve">significant </w:t>
      </w:r>
      <w:r w:rsidR="008B1A2F">
        <w:t>fronthaul delay</w:t>
      </w:r>
      <w:r w:rsidR="00C01A55">
        <w:t xml:space="preserve"> </w:t>
      </w:r>
      <w:r w:rsidR="008B1A2F">
        <w:t>a</w:t>
      </w:r>
      <w:r w:rsidR="00C01A55">
        <w:t xml:space="preserve">long with </w:t>
      </w:r>
      <w:r w:rsidR="008B1A2F">
        <w:t xml:space="preserve"> deployments wherein that is not the case (baseband is place</w:t>
      </w:r>
      <w:r w:rsidR="00C01A55">
        <w:t>d</w:t>
      </w:r>
      <w:r w:rsidR="008B1A2F">
        <w:t xml:space="preserve"> at the same location as the antennas). </w:t>
      </w:r>
      <w:r w:rsidR="004A5A0F">
        <w:t xml:space="preserve">This aspect is further described below. </w:t>
      </w:r>
      <w:r w:rsidR="00C01A55">
        <w:t>Moreover</w:t>
      </w:r>
      <w:r w:rsidR="007A0208">
        <w:t>, when</w:t>
      </w:r>
      <w:r w:rsidR="00093FC4">
        <w:t xml:space="preserve"> discussing the processing </w:t>
      </w:r>
      <w:r w:rsidR="007A0208">
        <w:t>time,</w:t>
      </w:r>
      <w:r w:rsidR="00093FC4">
        <w:t xml:space="preserve"> it is important to consider that </w:t>
      </w:r>
      <w:r w:rsidR="008B1A2F">
        <w:t xml:space="preserve">there </w:t>
      </w:r>
      <w:r w:rsidR="00C01A55">
        <w:t>are</w:t>
      </w:r>
      <w:r w:rsidR="008B1A2F">
        <w:t xml:space="preserve"> aspect</w:t>
      </w:r>
      <w:r w:rsidR="00C01A55">
        <w:t>s</w:t>
      </w:r>
      <w:r w:rsidR="008B1A2F">
        <w:t xml:space="preserve"> that scale with reduced transmission duration and aspects that do not scale. </w:t>
      </w:r>
    </w:p>
    <w:p w:rsidR="00A96D77" w:rsidRDefault="004A5A0F" w:rsidP="00A96D77">
      <w:pPr>
        <w:pStyle w:val="BodyText"/>
      </w:pPr>
      <w:r>
        <w:t xml:space="preserve">An aspect to consider is the maximum allowed timing advance. </w:t>
      </w:r>
      <w:r w:rsidR="00181E36">
        <w:t xml:space="preserve">When the timing advance needed is lower than the maximum allowed timing advance, the timing advance could potentially be used to assist in compensating for the fronthaul delay in some cases which can in turn potentially reduce the need to increase the number of HARQ processes due to large fronthaul delays. </w:t>
      </w:r>
      <w:r w:rsidR="007A0208">
        <w:t xml:space="preserve">Timing Advance is </w:t>
      </w:r>
      <w:r w:rsidR="00A96D77">
        <w:t>rel</w:t>
      </w:r>
      <w:r w:rsidR="007A0208">
        <w:t>ated to the cell size supported,</w:t>
      </w:r>
      <w:r w:rsidR="00A96D77">
        <w:t xml:space="preserve"> i.e. assuming that the baseband unit of the base station is located at a distance from the antenna connector that </w:t>
      </w:r>
      <w:r w:rsidR="00C01A55">
        <w:t>is typically</w:t>
      </w:r>
      <w:r w:rsidR="00A96D77">
        <w:t xml:space="preserve"> ignor</w:t>
      </w:r>
      <w:r w:rsidR="00C01A55">
        <w:t>ed</w:t>
      </w:r>
      <w:r w:rsidR="00A96D77">
        <w:t xml:space="preserve"> from a propagation delay point of view. Current maximum timing advance</w:t>
      </w:r>
      <w:r w:rsidR="007059CD">
        <w:t xml:space="preserve"> within LTE</w:t>
      </w:r>
      <w:r w:rsidR="00A96D77">
        <w:t>, TA, 0.67ms, is dimensioned for a maximum cell size of 100km.</w:t>
      </w:r>
      <w:r w:rsidR="00A96D77" w:rsidRPr="002D485A">
        <w:t xml:space="preserve"> </w:t>
      </w:r>
      <w:r w:rsidR="00A96D77">
        <w:t xml:space="preserve">For NR there is however </w:t>
      </w:r>
      <w:r w:rsidR="00C01A55">
        <w:t xml:space="preserve">a </w:t>
      </w:r>
      <w:r w:rsidR="00A96D77">
        <w:t xml:space="preserve">target on larger cell sizes </w:t>
      </w:r>
      <w:r w:rsidR="00655332">
        <w:t xml:space="preserve">than </w:t>
      </w:r>
      <w:r w:rsidR="00C25EC4">
        <w:t>LTE</w:t>
      </w:r>
      <w:r w:rsidR="00655332">
        <w:t>. It can be observed</w:t>
      </w:r>
      <w:r w:rsidR="00C01A55">
        <w:t>,</w:t>
      </w:r>
      <w:r w:rsidR="00655332">
        <w:t xml:space="preserve"> however</w:t>
      </w:r>
      <w:r w:rsidR="00C01A55">
        <w:t>,</w:t>
      </w:r>
      <w:r w:rsidR="00655332">
        <w:t xml:space="preserve"> that the highest possible data rate</w:t>
      </w:r>
      <w:r w:rsidR="007A0208">
        <w:t>s</w:t>
      </w:r>
      <w:r w:rsidR="00655332">
        <w:t xml:space="preserve"> may strictly not be required to b</w:t>
      </w:r>
      <w:r w:rsidR="007A0208">
        <w:t>e supported on the cell edge of</w:t>
      </w:r>
      <w:r w:rsidR="00655332">
        <w:t xml:space="preserve"> such large cells. </w:t>
      </w:r>
      <w:r w:rsidR="00C01A55">
        <w:t>But</w:t>
      </w:r>
      <w:r w:rsidR="00A96D77">
        <w:t>, it is important to note that maximum TA has also an impact on network deployment flexibility.</w:t>
      </w:r>
    </w:p>
    <w:p w:rsidR="00A96D77" w:rsidRDefault="00A96D77" w:rsidP="00A96D77">
      <w:pPr>
        <w:pStyle w:val="BodyText"/>
      </w:pPr>
      <w:r>
        <w:t>Indeed, with centralized-RAN (C-RAN) type deployments, the baseband unit (BBU) can be allocated several km from a remote radio unit (RRU), in which case the propagation delay over the fiber also needs to be considered. In case of RRU deployments, the timing advance is typically set so as to compensate the overall two-way propagation delay between the UE and central unit which thus includes the two-way propagation delay between RRU and central unit. Note that due to the lower propagation speed in fiber than in the air, a 20km distance between RRU and BBU results in a 200us two-way propaga</w:t>
      </w:r>
      <w:r w:rsidR="004A5A0F">
        <w:t>tion delay.</w:t>
      </w:r>
    </w:p>
    <w:p w:rsidR="00A96D77" w:rsidRDefault="00A96D77" w:rsidP="00A96D77">
      <w:pPr>
        <w:pStyle w:val="BodyText"/>
      </w:pPr>
      <w:r>
        <w:object w:dxaOrig="16905" w:dyaOrig="6075" w14:anchorId="417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163.55pt" o:ole="">
            <v:imagedata r:id="rId8" o:title=""/>
          </v:shape>
          <o:OLEObject Type="Embed" ProgID="Visio.Drawing.15" ShapeID="_x0000_i1025" DrawAspect="Content" ObjectID="_1545507682" r:id="rId9"/>
        </w:object>
      </w:r>
    </w:p>
    <w:p w:rsidR="00A96D77" w:rsidRDefault="00A96D77" w:rsidP="00A96D77">
      <w:pPr>
        <w:pStyle w:val="Caption"/>
      </w:pPr>
      <w:bookmarkStart w:id="4" w:name="_Ref467501793"/>
      <w:r>
        <w:t xml:space="preserve">Figure </w:t>
      </w:r>
      <w:bookmarkEnd w:id="4"/>
      <w:r>
        <w:t>1: Impact on cell size supported with a certain TA in different deployments</w:t>
      </w:r>
    </w:p>
    <w:p w:rsidR="00181E36" w:rsidRDefault="00A96D77" w:rsidP="00A96D77">
      <w:pPr>
        <w:pStyle w:val="BodyText"/>
      </w:pPr>
      <w:r>
        <w:lastRenderedPageBreak/>
        <w:t xml:space="preserve">As can be seen, if the maximum TA is too small, the actual cell size supported might be too small for practical deployments, or even not feasible (if already the fiber delay between BBU and RU is larger than the maximum TA supported). </w:t>
      </w:r>
    </w:p>
    <w:p w:rsidR="00A96D77" w:rsidRDefault="00181E36" w:rsidP="00A96D77">
      <w:pPr>
        <w:pStyle w:val="BodyText"/>
      </w:pPr>
      <w:r>
        <w:t>Even though the timing advance can be used to compensate for having a lower number of HARQ processes, t</w:t>
      </w:r>
      <w:r w:rsidR="004A5A0F">
        <w:t>here is also the possibility to introduce more HARQ processes to support the RRU type of deployment</w:t>
      </w:r>
      <w:r w:rsidR="00A857BB">
        <w:t>. It is desirable to</w:t>
      </w:r>
      <w:r w:rsidR="004A5A0F">
        <w:t xml:space="preserve"> keep the maximum TA as </w:t>
      </w:r>
      <w:r w:rsidR="00990B5F">
        <w:t>an</w:t>
      </w:r>
      <w:r>
        <w:t xml:space="preserve"> independent</w:t>
      </w:r>
      <w:r w:rsidR="00990B5F">
        <w:t xml:space="preserve"> </w:t>
      </w:r>
      <w:r w:rsidR="00A857BB">
        <w:t xml:space="preserve">design </w:t>
      </w:r>
      <w:r w:rsidR="004A5A0F">
        <w:t xml:space="preserve">aspect to consider for large cell sizes. It can </w:t>
      </w:r>
      <w:r>
        <w:t xml:space="preserve">also </w:t>
      </w:r>
      <w:r w:rsidR="004A5A0F">
        <w:t xml:space="preserve">be noted that the UE memory requirement </w:t>
      </w:r>
      <w:r>
        <w:t xml:space="preserve">does not necessarily scale linearly with the number of HARQ processes </w:t>
      </w:r>
      <w:r w:rsidR="004A5A0F">
        <w:t xml:space="preserve">if </w:t>
      </w:r>
      <w:r w:rsidR="00990B5F">
        <w:t>it is</w:t>
      </w:r>
      <w:r w:rsidR="004A5A0F">
        <w:t xml:space="preserve"> assumed </w:t>
      </w:r>
      <w:r w:rsidR="00990B5F">
        <w:t xml:space="preserve">that the </w:t>
      </w:r>
      <w:r w:rsidR="004A5A0F">
        <w:t>network operat</w:t>
      </w:r>
      <w:r w:rsidR="00990B5F">
        <w:t>e</w:t>
      </w:r>
      <w:r w:rsidR="004A5A0F">
        <w:t xml:space="preserve">s </w:t>
      </w:r>
      <w:r w:rsidR="00990B5F">
        <w:t xml:space="preserve">with an </w:t>
      </w:r>
      <w:r w:rsidR="004A5A0F">
        <w:t xml:space="preserve">initial BLER target significantly lower than 100% errors, e.g. 10% BLER. </w:t>
      </w:r>
      <w:r w:rsidR="00A857BB">
        <w:t>Therefore, increasing the number of HARQ processes can potentially be done without put inordinate requirements on the UE soft buffer.</w:t>
      </w:r>
    </w:p>
    <w:p w:rsidR="00655332" w:rsidRDefault="004A5A0F" w:rsidP="00A96D77">
      <w:pPr>
        <w:pStyle w:val="BodyText"/>
      </w:pPr>
      <w:r>
        <w:t xml:space="preserve">Based on the discussion above it is proposed to continue the discussion for NR on the number of HARQ processes </w:t>
      </w:r>
      <w:r w:rsidR="00990B5F">
        <w:t>also considering the case</w:t>
      </w:r>
      <w:r>
        <w:t xml:space="preserve"> </w:t>
      </w:r>
      <w:r w:rsidR="00990B5F">
        <w:t>where</w:t>
      </w:r>
      <w:r>
        <w:t xml:space="preserve"> there is </w:t>
      </w:r>
      <w:r w:rsidR="00990B5F">
        <w:t xml:space="preserve">a </w:t>
      </w:r>
      <w:r>
        <w:t xml:space="preserve">significant fronthaul delay to be able to support C-RAN deployments. </w:t>
      </w:r>
    </w:p>
    <w:p w:rsidR="00DA7D33" w:rsidRDefault="00DA7D33" w:rsidP="00DA7D33">
      <w:pPr>
        <w:pStyle w:val="Heading1"/>
        <w:spacing w:before="180"/>
        <w:ind w:left="562" w:hanging="562"/>
      </w:pPr>
      <w:r>
        <w:t>Conclusion</w:t>
      </w:r>
    </w:p>
    <w:p w:rsidR="004A5A0F" w:rsidRPr="004A5A0F" w:rsidRDefault="004A5A0F" w:rsidP="00A057EA">
      <w:pPr>
        <w:pStyle w:val="BodyText"/>
        <w:numPr>
          <w:ilvl w:val="0"/>
          <w:numId w:val="26"/>
        </w:numPr>
        <w:rPr>
          <w:b/>
        </w:rPr>
      </w:pPr>
      <w:r w:rsidRPr="004A5A0F">
        <w:rPr>
          <w:b/>
        </w:rPr>
        <w:t xml:space="preserve">Proposal: </w:t>
      </w:r>
    </w:p>
    <w:p w:rsidR="00EC06DD" w:rsidRDefault="004A5A0F" w:rsidP="004A5A0F">
      <w:pPr>
        <w:pStyle w:val="BodyText"/>
        <w:numPr>
          <w:ilvl w:val="1"/>
          <w:numId w:val="26"/>
        </w:numPr>
      </w:pPr>
      <w:r>
        <w:t>Determine the number of HARQ processes in NR considering</w:t>
      </w:r>
    </w:p>
    <w:p w:rsidR="004A5A0F" w:rsidRDefault="004A5A0F" w:rsidP="004A5A0F">
      <w:pPr>
        <w:pStyle w:val="BodyText"/>
        <w:numPr>
          <w:ilvl w:val="2"/>
          <w:numId w:val="26"/>
        </w:numPr>
      </w:pPr>
      <w:r>
        <w:t>Supported cell sizes</w:t>
      </w:r>
    </w:p>
    <w:p w:rsidR="004A5A0F" w:rsidRDefault="004A5A0F" w:rsidP="004A5A0F">
      <w:pPr>
        <w:pStyle w:val="BodyText"/>
        <w:numPr>
          <w:ilvl w:val="2"/>
          <w:numId w:val="26"/>
        </w:numPr>
      </w:pPr>
      <w:r>
        <w:t>Fronthaul delay</w:t>
      </w:r>
    </w:p>
    <w:p w:rsidR="004A5A0F" w:rsidRDefault="004A5A0F" w:rsidP="004A5A0F">
      <w:pPr>
        <w:pStyle w:val="BodyText"/>
        <w:numPr>
          <w:ilvl w:val="2"/>
          <w:numId w:val="26"/>
        </w:numPr>
      </w:pPr>
      <w:r>
        <w:t>UE processing time</w:t>
      </w:r>
    </w:p>
    <w:p w:rsidR="004A5A0F" w:rsidRDefault="004A5A0F" w:rsidP="004A5A0F">
      <w:pPr>
        <w:pStyle w:val="BodyText"/>
        <w:numPr>
          <w:ilvl w:val="2"/>
          <w:numId w:val="26"/>
        </w:numPr>
      </w:pPr>
      <w:r>
        <w:t>eNB processing time</w:t>
      </w:r>
    </w:p>
    <w:p w:rsidR="00093FC4" w:rsidRDefault="00093FC4" w:rsidP="004A5A0F">
      <w:pPr>
        <w:pStyle w:val="BodyText"/>
        <w:numPr>
          <w:ilvl w:val="2"/>
          <w:numId w:val="26"/>
        </w:numPr>
      </w:pPr>
      <w:r>
        <w:t>Different numerologies</w:t>
      </w:r>
    </w:p>
    <w:p w:rsidR="00C25EC4" w:rsidRDefault="00C25EC4" w:rsidP="004A5A0F">
      <w:pPr>
        <w:pStyle w:val="BodyText"/>
        <w:numPr>
          <w:ilvl w:val="2"/>
          <w:numId w:val="26"/>
        </w:numPr>
      </w:pPr>
      <w:r>
        <w:t>Soft buffer memory strategy</w:t>
      </w:r>
      <w:r w:rsidR="00022B6A">
        <w:t xml:space="preserve"> in the UE</w:t>
      </w:r>
    </w:p>
    <w:p w:rsidR="00022B6A" w:rsidRPr="00EC06DD" w:rsidRDefault="00022B6A" w:rsidP="00E87FFB">
      <w:pPr>
        <w:pStyle w:val="BodyText"/>
        <w:numPr>
          <w:ilvl w:val="3"/>
          <w:numId w:val="26"/>
        </w:numPr>
      </w:pPr>
      <w:r>
        <w:t>Number of HARQ processes stored</w:t>
      </w:r>
    </w:p>
    <w:sectPr w:rsidR="00022B6A" w:rsidRPr="00EC06D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13C" w:rsidRDefault="002C613C" w:rsidP="00C01A55">
      <w:r>
        <w:separator/>
      </w:r>
    </w:p>
  </w:endnote>
  <w:endnote w:type="continuationSeparator" w:id="0">
    <w:p w:rsidR="002C613C" w:rsidRDefault="002C613C"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13C" w:rsidRDefault="002C613C" w:rsidP="00C01A55">
      <w:r>
        <w:separator/>
      </w:r>
    </w:p>
  </w:footnote>
  <w:footnote w:type="continuationSeparator" w:id="0">
    <w:p w:rsidR="002C613C" w:rsidRDefault="002C613C"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0"/>
  </w:num>
  <w:num w:numId="4">
    <w:abstractNumId w:val="22"/>
  </w:num>
  <w:num w:numId="5">
    <w:abstractNumId w:val="19"/>
  </w:num>
  <w:num w:numId="6">
    <w:abstractNumId w:val="16"/>
  </w:num>
  <w:num w:numId="7">
    <w:abstractNumId w:val="21"/>
  </w:num>
  <w:num w:numId="8">
    <w:abstractNumId w:val="20"/>
  </w:num>
  <w:num w:numId="9">
    <w:abstractNumId w:val="7"/>
  </w:num>
  <w:num w:numId="10">
    <w:abstractNumId w:val="2"/>
  </w:num>
  <w:num w:numId="11">
    <w:abstractNumId w:val="14"/>
  </w:num>
  <w:num w:numId="12">
    <w:abstractNumId w:val="23"/>
  </w:num>
  <w:num w:numId="13">
    <w:abstractNumId w:val="1"/>
  </w:num>
  <w:num w:numId="14">
    <w:abstractNumId w:val="3"/>
  </w:num>
  <w:num w:numId="15">
    <w:abstractNumId w:val="10"/>
  </w:num>
  <w:num w:numId="16">
    <w:abstractNumId w:val="4"/>
  </w:num>
  <w:num w:numId="17">
    <w:abstractNumId w:val="22"/>
  </w:num>
  <w:num w:numId="18">
    <w:abstractNumId w:val="13"/>
  </w:num>
  <w:num w:numId="19">
    <w:abstractNumId w:val="17"/>
  </w:num>
  <w:num w:numId="20">
    <w:abstractNumId w:val="6"/>
  </w:num>
  <w:num w:numId="21">
    <w:abstractNumId w:val="5"/>
  </w:num>
  <w:num w:numId="22">
    <w:abstractNumId w:val="18"/>
  </w:num>
  <w:num w:numId="23">
    <w:abstractNumId w:val="9"/>
  </w:num>
  <w:num w:numId="24">
    <w:abstractNumId w:val="8"/>
  </w:num>
  <w:num w:numId="25">
    <w:abstractNumId w:val="1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2B6A"/>
    <w:rsid w:val="00024F13"/>
    <w:rsid w:val="00060F67"/>
    <w:rsid w:val="00093FC4"/>
    <w:rsid w:val="00106ABF"/>
    <w:rsid w:val="00181E36"/>
    <w:rsid w:val="001B243C"/>
    <w:rsid w:val="001F0CAF"/>
    <w:rsid w:val="00213303"/>
    <w:rsid w:val="0022072F"/>
    <w:rsid w:val="00230310"/>
    <w:rsid w:val="00247FAB"/>
    <w:rsid w:val="0028065B"/>
    <w:rsid w:val="00286B6D"/>
    <w:rsid w:val="002C613C"/>
    <w:rsid w:val="002E444B"/>
    <w:rsid w:val="0034475B"/>
    <w:rsid w:val="003C5838"/>
    <w:rsid w:val="003F33ED"/>
    <w:rsid w:val="00407725"/>
    <w:rsid w:val="00426E2E"/>
    <w:rsid w:val="00434CD6"/>
    <w:rsid w:val="0048093F"/>
    <w:rsid w:val="0049799A"/>
    <w:rsid w:val="004A5A0F"/>
    <w:rsid w:val="004B1C8B"/>
    <w:rsid w:val="0052140E"/>
    <w:rsid w:val="00546EB1"/>
    <w:rsid w:val="005514B5"/>
    <w:rsid w:val="005838EA"/>
    <w:rsid w:val="00627565"/>
    <w:rsid w:val="00655332"/>
    <w:rsid w:val="006A286A"/>
    <w:rsid w:val="006B1453"/>
    <w:rsid w:val="006B481E"/>
    <w:rsid w:val="006D4A4B"/>
    <w:rsid w:val="007059CD"/>
    <w:rsid w:val="007A0208"/>
    <w:rsid w:val="007C7533"/>
    <w:rsid w:val="00813D98"/>
    <w:rsid w:val="008A0342"/>
    <w:rsid w:val="008B1A2F"/>
    <w:rsid w:val="008D5332"/>
    <w:rsid w:val="00916E30"/>
    <w:rsid w:val="00924E96"/>
    <w:rsid w:val="00942F98"/>
    <w:rsid w:val="009867D7"/>
    <w:rsid w:val="00990B5F"/>
    <w:rsid w:val="009A0611"/>
    <w:rsid w:val="009E46CD"/>
    <w:rsid w:val="00A057EA"/>
    <w:rsid w:val="00A857BB"/>
    <w:rsid w:val="00A96D77"/>
    <w:rsid w:val="00AC1F7D"/>
    <w:rsid w:val="00B03ED8"/>
    <w:rsid w:val="00B368D9"/>
    <w:rsid w:val="00BA4CC0"/>
    <w:rsid w:val="00BB2430"/>
    <w:rsid w:val="00BB7B54"/>
    <w:rsid w:val="00BC0FFC"/>
    <w:rsid w:val="00BE4063"/>
    <w:rsid w:val="00C01A55"/>
    <w:rsid w:val="00C1560A"/>
    <w:rsid w:val="00C25EC4"/>
    <w:rsid w:val="00C62894"/>
    <w:rsid w:val="00C8496C"/>
    <w:rsid w:val="00CA5E5D"/>
    <w:rsid w:val="00CB3C3F"/>
    <w:rsid w:val="00CB5A40"/>
    <w:rsid w:val="00CC1CA7"/>
    <w:rsid w:val="00CC260C"/>
    <w:rsid w:val="00CE17A5"/>
    <w:rsid w:val="00CE6CB0"/>
    <w:rsid w:val="00D03072"/>
    <w:rsid w:val="00D03E47"/>
    <w:rsid w:val="00D577BB"/>
    <w:rsid w:val="00D6598B"/>
    <w:rsid w:val="00D84D5E"/>
    <w:rsid w:val="00DA7D33"/>
    <w:rsid w:val="00DB6F36"/>
    <w:rsid w:val="00DD11CB"/>
    <w:rsid w:val="00DE0D8A"/>
    <w:rsid w:val="00DE1BAA"/>
    <w:rsid w:val="00E10C1F"/>
    <w:rsid w:val="00E20E32"/>
    <w:rsid w:val="00E87FFB"/>
    <w:rsid w:val="00EB26FB"/>
    <w:rsid w:val="00EC06DD"/>
    <w:rsid w:val="00F23E4F"/>
    <w:rsid w:val="00F33C5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677B8-7B2E-4773-9F70-ED8121F3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735</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Daniel Larsson</cp:lastModifiedBy>
  <cp:revision>6</cp:revision>
  <dcterms:created xsi:type="dcterms:W3CDTF">2017-01-09T13:08:00Z</dcterms:created>
  <dcterms:modified xsi:type="dcterms:W3CDTF">2017-01-09T21:55:00Z</dcterms:modified>
</cp:coreProperties>
</file>