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73474B3D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532CCA">
        <w:rPr>
          <w:rFonts w:ascii="Arial" w:hAnsi="Arial" w:cs="Arial"/>
          <w:b/>
          <w:bCs/>
          <w:sz w:val="24"/>
        </w:rPr>
        <w:t>8</w:t>
      </w:r>
      <w:r w:rsidR="006616F6">
        <w:rPr>
          <w:rFonts w:ascii="Arial" w:hAnsi="Arial" w:cs="Arial"/>
          <w:b/>
          <w:bCs/>
          <w:sz w:val="24"/>
        </w:rPr>
        <w:t>bis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026787" w:rsidRPr="00026787">
        <w:rPr>
          <w:rFonts w:ascii="Arial" w:hAnsi="Arial" w:cs="Arial"/>
          <w:b/>
          <w:bCs/>
          <w:sz w:val="24"/>
        </w:rPr>
        <w:t>R1-191133</w:t>
      </w:r>
      <w:r w:rsidR="00EA14E8">
        <w:rPr>
          <w:rFonts w:ascii="Arial" w:hAnsi="Arial" w:cs="Arial"/>
          <w:b/>
          <w:bCs/>
          <w:sz w:val="24"/>
        </w:rPr>
        <w:t>5</w:t>
      </w:r>
      <w:r w:rsidR="00EF1127" w:rsidRPr="00A2299C">
        <w:rPr>
          <w:b/>
          <w:bCs/>
          <w:sz w:val="28"/>
          <w:szCs w:val="24"/>
        </w:rPr>
        <w:t xml:space="preserve"> </w:t>
      </w:r>
    </w:p>
    <w:p w14:paraId="56A15566" w14:textId="2D11ACF3" w:rsidR="004607C3" w:rsidRPr="00A2299C" w:rsidRDefault="00E03839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Chongqing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6616F6">
        <w:rPr>
          <w:rFonts w:ascii="Arial" w:hAnsi="Arial" w:cs="Arial"/>
          <w:b/>
          <w:bCs/>
          <w:sz w:val="24"/>
        </w:rPr>
        <w:t>China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14</w:t>
      </w:r>
      <w:r w:rsidR="001E5393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– </w:t>
      </w:r>
      <w:r w:rsidR="006616F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0</w:t>
      </w:r>
      <w:r w:rsidR="006616F6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C00997" w:rsidRPr="00C00997">
        <w:rPr>
          <w:rFonts w:ascii="Arial" w:hAnsi="Arial" w:cs="Arial"/>
          <w:b/>
          <w:bCs/>
          <w:sz w:val="24"/>
        </w:rPr>
        <w:t>,</w:t>
      </w:r>
      <w:proofErr w:type="gramEnd"/>
      <w:r w:rsidR="00C00997" w:rsidRPr="00C00997">
        <w:rPr>
          <w:rFonts w:ascii="Arial" w:hAnsi="Arial" w:cs="Arial"/>
          <w:b/>
          <w:bCs/>
          <w:sz w:val="24"/>
        </w:rPr>
        <w:t xml:space="preserve"> 2019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79E21249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7.2.4.</w:t>
      </w:r>
      <w:r w:rsidR="00EA14E8">
        <w:rPr>
          <w:rFonts w:ascii="Arial" w:hAnsi="Arial" w:cs="Arial"/>
          <w:b/>
          <w:sz w:val="22"/>
        </w:rPr>
        <w:t>5</w:t>
      </w:r>
    </w:p>
    <w:p w14:paraId="7395AB72" w14:textId="70AA4F84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26787" w:rsidRPr="00026787">
        <w:rPr>
          <w:rFonts w:ascii="Arial" w:hAnsi="Arial" w:cs="Arial"/>
          <w:b/>
          <w:sz w:val="22"/>
        </w:rPr>
        <w:t>On</w:t>
      </w:r>
      <w:r w:rsidR="00EA14E8" w:rsidRPr="00EA14E8">
        <w:rPr>
          <w:rFonts w:ascii="Arial" w:hAnsi="Arial" w:cs="Arial"/>
          <w:b/>
          <w:sz w:val="22"/>
        </w:rPr>
        <w:t xml:space="preserve"> Physical Layer Procedures for Sidelink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C21138">
      <w:pPr>
        <w:pStyle w:val="Heading1"/>
        <w:ind w:left="360"/>
      </w:pPr>
      <w:r w:rsidRPr="000D37D3">
        <w:t>Introduction</w:t>
      </w:r>
    </w:p>
    <w:p w14:paraId="50B0473D" w14:textId="7B31E874" w:rsidR="00C00997" w:rsidRPr="00EF4835" w:rsidRDefault="00E2199A" w:rsidP="00705C2B">
      <w:pPr>
        <w:rPr>
          <w:rFonts w:eastAsia="Batang"/>
          <w:sz w:val="22"/>
          <w:szCs w:val="22"/>
          <w:lang w:eastAsia="ko-KR"/>
        </w:rPr>
      </w:pPr>
      <w:r w:rsidRPr="00EF4835">
        <w:rPr>
          <w:rFonts w:eastAsia="Batang"/>
          <w:sz w:val="22"/>
          <w:szCs w:val="22"/>
          <w:lang w:eastAsia="ko-KR"/>
        </w:rPr>
        <w:t>T</w:t>
      </w:r>
      <w:r w:rsidR="00B65E0E" w:rsidRPr="00EF4835">
        <w:rPr>
          <w:rFonts w:eastAsia="Batang"/>
          <w:sz w:val="22"/>
          <w:szCs w:val="22"/>
          <w:lang w:eastAsia="ko-KR"/>
        </w:rPr>
        <w:t xml:space="preserve">he </w:t>
      </w:r>
      <w:r w:rsidR="00532CCA" w:rsidRPr="00EF4835">
        <w:rPr>
          <w:rFonts w:eastAsia="Batang"/>
          <w:sz w:val="22"/>
          <w:szCs w:val="22"/>
          <w:lang w:eastAsia="ko-KR"/>
        </w:rPr>
        <w:t>following agreements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532CCA" w:rsidRPr="00EF4835">
        <w:rPr>
          <w:rFonts w:eastAsia="Batang"/>
          <w:sz w:val="22"/>
          <w:szCs w:val="22"/>
          <w:lang w:eastAsia="ko-KR"/>
        </w:rPr>
        <w:t xml:space="preserve">were made in </w:t>
      </w:r>
      <w:r w:rsidR="008C7214" w:rsidRPr="00EF4835">
        <w:rPr>
          <w:rFonts w:eastAsia="Batang"/>
          <w:sz w:val="22"/>
          <w:szCs w:val="22"/>
          <w:lang w:eastAsia="ko-KR"/>
        </w:rPr>
        <w:t>RAN1 #98</w:t>
      </w:r>
      <w:r w:rsidR="00C00997" w:rsidRPr="00EF4835">
        <w:rPr>
          <w:rFonts w:eastAsia="Batang"/>
          <w:sz w:val="22"/>
          <w:szCs w:val="22"/>
          <w:lang w:eastAsia="ko-KR"/>
        </w:rPr>
        <w:t xml:space="preserve"> 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begin"/>
      </w:r>
      <w:r w:rsidR="00C507CE" w:rsidRPr="00EF4835">
        <w:rPr>
          <w:rFonts w:eastAsia="Batang"/>
          <w:sz w:val="22"/>
          <w:szCs w:val="22"/>
          <w:lang w:eastAsia="ko-KR"/>
        </w:rPr>
        <w:instrText xml:space="preserve"> REF _Ref528924709 \n \h </w:instrText>
      </w:r>
      <w:r w:rsidR="00705C2B" w:rsidRPr="00EF4835"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="00C507CE" w:rsidRPr="00EF4835">
        <w:rPr>
          <w:rFonts w:eastAsia="Batang"/>
          <w:sz w:val="22"/>
          <w:szCs w:val="22"/>
          <w:lang w:eastAsia="ko-KR"/>
        </w:rPr>
      </w:r>
      <w:r w:rsidR="00C507CE" w:rsidRPr="00EF4835">
        <w:rPr>
          <w:rFonts w:eastAsia="Batang"/>
          <w:sz w:val="22"/>
          <w:szCs w:val="22"/>
          <w:lang w:eastAsia="ko-KR"/>
        </w:rPr>
        <w:fldChar w:fldCharType="separate"/>
      </w:r>
      <w:r w:rsidR="00AC45F7" w:rsidRPr="00EF4835">
        <w:rPr>
          <w:rFonts w:eastAsia="Batang"/>
          <w:sz w:val="22"/>
          <w:szCs w:val="22"/>
          <w:lang w:eastAsia="ko-KR"/>
        </w:rPr>
        <w:t>[1]</w:t>
      </w:r>
      <w:r w:rsidR="00C507CE" w:rsidRPr="00EF4835">
        <w:rPr>
          <w:rFonts w:eastAsia="Batang"/>
          <w:sz w:val="22"/>
          <w:szCs w:val="22"/>
          <w:lang w:eastAsia="ko-KR"/>
        </w:rPr>
        <w:fldChar w:fldCharType="end"/>
      </w:r>
      <w:r w:rsidR="00C00997" w:rsidRPr="00EF4835">
        <w:rPr>
          <w:rFonts w:eastAsia="Batang"/>
          <w:sz w:val="22"/>
          <w:szCs w:val="22"/>
          <w:lang w:eastAsia="ko-KR"/>
        </w:rPr>
        <w:t>:</w:t>
      </w:r>
    </w:p>
    <w:p w14:paraId="5F69DFAD" w14:textId="77777777" w:rsidR="00EA14E8" w:rsidRPr="00EB6706" w:rsidRDefault="00EA14E8" w:rsidP="00EA14E8">
      <w:pPr>
        <w:rPr>
          <w:i/>
          <w:color w:val="000000" w:themeColor="text1"/>
          <w:sz w:val="22"/>
          <w:lang w:val="en-US"/>
        </w:rPr>
      </w:pPr>
      <w:r w:rsidRPr="00EB6706">
        <w:rPr>
          <w:i/>
          <w:color w:val="000000" w:themeColor="text1"/>
          <w:sz w:val="22"/>
          <w:highlight w:val="green"/>
          <w:lang w:val="en-US"/>
        </w:rPr>
        <w:t>Agreements</w:t>
      </w:r>
      <w:r w:rsidRPr="00EB6706">
        <w:rPr>
          <w:i/>
          <w:color w:val="000000" w:themeColor="text1"/>
          <w:sz w:val="22"/>
          <w:lang w:val="en-US"/>
        </w:rPr>
        <w:t>:</w:t>
      </w:r>
    </w:p>
    <w:p w14:paraId="7BB6D885" w14:textId="77777777" w:rsidR="00EA14E8" w:rsidRPr="00EB6706" w:rsidRDefault="00EA14E8" w:rsidP="00EA14E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1 (PSFCH TX/RX overlap),</w:t>
      </w:r>
    </w:p>
    <w:p w14:paraId="309D5D01" w14:textId="77777777" w:rsidR="00EA14E8" w:rsidRPr="00EB6706" w:rsidRDefault="00EA14E8" w:rsidP="00EA14E8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Select PSFCH TX or RX based on priority rule</w:t>
      </w:r>
    </w:p>
    <w:p w14:paraId="2005BE6A" w14:textId="77777777" w:rsidR="00EA14E8" w:rsidRPr="00EB6706" w:rsidRDefault="00EA14E8" w:rsidP="00EA14E8">
      <w:pPr>
        <w:pStyle w:val="ListParagraph"/>
        <w:numPr>
          <w:ilvl w:val="2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Priority rule is based on at least priority indication in the associated PSCCH/PSSCH.</w:t>
      </w:r>
    </w:p>
    <w:p w14:paraId="1766B430" w14:textId="77777777" w:rsidR="00EA14E8" w:rsidRPr="00EB6706" w:rsidRDefault="00EA14E8" w:rsidP="00EA14E8">
      <w:pPr>
        <w:pStyle w:val="ListParagraph"/>
        <w:numPr>
          <w:ilvl w:val="2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FFS: Other priority rule (e.g. TX/RX, cast type, HARQ state, HARQ feedback option, number of (re)transmission of PSCCH/PSSCH), up to UE implementation</w:t>
      </w:r>
    </w:p>
    <w:p w14:paraId="5A1B5A72" w14:textId="77777777" w:rsidR="00EA14E8" w:rsidRPr="00EB6706" w:rsidRDefault="00EA14E8" w:rsidP="00EA14E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2 (PSFCH TX to multiple UEs),</w:t>
      </w:r>
    </w:p>
    <w:p w14:paraId="6669AC6A" w14:textId="77777777" w:rsidR="00EA14E8" w:rsidRPr="00EB6706" w:rsidRDefault="00EA14E8" w:rsidP="00EA14E8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Select N PSFCH(s) transmissions based on priority rule</w:t>
      </w:r>
    </w:p>
    <w:p w14:paraId="7F085903" w14:textId="77777777" w:rsidR="00EA14E8" w:rsidRPr="00EB6706" w:rsidRDefault="00EA14E8" w:rsidP="00EA14E8">
      <w:pPr>
        <w:pStyle w:val="ListParagraph"/>
        <w:numPr>
          <w:ilvl w:val="2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Priority rule is based on at least priority indication in the associated PSCCH/PSSCH.</w:t>
      </w:r>
    </w:p>
    <w:p w14:paraId="7E4BC79D" w14:textId="77777777" w:rsidR="00EA14E8" w:rsidRPr="00EB6706" w:rsidRDefault="00EA14E8" w:rsidP="00EA14E8">
      <w:pPr>
        <w:pStyle w:val="ListParagraph"/>
        <w:numPr>
          <w:ilvl w:val="2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FFS: Other priority rule (e.g. cast type, HARQ state, HARQ feedback option, number of (re)transmission of PSCCH/PSSCH, collision status, etc.), up to UE implementation</w:t>
      </w:r>
    </w:p>
    <w:p w14:paraId="3C35D83B" w14:textId="77777777" w:rsidR="00EA14E8" w:rsidRPr="00EB6706" w:rsidRDefault="00EA14E8" w:rsidP="00EA14E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For Case 3 (PSFCH TX with multiple HARQ feedback to the same UE),</w:t>
      </w:r>
    </w:p>
    <w:p w14:paraId="78B5358F" w14:textId="77777777" w:rsidR="00EA14E8" w:rsidRPr="00EB6706" w:rsidRDefault="00EA14E8" w:rsidP="00EA14E8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FFS including whether to support multiple HARQ feedback bits are multiplexed on a PSFCH, whether to apply the solution of Case 2</w:t>
      </w:r>
    </w:p>
    <w:p w14:paraId="5AD49EE4" w14:textId="77777777" w:rsidR="00EA14E8" w:rsidRPr="00EB6706" w:rsidRDefault="00EA14E8" w:rsidP="00EA14E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Send LS to RAN4 to ask the feasibility of simultaneous transmission of multiple PSFCH, and the maximum value of N if feasible</w:t>
      </w:r>
    </w:p>
    <w:p w14:paraId="29E0790E" w14:textId="77777777" w:rsidR="00EA14E8" w:rsidRPr="00EB6706" w:rsidRDefault="00EA14E8" w:rsidP="00EA14E8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Inform that no conclusion is made in RAN1 regarding whether the transmit power of PSFCH transmitted at the same time is the same or not when N&gt;1.</w:t>
      </w:r>
    </w:p>
    <w:p w14:paraId="2390DAF7" w14:textId="77777777" w:rsidR="00EA14E8" w:rsidRPr="00EB6706" w:rsidRDefault="00EA14E8" w:rsidP="00EA14E8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0" w:after="180" w:line="240" w:lineRule="auto"/>
        <w:contextualSpacing/>
        <w:jc w:val="left"/>
        <w:textAlignment w:val="baseline"/>
        <w:rPr>
          <w:i/>
          <w:color w:val="000000" w:themeColor="text1"/>
          <w:sz w:val="22"/>
        </w:rPr>
      </w:pPr>
      <w:r w:rsidRPr="00EB6706">
        <w:rPr>
          <w:i/>
          <w:color w:val="000000" w:themeColor="text1"/>
          <w:sz w:val="22"/>
        </w:rPr>
        <w:t>Including the current RAN1 agreement on PSFCH design</w:t>
      </w:r>
    </w:p>
    <w:p w14:paraId="1D69EBCC" w14:textId="23ABDDAC" w:rsidR="005208EA" w:rsidRPr="00EF4835" w:rsidRDefault="005208EA" w:rsidP="00EA14E8">
      <w:pPr>
        <w:pStyle w:val="ListParagraph"/>
        <w:overflowPunct w:val="0"/>
        <w:autoSpaceDE w:val="0"/>
        <w:autoSpaceDN w:val="0"/>
        <w:adjustRightInd w:val="0"/>
        <w:spacing w:before="0" w:after="180" w:line="240" w:lineRule="auto"/>
        <w:ind w:left="1440" w:firstLine="0"/>
        <w:contextualSpacing/>
        <w:jc w:val="left"/>
        <w:textAlignment w:val="baseline"/>
        <w:rPr>
          <w:i/>
          <w:color w:val="000000" w:themeColor="text1"/>
          <w:sz w:val="22"/>
          <w:szCs w:val="22"/>
        </w:rPr>
      </w:pPr>
    </w:p>
    <w:p w14:paraId="44AFB67B" w14:textId="69CB14BB" w:rsidR="008C7214" w:rsidRDefault="00EF4835" w:rsidP="00705C2B">
      <w:pPr>
        <w:rPr>
          <w:rFonts w:eastAsia="Batang"/>
          <w:lang w:eastAsia="ko-KR"/>
        </w:rPr>
      </w:pPr>
      <w:r w:rsidRPr="00EF4835">
        <w:rPr>
          <w:sz w:val="22"/>
          <w:lang w:eastAsia="x-none"/>
        </w:rPr>
        <w:t xml:space="preserve">In this contribution, we discuss the remaining design considerations for sidelink </w:t>
      </w:r>
      <w:r w:rsidR="00EB6706">
        <w:rPr>
          <w:sz w:val="22"/>
          <w:lang w:eastAsia="x-none"/>
        </w:rPr>
        <w:t>physical procedures</w:t>
      </w:r>
      <w:r w:rsidR="008D38F7">
        <w:rPr>
          <w:sz w:val="22"/>
          <w:lang w:eastAsia="x-none"/>
        </w:rPr>
        <w:t xml:space="preserve"> of HARQ feedback and transmit power control</w:t>
      </w:r>
      <w:r w:rsidR="00C401C9">
        <w:rPr>
          <w:sz w:val="22"/>
          <w:lang w:eastAsia="x-none"/>
        </w:rPr>
        <w:t xml:space="preserve"> [2]</w:t>
      </w:r>
      <w:r w:rsidRPr="00EF4835">
        <w:rPr>
          <w:sz w:val="22"/>
          <w:lang w:eastAsia="x-none"/>
        </w:rPr>
        <w:t>.</w:t>
      </w:r>
    </w:p>
    <w:p w14:paraId="43FD0B00" w14:textId="381C9FAD" w:rsidR="00EF4835" w:rsidRPr="00EF4835" w:rsidRDefault="00B65E0E" w:rsidP="00C21138">
      <w:pPr>
        <w:pStyle w:val="Heading1"/>
        <w:ind w:left="360"/>
      </w:pPr>
      <w:r>
        <w:t>Discussion</w:t>
      </w:r>
    </w:p>
    <w:p w14:paraId="3B90485B" w14:textId="2CBD4C80" w:rsidR="00C21138" w:rsidRDefault="00C21138" w:rsidP="00913045">
      <w:pPr>
        <w:pStyle w:val="Heading1"/>
        <w:numPr>
          <w:ilvl w:val="0"/>
          <w:numId w:val="0"/>
        </w:numPr>
        <w:ind w:left="540" w:hanging="540"/>
      </w:pPr>
      <w:r>
        <w:t xml:space="preserve">2.1 </w:t>
      </w:r>
      <w:r w:rsidR="00DF7166">
        <w:t xml:space="preserve">Case 3: </w:t>
      </w:r>
      <w:r w:rsidR="008D38F7" w:rsidRPr="008D38F7">
        <w:t>PSFCH TX with multiple HARQ feedback to the same UE</w:t>
      </w:r>
      <w:r w:rsidRPr="00C21138">
        <w:t xml:space="preserve"> </w:t>
      </w:r>
    </w:p>
    <w:p w14:paraId="040856B0" w14:textId="77777777" w:rsidR="000F304A" w:rsidRDefault="00DF7166" w:rsidP="00EF4835">
      <w:pPr>
        <w:rPr>
          <w:sz w:val="22"/>
          <w:lang w:eastAsia="x-none"/>
        </w:rPr>
      </w:pPr>
      <w:r>
        <w:rPr>
          <w:sz w:val="22"/>
          <w:lang w:eastAsia="x-none"/>
        </w:rPr>
        <w:t>When a receiving UE has multiple HARQ feedback</w:t>
      </w:r>
      <w:r w:rsidR="000F304A">
        <w:rPr>
          <w:sz w:val="22"/>
          <w:lang w:eastAsia="x-none"/>
        </w:rPr>
        <w:t>s to the same transmitting UE, it may be processed as the follows:</w:t>
      </w:r>
    </w:p>
    <w:p w14:paraId="61F1F0E2" w14:textId="3BA00B7B" w:rsidR="00C21138" w:rsidRDefault="000F304A" w:rsidP="00EF4835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</w:t>
      </w:r>
      <w:r w:rsidR="00310D9A">
        <w:rPr>
          <w:sz w:val="22"/>
          <w:lang w:eastAsia="x-none"/>
        </w:rPr>
        <w:t xml:space="preserve">the </w:t>
      </w:r>
      <w:r w:rsidR="007748EF">
        <w:rPr>
          <w:sz w:val="22"/>
          <w:lang w:eastAsia="x-none"/>
        </w:rPr>
        <w:t xml:space="preserve">number of </w:t>
      </w:r>
      <w:r w:rsidR="007748EF" w:rsidRPr="007748EF">
        <w:rPr>
          <w:sz w:val="22"/>
          <w:lang w:eastAsia="x-none"/>
        </w:rPr>
        <w:t>aggregated</w:t>
      </w:r>
      <w:r w:rsidR="007748EF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HARQ bits supported by a PSFCH</w:t>
      </w:r>
      <w:r w:rsidR="00BA1721" w:rsidRPr="00BA1721">
        <w:t xml:space="preserve"> </w:t>
      </w:r>
      <w:r w:rsidR="00BA1721" w:rsidRPr="00BA1721">
        <w:rPr>
          <w:sz w:val="22"/>
          <w:lang w:eastAsia="x-none"/>
        </w:rPr>
        <w:t>is enough to carry the multiple HARQ feedback bits, then they</w:t>
      </w:r>
      <w:r w:rsidR="00BA1721" w:rsidRPr="00BA1721" w:rsidDel="00BA1721">
        <w:rPr>
          <w:sz w:val="22"/>
          <w:lang w:eastAsia="x-none"/>
        </w:rPr>
        <w:t xml:space="preserve"> </w:t>
      </w:r>
      <w:commentRangeStart w:id="0"/>
      <w:commentRangeEnd w:id="0"/>
      <w:r>
        <w:rPr>
          <w:sz w:val="22"/>
          <w:lang w:eastAsia="x-none"/>
        </w:rPr>
        <w:t xml:space="preserve">may be multiplexed on a PSFCH, in a similar way as the NR Uu interface supporting up to 2 HARQ bits. If not enough HARQ bits </w:t>
      </w:r>
      <w:r w:rsidR="00310D9A">
        <w:rPr>
          <w:sz w:val="22"/>
          <w:lang w:eastAsia="x-none"/>
        </w:rPr>
        <w:t xml:space="preserve">are </w:t>
      </w:r>
      <w:r>
        <w:rPr>
          <w:sz w:val="22"/>
          <w:lang w:eastAsia="x-none"/>
        </w:rPr>
        <w:t>supported by a PSFCH, then the priority rule may be applied</w:t>
      </w:r>
      <w:r w:rsidR="00E74021">
        <w:rPr>
          <w:sz w:val="22"/>
          <w:lang w:eastAsia="x-none"/>
        </w:rPr>
        <w:t xml:space="preserve"> which may b</w:t>
      </w:r>
      <w:r w:rsidR="00310D9A">
        <w:rPr>
          <w:sz w:val="22"/>
          <w:lang w:eastAsia="x-none"/>
        </w:rPr>
        <w:t>e</w:t>
      </w:r>
      <w:r w:rsidR="00E74021">
        <w:rPr>
          <w:sz w:val="22"/>
          <w:lang w:eastAsia="x-none"/>
        </w:rPr>
        <w:t xml:space="preserve"> up</w:t>
      </w:r>
      <w:r w:rsidR="00310D9A">
        <w:rPr>
          <w:sz w:val="22"/>
          <w:lang w:eastAsia="x-none"/>
        </w:rPr>
        <w:t xml:space="preserve"> </w:t>
      </w:r>
      <w:r w:rsidR="00E74021">
        <w:rPr>
          <w:sz w:val="22"/>
          <w:lang w:eastAsia="x-none"/>
        </w:rPr>
        <w:t>to a UE’s implementation.</w:t>
      </w:r>
    </w:p>
    <w:p w14:paraId="5EF2F645" w14:textId="2A492288" w:rsidR="00EF4835" w:rsidRPr="00E74021" w:rsidRDefault="00EF4835" w:rsidP="00EF4835">
      <w:pPr>
        <w:rPr>
          <w:b/>
          <w:i/>
          <w:sz w:val="22"/>
          <w:lang w:eastAsia="x-none"/>
        </w:rPr>
      </w:pPr>
      <w:r w:rsidRPr="00E74021">
        <w:rPr>
          <w:b/>
          <w:i/>
          <w:sz w:val="22"/>
          <w:lang w:eastAsia="x-none"/>
        </w:rPr>
        <w:t>Proposal</w:t>
      </w:r>
      <w:r w:rsidR="00D365EF" w:rsidRPr="00E74021">
        <w:rPr>
          <w:b/>
          <w:i/>
          <w:sz w:val="22"/>
          <w:lang w:eastAsia="x-none"/>
        </w:rPr>
        <w:t xml:space="preserve"> 1</w:t>
      </w:r>
      <w:r w:rsidRPr="00E54582">
        <w:rPr>
          <w:b/>
          <w:i/>
          <w:sz w:val="22"/>
          <w:lang w:eastAsia="x-none"/>
        </w:rPr>
        <w:t>:</w:t>
      </w:r>
      <w:r w:rsidR="00B738EC" w:rsidRPr="00E54582">
        <w:rPr>
          <w:b/>
          <w:i/>
          <w:sz w:val="22"/>
          <w:lang w:eastAsia="x-none"/>
        </w:rPr>
        <w:t xml:space="preserve"> </w:t>
      </w:r>
      <w:r w:rsidR="00BA1721" w:rsidRPr="00E54582">
        <w:rPr>
          <w:b/>
          <w:i/>
          <w:sz w:val="22"/>
          <w:lang w:eastAsia="x-none"/>
        </w:rPr>
        <w:t>If the number of aggregated HARQ bits supported by a PSFCH is enough to carry the multiple HARQ feedback bits, then they may be multiplexed on the PSFCH</w:t>
      </w:r>
      <w:commentRangeStart w:id="1"/>
      <w:commentRangeEnd w:id="1"/>
      <w:r w:rsidR="00E74021" w:rsidRPr="00E54582">
        <w:rPr>
          <w:b/>
          <w:i/>
          <w:sz w:val="22"/>
          <w:lang w:eastAsia="x-none"/>
        </w:rPr>
        <w:t>; otherwise, it’s up</w:t>
      </w:r>
      <w:r w:rsidR="00BD454D" w:rsidRPr="00E54582">
        <w:rPr>
          <w:b/>
          <w:i/>
          <w:sz w:val="22"/>
          <w:lang w:eastAsia="x-none"/>
        </w:rPr>
        <w:t xml:space="preserve"> </w:t>
      </w:r>
      <w:r w:rsidR="00E74021" w:rsidRPr="00E54582">
        <w:rPr>
          <w:b/>
          <w:i/>
          <w:sz w:val="22"/>
          <w:lang w:eastAsia="x-none"/>
        </w:rPr>
        <w:t>to UE’s implementation</w:t>
      </w:r>
      <w:r w:rsidR="00D365EF" w:rsidRPr="00E54582">
        <w:rPr>
          <w:b/>
          <w:i/>
          <w:sz w:val="22"/>
          <w:lang w:eastAsia="x-none"/>
        </w:rPr>
        <w:t>.</w:t>
      </w:r>
    </w:p>
    <w:p w14:paraId="712F9162" w14:textId="77777777" w:rsidR="00C51AFA" w:rsidRDefault="00C51AFA" w:rsidP="00B738EC">
      <w:pPr>
        <w:rPr>
          <w:b/>
          <w:i/>
          <w:sz w:val="22"/>
          <w:lang w:eastAsia="x-none"/>
        </w:rPr>
      </w:pPr>
    </w:p>
    <w:p w14:paraId="4CBB7AEB" w14:textId="784BFA21" w:rsidR="00C51AFA" w:rsidRDefault="00C51AFA" w:rsidP="00C51AFA">
      <w:pPr>
        <w:pStyle w:val="Heading1"/>
        <w:numPr>
          <w:ilvl w:val="0"/>
          <w:numId w:val="0"/>
        </w:numPr>
        <w:ind w:left="540" w:hanging="540"/>
      </w:pPr>
      <w:r>
        <w:lastRenderedPageBreak/>
        <w:t xml:space="preserve">2.2 </w:t>
      </w:r>
      <w:r w:rsidR="00973882">
        <w:t>Open-loop power control for groupcast</w:t>
      </w:r>
      <w:r w:rsidRPr="00C21138">
        <w:t xml:space="preserve"> </w:t>
      </w:r>
    </w:p>
    <w:p w14:paraId="7E86DC82" w14:textId="77777777" w:rsidR="00AC2D9C" w:rsidRDefault="00E74021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open-loop power control is supported for groupcast, the receiving UE’s RSRP </w:t>
      </w:r>
      <w:r w:rsidR="00AC2D9C">
        <w:rPr>
          <w:sz w:val="22"/>
          <w:lang w:eastAsia="x-none"/>
        </w:rPr>
        <w:t xml:space="preserve">reporting </w:t>
      </w:r>
      <w:r>
        <w:rPr>
          <w:sz w:val="22"/>
          <w:lang w:eastAsia="x-none"/>
        </w:rPr>
        <w:t>overhead may be a concern, a similar issue as the groupcast HARQ feedback</w:t>
      </w:r>
      <w:r w:rsidR="002B6EFF">
        <w:rPr>
          <w:sz w:val="22"/>
          <w:lang w:eastAsia="x-none"/>
        </w:rPr>
        <w:t xml:space="preserve">. </w:t>
      </w:r>
    </w:p>
    <w:p w14:paraId="4C9AF712" w14:textId="12C69F3C" w:rsidR="002B6EFF" w:rsidRDefault="00E74021" w:rsidP="00C51AFA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a group is formed </w:t>
      </w:r>
      <w:r w:rsidR="00AC2D9C">
        <w:rPr>
          <w:sz w:val="22"/>
          <w:lang w:eastAsia="x-none"/>
        </w:rPr>
        <w:t>with</w:t>
      </w:r>
      <w:r>
        <w:rPr>
          <w:sz w:val="22"/>
          <w:lang w:eastAsia="x-none"/>
        </w:rPr>
        <w:t xml:space="preserve"> a required </w:t>
      </w:r>
      <w:r w:rsidR="00AC2D9C">
        <w:rPr>
          <w:sz w:val="22"/>
          <w:lang w:eastAsia="x-none"/>
        </w:rPr>
        <w:t>QoS performance</w:t>
      </w:r>
      <w:r>
        <w:rPr>
          <w:sz w:val="22"/>
          <w:lang w:eastAsia="x-none"/>
        </w:rPr>
        <w:t xml:space="preserve">, then the </w:t>
      </w:r>
      <w:r w:rsidR="00AC2D9C">
        <w:rPr>
          <w:sz w:val="22"/>
          <w:lang w:eastAsia="x-none"/>
        </w:rPr>
        <w:t>open-loop power control should be set for the worst receiving UE case, either due to location or channel condition, to ensure meeting the required QoS</w:t>
      </w:r>
      <w:r w:rsidR="002B6EFF">
        <w:rPr>
          <w:sz w:val="22"/>
          <w:lang w:eastAsia="x-none"/>
        </w:rPr>
        <w:t>.</w:t>
      </w:r>
    </w:p>
    <w:p w14:paraId="7ED4A6AF" w14:textId="3C4088D6" w:rsidR="002B6EFF" w:rsidRDefault="002B6EFF" w:rsidP="002B6EFF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367217">
        <w:rPr>
          <w:b/>
          <w:i/>
          <w:sz w:val="22"/>
          <w:lang w:eastAsia="x-none"/>
        </w:rPr>
        <w:t>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="00367217" w:rsidRPr="00367217">
        <w:rPr>
          <w:b/>
          <w:i/>
          <w:sz w:val="22"/>
          <w:lang w:eastAsia="x-none"/>
        </w:rPr>
        <w:t xml:space="preserve">If a group is formed with a required QoS performance, then the open-loop power control should be set </w:t>
      </w:r>
      <w:r w:rsidR="00BA1721" w:rsidRPr="00BA1721">
        <w:rPr>
          <w:b/>
          <w:i/>
          <w:sz w:val="22"/>
          <w:lang w:eastAsia="x-none"/>
        </w:rPr>
        <w:t>based on the worst receiving UE</w:t>
      </w:r>
      <w:commentRangeStart w:id="2"/>
      <w:commentRangeEnd w:id="2"/>
      <w:r>
        <w:rPr>
          <w:b/>
          <w:i/>
          <w:sz w:val="22"/>
          <w:lang w:eastAsia="x-none"/>
        </w:rPr>
        <w:t>.</w:t>
      </w:r>
    </w:p>
    <w:p w14:paraId="3261527D" w14:textId="77777777" w:rsidR="002B6EFF" w:rsidRDefault="002B6EFF" w:rsidP="002B6EFF">
      <w:pPr>
        <w:rPr>
          <w:b/>
          <w:i/>
          <w:sz w:val="22"/>
          <w:lang w:eastAsia="x-none"/>
        </w:rPr>
      </w:pPr>
    </w:p>
    <w:p w14:paraId="15BF460B" w14:textId="37052F53" w:rsidR="002B6EFF" w:rsidRDefault="002B6EFF" w:rsidP="002B6EFF">
      <w:pPr>
        <w:pStyle w:val="Heading1"/>
        <w:numPr>
          <w:ilvl w:val="0"/>
          <w:numId w:val="0"/>
        </w:numPr>
        <w:ind w:left="540" w:hanging="540"/>
      </w:pPr>
      <w:r>
        <w:t xml:space="preserve">2.3 </w:t>
      </w:r>
      <w:r w:rsidR="00367217">
        <w:t>O</w:t>
      </w:r>
      <w:r w:rsidR="00973882">
        <w:t>pen-loop power control for PSFCH</w:t>
      </w:r>
    </w:p>
    <w:p w14:paraId="68636B47" w14:textId="12CE4A71" w:rsidR="00B738EC" w:rsidRDefault="00367217" w:rsidP="002B6EFF">
      <w:pPr>
        <w:rPr>
          <w:sz w:val="22"/>
          <w:lang w:eastAsia="x-none"/>
        </w:rPr>
      </w:pPr>
      <w:r>
        <w:rPr>
          <w:sz w:val="22"/>
          <w:lang w:eastAsia="x-none"/>
        </w:rPr>
        <w:t>To ensure the performance as well as avoiding unnecessary interference, open-loop power control for PSFCH is ben</w:t>
      </w:r>
      <w:r w:rsidR="004E04C2">
        <w:rPr>
          <w:sz w:val="22"/>
          <w:lang w:eastAsia="x-none"/>
        </w:rPr>
        <w:t>e</w:t>
      </w:r>
      <w:r>
        <w:rPr>
          <w:sz w:val="22"/>
          <w:lang w:eastAsia="x-none"/>
        </w:rPr>
        <w:t>ficial</w:t>
      </w:r>
      <w:r w:rsidR="00E822BD">
        <w:rPr>
          <w:sz w:val="22"/>
          <w:lang w:eastAsia="x-none"/>
        </w:rPr>
        <w:t>.</w:t>
      </w:r>
    </w:p>
    <w:p w14:paraId="17DADAAA" w14:textId="0F0A9C95" w:rsidR="00367217" w:rsidRDefault="00367217" w:rsidP="002B6EFF">
      <w:pPr>
        <w:rPr>
          <w:sz w:val="22"/>
          <w:lang w:eastAsia="x-none"/>
        </w:rPr>
      </w:pPr>
      <w:r>
        <w:rPr>
          <w:sz w:val="22"/>
          <w:lang w:eastAsia="x-none"/>
        </w:rPr>
        <w:t xml:space="preserve">If </w:t>
      </w:r>
      <w:r w:rsidR="00F30F65">
        <w:rPr>
          <w:sz w:val="22"/>
          <w:lang w:eastAsia="x-none"/>
        </w:rPr>
        <w:t>a</w:t>
      </w:r>
      <w:r>
        <w:rPr>
          <w:sz w:val="22"/>
          <w:lang w:eastAsia="x-none"/>
        </w:rPr>
        <w:t xml:space="preserve"> PSFCH is fed</w:t>
      </w:r>
      <w:r w:rsidR="004E04C2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back only to the transmitting UE, then the receiving UE may use the channel reciprocal property for PSFCH transmit power setting. For example, the receiving UE knows the measured RSRP</w:t>
      </w:r>
      <w:r w:rsidR="00F30F65">
        <w:rPr>
          <w:sz w:val="22"/>
          <w:lang w:eastAsia="x-none"/>
        </w:rPr>
        <w:t xml:space="preserve"> and may use it for adjusting </w:t>
      </w:r>
      <w:proofErr w:type="spellStart"/>
      <w:r w:rsidR="00F30F65">
        <w:rPr>
          <w:sz w:val="22"/>
          <w:lang w:eastAsia="x-none"/>
        </w:rPr>
        <w:t>it’s</w:t>
      </w:r>
      <w:proofErr w:type="spellEnd"/>
      <w:r w:rsidR="00F30F65">
        <w:rPr>
          <w:sz w:val="22"/>
          <w:lang w:eastAsia="x-none"/>
        </w:rPr>
        <w:t xml:space="preserve"> PSFCH transmit power.</w:t>
      </w:r>
    </w:p>
    <w:p w14:paraId="5F22CEEF" w14:textId="2525B734" w:rsidR="00F30F65" w:rsidRDefault="00F30F65" w:rsidP="002B6EFF">
      <w:pPr>
        <w:rPr>
          <w:sz w:val="22"/>
          <w:lang w:eastAsia="x-none"/>
        </w:rPr>
      </w:pPr>
      <w:r>
        <w:rPr>
          <w:sz w:val="22"/>
          <w:lang w:eastAsia="x-none"/>
        </w:rPr>
        <w:t>If a PSFCH is fed</w:t>
      </w:r>
      <w:r w:rsidR="004E04C2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back to the UEs in</w:t>
      </w:r>
      <w:r w:rsidR="004E04C2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proximity, then the receiving UE may set the PSFCH to a certain level to meet a certain communication range, like the transmit power setting for a broadcast within a certain communication range.</w:t>
      </w:r>
    </w:p>
    <w:p w14:paraId="2C63AF45" w14:textId="0F6D89B4" w:rsidR="00E822BD" w:rsidRPr="00D365EF" w:rsidRDefault="00E822BD" w:rsidP="002B6EFF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</w:t>
      </w:r>
      <w:r w:rsidR="00F30F65">
        <w:rPr>
          <w:b/>
          <w:i/>
          <w:sz w:val="22"/>
          <w:lang w:eastAsia="x-none"/>
        </w:rPr>
        <w:t>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="00F30F65">
        <w:rPr>
          <w:b/>
          <w:i/>
          <w:sz w:val="22"/>
          <w:lang w:eastAsia="x-none"/>
        </w:rPr>
        <w:t>Transmit power control for PSFCH may be based on unicast or broadcast power control</w:t>
      </w:r>
      <w:r w:rsidR="00C401C9">
        <w:rPr>
          <w:sz w:val="22"/>
          <w:lang w:eastAsia="x-none"/>
        </w:rPr>
        <w:t>.</w:t>
      </w:r>
    </w:p>
    <w:p w14:paraId="18A50B5F" w14:textId="77777777" w:rsidR="00EF4835" w:rsidRPr="002E7C94" w:rsidRDefault="00EF4835" w:rsidP="002B6EFF">
      <w:pPr>
        <w:pStyle w:val="ListParagraph"/>
        <w:spacing w:before="0" w:after="0" w:line="240" w:lineRule="auto"/>
        <w:ind w:left="720" w:firstLine="0"/>
        <w:jc w:val="left"/>
      </w:pPr>
    </w:p>
    <w:p w14:paraId="5C10EE21" w14:textId="469BC2C7" w:rsidR="00065F7D" w:rsidRDefault="005D20F1" w:rsidP="00E822BD">
      <w:pPr>
        <w:pStyle w:val="Heading1"/>
        <w:ind w:left="360"/>
      </w:pPr>
      <w:r w:rsidRPr="000D37D3">
        <w:t>Conclusion</w:t>
      </w:r>
    </w:p>
    <w:p w14:paraId="3AF58D08" w14:textId="7E8BB37C" w:rsidR="00A650EE" w:rsidRPr="00EF4835" w:rsidRDefault="00065F7D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 xml:space="preserve">In this contribution, </w:t>
      </w:r>
      <w:r w:rsidR="0066759B" w:rsidRPr="00EF4835">
        <w:rPr>
          <w:sz w:val="22"/>
          <w:lang w:eastAsia="x-none"/>
        </w:rPr>
        <w:t>we discuss</w:t>
      </w:r>
      <w:r w:rsidR="00440E8E">
        <w:rPr>
          <w:sz w:val="22"/>
          <w:lang w:eastAsia="x-none"/>
        </w:rPr>
        <w:t>ed</w:t>
      </w:r>
      <w:r w:rsidR="0066759B" w:rsidRPr="00EF4835">
        <w:rPr>
          <w:sz w:val="22"/>
          <w:lang w:eastAsia="x-none"/>
        </w:rPr>
        <w:t xml:space="preserve"> </w:t>
      </w:r>
      <w:r w:rsidR="00440E8E">
        <w:rPr>
          <w:sz w:val="22"/>
          <w:lang w:eastAsia="x-none"/>
        </w:rPr>
        <w:t xml:space="preserve">some of </w:t>
      </w:r>
      <w:r w:rsidR="0066759B" w:rsidRPr="00EF4835">
        <w:rPr>
          <w:sz w:val="22"/>
          <w:lang w:eastAsia="x-none"/>
        </w:rPr>
        <w:t xml:space="preserve">the remaining design considerations for </w:t>
      </w:r>
      <w:r w:rsidR="00F30F65">
        <w:rPr>
          <w:sz w:val="22"/>
          <w:lang w:eastAsia="x-none"/>
        </w:rPr>
        <w:t xml:space="preserve">HARQ feedback and </w:t>
      </w:r>
      <w:proofErr w:type="spellStart"/>
      <w:r w:rsidR="00F30F65">
        <w:rPr>
          <w:sz w:val="22"/>
          <w:lang w:eastAsia="x-none"/>
        </w:rPr>
        <w:t>tranmit</w:t>
      </w:r>
      <w:proofErr w:type="spellEnd"/>
      <w:r w:rsidR="00F30F65">
        <w:rPr>
          <w:sz w:val="22"/>
          <w:lang w:eastAsia="x-none"/>
        </w:rPr>
        <w:t xml:space="preserve"> power control</w:t>
      </w:r>
      <w:r w:rsidR="00CC26B7" w:rsidRPr="00EF4835">
        <w:rPr>
          <w:sz w:val="22"/>
          <w:szCs w:val="22"/>
        </w:rPr>
        <w:t>. The following proposals were made.</w:t>
      </w:r>
    </w:p>
    <w:p w14:paraId="7F4715B5" w14:textId="72AF9B15" w:rsidR="004A1BF7" w:rsidRPr="00E74021" w:rsidRDefault="00101DDD" w:rsidP="004A1BF7">
      <w:pPr>
        <w:rPr>
          <w:b/>
          <w:i/>
          <w:sz w:val="22"/>
          <w:lang w:eastAsia="x-none"/>
        </w:rPr>
      </w:pPr>
      <w:r w:rsidRPr="00E74021">
        <w:rPr>
          <w:b/>
          <w:i/>
          <w:sz w:val="22"/>
          <w:lang w:eastAsia="x-none"/>
        </w:rPr>
        <w:t>Proposal 1</w:t>
      </w:r>
      <w:r w:rsidRPr="00F34FE3">
        <w:rPr>
          <w:b/>
          <w:i/>
          <w:sz w:val="22"/>
          <w:lang w:eastAsia="x-none"/>
        </w:rPr>
        <w:t>: If the number of aggregated HARQ bits supported by a PSFCH is enough to carry the multiple HARQ feedback bits, then they may be multiplexed on the PSFCH; otherwise, it’s up to UE’s implementation.</w:t>
      </w:r>
    </w:p>
    <w:p w14:paraId="2AAC3DB8" w14:textId="59C22FEB" w:rsidR="00440E8E" w:rsidRDefault="00B511FF" w:rsidP="00440E8E">
      <w:pPr>
        <w:rPr>
          <w:b/>
          <w:i/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2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</w:t>
      </w:r>
      <w:r w:rsidRPr="00367217">
        <w:rPr>
          <w:b/>
          <w:i/>
          <w:sz w:val="22"/>
          <w:lang w:eastAsia="x-none"/>
        </w:rPr>
        <w:t xml:space="preserve">If a group is formed with a required QoS performance, then the open-loop power control should be set </w:t>
      </w:r>
      <w:r w:rsidRPr="00BA1721">
        <w:rPr>
          <w:b/>
          <w:i/>
          <w:sz w:val="22"/>
          <w:lang w:eastAsia="x-none"/>
        </w:rPr>
        <w:t>based on the worst receiving UE</w:t>
      </w:r>
      <w:commentRangeStart w:id="3"/>
      <w:commentRangeEnd w:id="3"/>
      <w:r>
        <w:rPr>
          <w:b/>
          <w:i/>
          <w:sz w:val="22"/>
          <w:lang w:eastAsia="x-none"/>
        </w:rPr>
        <w:t>.</w:t>
      </w:r>
      <w:bookmarkStart w:id="4" w:name="_GoBack"/>
      <w:bookmarkEnd w:id="4"/>
    </w:p>
    <w:p w14:paraId="09EB3829" w14:textId="77777777" w:rsidR="004A1BF7" w:rsidRPr="00D365EF" w:rsidRDefault="004A1BF7" w:rsidP="004A1BF7">
      <w:pPr>
        <w:rPr>
          <w:sz w:val="22"/>
          <w:lang w:eastAsia="x-none"/>
        </w:rPr>
      </w:pPr>
      <w:r w:rsidRPr="00C21138">
        <w:rPr>
          <w:b/>
          <w:i/>
          <w:sz w:val="22"/>
          <w:lang w:eastAsia="x-none"/>
        </w:rPr>
        <w:t>Proposal</w:t>
      </w:r>
      <w:r>
        <w:rPr>
          <w:b/>
          <w:i/>
          <w:sz w:val="22"/>
          <w:lang w:eastAsia="x-none"/>
        </w:rPr>
        <w:t xml:space="preserve"> 3</w:t>
      </w:r>
      <w:r w:rsidRPr="00C21138">
        <w:rPr>
          <w:b/>
          <w:i/>
          <w:sz w:val="22"/>
          <w:lang w:eastAsia="x-none"/>
        </w:rPr>
        <w:t>:</w:t>
      </w:r>
      <w:r>
        <w:rPr>
          <w:b/>
          <w:i/>
          <w:sz w:val="22"/>
          <w:lang w:eastAsia="x-none"/>
        </w:rPr>
        <w:t xml:space="preserve"> Transmit power control for PSFCH may be based on unicast or broadcast power control</w:t>
      </w:r>
      <w:r>
        <w:rPr>
          <w:sz w:val="22"/>
          <w:lang w:eastAsia="x-none"/>
        </w:rPr>
        <w:t>.</w:t>
      </w:r>
    </w:p>
    <w:p w14:paraId="35EFC174" w14:textId="45541869" w:rsidR="005A2A8E" w:rsidRPr="00440E8E" w:rsidRDefault="005A2A8E" w:rsidP="00440E8E">
      <w:pPr>
        <w:spacing w:before="0"/>
        <w:ind w:left="360"/>
        <w:rPr>
          <w:b/>
          <w:i/>
          <w:szCs w:val="22"/>
        </w:rPr>
      </w:pPr>
    </w:p>
    <w:p w14:paraId="2DA0C3AF" w14:textId="18544A81" w:rsidR="00A650EE" w:rsidRPr="00A650EE" w:rsidRDefault="00A650EE" w:rsidP="00E822BD">
      <w:pPr>
        <w:pStyle w:val="Heading1"/>
        <w:spacing w:before="0" w:after="120"/>
        <w:ind w:left="360"/>
      </w:pPr>
      <w:r w:rsidRPr="00A650EE">
        <w:t>Reference</w:t>
      </w:r>
      <w:r w:rsidR="004D29B6">
        <w:t>s</w:t>
      </w:r>
    </w:p>
    <w:p w14:paraId="5DAD8DD2" w14:textId="12D1F465" w:rsidR="00021ACF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[1] Chairman Notes, RAN</w:t>
      </w:r>
      <w:r w:rsidR="008C7214" w:rsidRPr="00EF4835">
        <w:rPr>
          <w:sz w:val="22"/>
          <w:szCs w:val="22"/>
        </w:rPr>
        <w:t>1</w:t>
      </w:r>
      <w:r w:rsidRPr="00EF4835">
        <w:rPr>
          <w:sz w:val="22"/>
          <w:szCs w:val="22"/>
        </w:rPr>
        <w:t xml:space="preserve"> #98, Prague, CZ, August 2019. </w:t>
      </w:r>
    </w:p>
    <w:p w14:paraId="571DCDCB" w14:textId="209F8B33" w:rsidR="00467491" w:rsidRPr="00EF4835" w:rsidRDefault="00021ACF" w:rsidP="00EF4835">
      <w:pPr>
        <w:pStyle w:val="NormalWeb"/>
        <w:spacing w:before="0" w:beforeAutospacing="0" w:after="120" w:afterAutospacing="0"/>
        <w:rPr>
          <w:sz w:val="22"/>
          <w:szCs w:val="22"/>
        </w:rPr>
      </w:pPr>
      <w:r w:rsidRPr="00EF4835">
        <w:rPr>
          <w:sz w:val="22"/>
          <w:szCs w:val="22"/>
        </w:rPr>
        <w:t>[2]</w:t>
      </w:r>
      <w:r w:rsidR="008C7214" w:rsidRPr="00EF4835">
        <w:rPr>
          <w:b/>
          <w:sz w:val="22"/>
          <w:szCs w:val="22"/>
        </w:rPr>
        <w:t xml:space="preserve"> </w:t>
      </w:r>
      <w:r w:rsidR="00EA14E8" w:rsidRPr="00EA14E8">
        <w:rPr>
          <w:sz w:val="22"/>
          <w:szCs w:val="22"/>
        </w:rPr>
        <w:t>R1-1909475</w:t>
      </w:r>
      <w:r w:rsidR="008C7214" w:rsidRPr="00EF4835">
        <w:rPr>
          <w:sz w:val="22"/>
          <w:szCs w:val="22"/>
        </w:rPr>
        <w:t>,</w:t>
      </w:r>
      <w:r w:rsidR="008C7214" w:rsidRPr="00EF4835">
        <w:rPr>
          <w:b/>
          <w:sz w:val="22"/>
          <w:szCs w:val="22"/>
        </w:rPr>
        <w:t xml:space="preserve"> </w:t>
      </w:r>
      <w:r w:rsidR="008C7214" w:rsidRPr="00EA14E8">
        <w:rPr>
          <w:sz w:val="22"/>
          <w:szCs w:val="22"/>
        </w:rPr>
        <w:t>“</w:t>
      </w:r>
      <w:r w:rsidR="00EA14E8" w:rsidRPr="00EA14E8">
        <w:rPr>
          <w:sz w:val="22"/>
          <w:szCs w:val="22"/>
        </w:rPr>
        <w:t>Feature lead summary for AI 7.2.4.5 Physical layer procedures for sidelink</w:t>
      </w:r>
      <w:r w:rsidR="008C7214" w:rsidRPr="00EA14E8">
        <w:rPr>
          <w:sz w:val="22"/>
          <w:szCs w:val="22"/>
        </w:rPr>
        <w:t>”,</w:t>
      </w:r>
      <w:r w:rsidR="008C7214" w:rsidRPr="00EF4835">
        <w:rPr>
          <w:sz w:val="22"/>
          <w:szCs w:val="22"/>
        </w:rPr>
        <w:t xml:space="preserve"> </w:t>
      </w:r>
      <w:r w:rsidR="00EA14E8" w:rsidRPr="00EA14E8">
        <w:rPr>
          <w:sz w:val="22"/>
          <w:szCs w:val="22"/>
        </w:rPr>
        <w:t>LG Electronics</w:t>
      </w:r>
      <w:r w:rsidR="008C7214" w:rsidRPr="00EF4835">
        <w:rPr>
          <w:sz w:val="22"/>
          <w:szCs w:val="22"/>
        </w:rPr>
        <w:t>, RAN1 #98, Prague, CZ, August 2019.</w:t>
      </w: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A745D" w14:textId="77777777" w:rsidR="003B5D77" w:rsidRDefault="003B5D77">
      <w:r>
        <w:separator/>
      </w:r>
    </w:p>
  </w:endnote>
  <w:endnote w:type="continuationSeparator" w:id="0">
    <w:p w14:paraId="2C3E21F4" w14:textId="77777777" w:rsidR="003B5D77" w:rsidRDefault="003B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ED6DD" w14:textId="77777777" w:rsidR="003B5D77" w:rsidRDefault="003B5D77">
      <w:r>
        <w:separator/>
      </w:r>
    </w:p>
  </w:footnote>
  <w:footnote w:type="continuationSeparator" w:id="0">
    <w:p w14:paraId="06D874D6" w14:textId="77777777" w:rsidR="003B5D77" w:rsidRDefault="003B5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536FD"/>
    <w:multiLevelType w:val="hybridMultilevel"/>
    <w:tmpl w:val="881287F4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41716"/>
    <w:multiLevelType w:val="hybridMultilevel"/>
    <w:tmpl w:val="1444C41A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75E28"/>
    <w:multiLevelType w:val="hybridMultilevel"/>
    <w:tmpl w:val="E1D4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55EA5"/>
    <w:multiLevelType w:val="hybridMultilevel"/>
    <w:tmpl w:val="42CE4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5C3FD1"/>
    <w:multiLevelType w:val="hybridMultilevel"/>
    <w:tmpl w:val="BDC6E848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937978"/>
    <w:multiLevelType w:val="hybridMultilevel"/>
    <w:tmpl w:val="8D34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5" w15:restartNumberingAfterBreak="0">
    <w:nsid w:val="29D462E3"/>
    <w:multiLevelType w:val="hybridMultilevel"/>
    <w:tmpl w:val="64B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12FB5"/>
    <w:multiLevelType w:val="hybridMultilevel"/>
    <w:tmpl w:val="7FDA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F19A8"/>
    <w:multiLevelType w:val="hybridMultilevel"/>
    <w:tmpl w:val="0F6C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B5CCC"/>
    <w:multiLevelType w:val="hybridMultilevel"/>
    <w:tmpl w:val="01489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915CE7"/>
    <w:multiLevelType w:val="hybridMultilevel"/>
    <w:tmpl w:val="909647CA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354EC"/>
    <w:multiLevelType w:val="hybridMultilevel"/>
    <w:tmpl w:val="D96CA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37569B"/>
    <w:multiLevelType w:val="hybridMultilevel"/>
    <w:tmpl w:val="5F7E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F300F"/>
    <w:multiLevelType w:val="hybridMultilevel"/>
    <w:tmpl w:val="F21C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8639F3"/>
    <w:multiLevelType w:val="hybridMultilevel"/>
    <w:tmpl w:val="3C365FBE"/>
    <w:lvl w:ilvl="0" w:tplc="5CA213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3" w15:restartNumberingAfterBreak="0">
    <w:nsid w:val="711A4E14"/>
    <w:multiLevelType w:val="hybridMultilevel"/>
    <w:tmpl w:val="43F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5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0316B"/>
    <w:multiLevelType w:val="hybridMultilevel"/>
    <w:tmpl w:val="37983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8"/>
  </w:num>
  <w:num w:numId="2">
    <w:abstractNumId w:val="31"/>
  </w:num>
  <w:num w:numId="3">
    <w:abstractNumId w:val="24"/>
  </w:num>
  <w:num w:numId="4">
    <w:abstractNumId w:val="7"/>
  </w:num>
  <w:num w:numId="5">
    <w:abstractNumId w:val="2"/>
  </w:num>
  <w:num w:numId="6">
    <w:abstractNumId w:val="42"/>
  </w:num>
  <w:num w:numId="7">
    <w:abstractNumId w:val="47"/>
  </w:num>
  <w:num w:numId="8">
    <w:abstractNumId w:val="19"/>
  </w:num>
  <w:num w:numId="9">
    <w:abstractNumId w:val="3"/>
  </w:num>
  <w:num w:numId="10">
    <w:abstractNumId w:val="28"/>
  </w:num>
  <w:num w:numId="11">
    <w:abstractNumId w:val="25"/>
  </w:num>
  <w:num w:numId="12">
    <w:abstractNumId w:val="27"/>
  </w:num>
  <w:num w:numId="13">
    <w:abstractNumId w:val="30"/>
  </w:num>
  <w:num w:numId="14">
    <w:abstractNumId w:val="36"/>
  </w:num>
  <w:num w:numId="15">
    <w:abstractNumId w:val="0"/>
  </w:num>
  <w:num w:numId="16">
    <w:abstractNumId w:val="35"/>
  </w:num>
  <w:num w:numId="17">
    <w:abstractNumId w:val="1"/>
  </w:num>
  <w:num w:numId="18">
    <w:abstractNumId w:val="6"/>
  </w:num>
  <w:num w:numId="19">
    <w:abstractNumId w:val="44"/>
  </w:num>
  <w:num w:numId="20">
    <w:abstractNumId w:val="37"/>
  </w:num>
  <w:num w:numId="21">
    <w:abstractNumId w:val="11"/>
  </w:num>
  <w:num w:numId="22">
    <w:abstractNumId w:val="14"/>
  </w:num>
  <w:num w:numId="23">
    <w:abstractNumId w:val="22"/>
  </w:num>
  <w:num w:numId="24">
    <w:abstractNumId w:val="32"/>
  </w:num>
  <w:num w:numId="25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5"/>
  </w:num>
  <w:num w:numId="29">
    <w:abstractNumId w:val="5"/>
    <w:lvlOverride w:ilvl="0">
      <w:startOverride w:val="1"/>
    </w:lvlOverride>
  </w:num>
  <w:num w:numId="30">
    <w:abstractNumId w:val="43"/>
  </w:num>
  <w:num w:numId="31">
    <w:abstractNumId w:val="17"/>
  </w:num>
  <w:num w:numId="32">
    <w:abstractNumId w:val="9"/>
  </w:num>
  <w:num w:numId="33">
    <w:abstractNumId w:val="21"/>
  </w:num>
  <w:num w:numId="34">
    <w:abstractNumId w:val="33"/>
  </w:num>
  <w:num w:numId="35">
    <w:abstractNumId w:val="13"/>
  </w:num>
  <w:num w:numId="36">
    <w:abstractNumId w:val="12"/>
  </w:num>
  <w:num w:numId="37">
    <w:abstractNumId w:val="29"/>
  </w:num>
  <w:num w:numId="38">
    <w:abstractNumId w:val="16"/>
  </w:num>
  <w:num w:numId="39">
    <w:abstractNumId w:val="34"/>
  </w:num>
  <w:num w:numId="40">
    <w:abstractNumId w:val="45"/>
  </w:num>
  <w:num w:numId="41">
    <w:abstractNumId w:val="15"/>
  </w:num>
  <w:num w:numId="42">
    <w:abstractNumId w:val="46"/>
  </w:num>
  <w:num w:numId="43">
    <w:abstractNumId w:val="20"/>
  </w:num>
  <w:num w:numId="44">
    <w:abstractNumId w:val="26"/>
  </w:num>
  <w:num w:numId="45">
    <w:abstractNumId w:val="18"/>
  </w:num>
  <w:num w:numId="46">
    <w:abstractNumId w:val="40"/>
  </w:num>
  <w:num w:numId="47">
    <w:abstractNumId w:val="8"/>
  </w:num>
  <w:num w:numId="48">
    <w:abstractNumId w:val="10"/>
  </w:num>
  <w:num w:numId="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3D44"/>
    <w:rsid w:val="000146B8"/>
    <w:rsid w:val="000154B1"/>
    <w:rsid w:val="00021ACF"/>
    <w:rsid w:val="00022E5D"/>
    <w:rsid w:val="00024B1D"/>
    <w:rsid w:val="00025F13"/>
    <w:rsid w:val="00026407"/>
    <w:rsid w:val="0002678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978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F1176"/>
    <w:rsid w:val="000F2AFF"/>
    <w:rsid w:val="000F304A"/>
    <w:rsid w:val="000F421F"/>
    <w:rsid w:val="00101DDD"/>
    <w:rsid w:val="001052F3"/>
    <w:rsid w:val="00111482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5133"/>
    <w:rsid w:val="00186EBA"/>
    <w:rsid w:val="00187149"/>
    <w:rsid w:val="00187541"/>
    <w:rsid w:val="00187FAC"/>
    <w:rsid w:val="001A2C84"/>
    <w:rsid w:val="001A33D3"/>
    <w:rsid w:val="001A36E9"/>
    <w:rsid w:val="001A3AD4"/>
    <w:rsid w:val="001A41A1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C3C"/>
    <w:rsid w:val="00282603"/>
    <w:rsid w:val="0028354A"/>
    <w:rsid w:val="002A4DB3"/>
    <w:rsid w:val="002A56D3"/>
    <w:rsid w:val="002A62EA"/>
    <w:rsid w:val="002A7310"/>
    <w:rsid w:val="002B22E3"/>
    <w:rsid w:val="002B3C03"/>
    <w:rsid w:val="002B4F54"/>
    <w:rsid w:val="002B5C4F"/>
    <w:rsid w:val="002B6EFF"/>
    <w:rsid w:val="002B728D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E4B"/>
    <w:rsid w:val="00310D9A"/>
    <w:rsid w:val="00311110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698C"/>
    <w:rsid w:val="00350B4E"/>
    <w:rsid w:val="00352982"/>
    <w:rsid w:val="003567E2"/>
    <w:rsid w:val="00367217"/>
    <w:rsid w:val="003673C1"/>
    <w:rsid w:val="00372E07"/>
    <w:rsid w:val="0037504A"/>
    <w:rsid w:val="00377439"/>
    <w:rsid w:val="00386636"/>
    <w:rsid w:val="003A0958"/>
    <w:rsid w:val="003A675E"/>
    <w:rsid w:val="003B45F3"/>
    <w:rsid w:val="003B58AC"/>
    <w:rsid w:val="003B5D77"/>
    <w:rsid w:val="003B7FEE"/>
    <w:rsid w:val="003C2E9F"/>
    <w:rsid w:val="003C53E5"/>
    <w:rsid w:val="003C6CD9"/>
    <w:rsid w:val="003D5B78"/>
    <w:rsid w:val="003D77C4"/>
    <w:rsid w:val="003E1C7C"/>
    <w:rsid w:val="003E2ECE"/>
    <w:rsid w:val="003E3C09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0E8E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A1BF7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04C2"/>
    <w:rsid w:val="004E257E"/>
    <w:rsid w:val="004E2EEE"/>
    <w:rsid w:val="004E5D0A"/>
    <w:rsid w:val="005072FC"/>
    <w:rsid w:val="005079EB"/>
    <w:rsid w:val="005208EA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91A33"/>
    <w:rsid w:val="0059341F"/>
    <w:rsid w:val="00593D73"/>
    <w:rsid w:val="005977B0"/>
    <w:rsid w:val="005A05BE"/>
    <w:rsid w:val="005A0AE6"/>
    <w:rsid w:val="005A1A03"/>
    <w:rsid w:val="005A2572"/>
    <w:rsid w:val="005A2685"/>
    <w:rsid w:val="005A2A8E"/>
    <w:rsid w:val="005A32C2"/>
    <w:rsid w:val="005B2076"/>
    <w:rsid w:val="005B4701"/>
    <w:rsid w:val="005B601E"/>
    <w:rsid w:val="005C0F6F"/>
    <w:rsid w:val="005C3384"/>
    <w:rsid w:val="005C3D8D"/>
    <w:rsid w:val="005D09B1"/>
    <w:rsid w:val="005D20F1"/>
    <w:rsid w:val="005D2D51"/>
    <w:rsid w:val="005D3981"/>
    <w:rsid w:val="005D3990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204C2"/>
    <w:rsid w:val="00620E89"/>
    <w:rsid w:val="0062449A"/>
    <w:rsid w:val="00630F3A"/>
    <w:rsid w:val="00634154"/>
    <w:rsid w:val="00641A9E"/>
    <w:rsid w:val="0064318F"/>
    <w:rsid w:val="00645A3D"/>
    <w:rsid w:val="0064615E"/>
    <w:rsid w:val="00652082"/>
    <w:rsid w:val="006535EC"/>
    <w:rsid w:val="00654A39"/>
    <w:rsid w:val="00657009"/>
    <w:rsid w:val="00657BE5"/>
    <w:rsid w:val="006616F6"/>
    <w:rsid w:val="00664455"/>
    <w:rsid w:val="00665941"/>
    <w:rsid w:val="0066759B"/>
    <w:rsid w:val="006733DB"/>
    <w:rsid w:val="00675062"/>
    <w:rsid w:val="006758DE"/>
    <w:rsid w:val="00677A39"/>
    <w:rsid w:val="00682F72"/>
    <w:rsid w:val="00685036"/>
    <w:rsid w:val="00687F23"/>
    <w:rsid w:val="0069390B"/>
    <w:rsid w:val="00695505"/>
    <w:rsid w:val="006A192B"/>
    <w:rsid w:val="006A7DD0"/>
    <w:rsid w:val="006B1113"/>
    <w:rsid w:val="006B1946"/>
    <w:rsid w:val="006B2C44"/>
    <w:rsid w:val="006B6D77"/>
    <w:rsid w:val="006E01B4"/>
    <w:rsid w:val="006E4459"/>
    <w:rsid w:val="006E5968"/>
    <w:rsid w:val="006E5DD2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383F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70BA8"/>
    <w:rsid w:val="007748EF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B06D3"/>
    <w:rsid w:val="007B2090"/>
    <w:rsid w:val="007B507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9044B"/>
    <w:rsid w:val="008911D1"/>
    <w:rsid w:val="008917F5"/>
    <w:rsid w:val="0089215D"/>
    <w:rsid w:val="00893E68"/>
    <w:rsid w:val="008A65D0"/>
    <w:rsid w:val="008A7500"/>
    <w:rsid w:val="008A7A18"/>
    <w:rsid w:val="008B2885"/>
    <w:rsid w:val="008C27D4"/>
    <w:rsid w:val="008C7214"/>
    <w:rsid w:val="008D38F7"/>
    <w:rsid w:val="008E4BDE"/>
    <w:rsid w:val="00904CBF"/>
    <w:rsid w:val="009072FB"/>
    <w:rsid w:val="00913045"/>
    <w:rsid w:val="00914FC6"/>
    <w:rsid w:val="00914FD3"/>
    <w:rsid w:val="00932371"/>
    <w:rsid w:val="009404A5"/>
    <w:rsid w:val="00940ED3"/>
    <w:rsid w:val="00946429"/>
    <w:rsid w:val="00953495"/>
    <w:rsid w:val="0095582D"/>
    <w:rsid w:val="009671DC"/>
    <w:rsid w:val="00970ADB"/>
    <w:rsid w:val="00972E5B"/>
    <w:rsid w:val="00973882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50EE"/>
    <w:rsid w:val="00A67031"/>
    <w:rsid w:val="00A77147"/>
    <w:rsid w:val="00A83382"/>
    <w:rsid w:val="00A85A4A"/>
    <w:rsid w:val="00A91310"/>
    <w:rsid w:val="00A921DF"/>
    <w:rsid w:val="00A92725"/>
    <w:rsid w:val="00A960C3"/>
    <w:rsid w:val="00A96440"/>
    <w:rsid w:val="00A97DE8"/>
    <w:rsid w:val="00AA293A"/>
    <w:rsid w:val="00AA39C3"/>
    <w:rsid w:val="00AB36E6"/>
    <w:rsid w:val="00AB4813"/>
    <w:rsid w:val="00AB6B86"/>
    <w:rsid w:val="00AC2D9C"/>
    <w:rsid w:val="00AC45F7"/>
    <w:rsid w:val="00AE0C3F"/>
    <w:rsid w:val="00AE1547"/>
    <w:rsid w:val="00AE4A3B"/>
    <w:rsid w:val="00AF101D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41368"/>
    <w:rsid w:val="00B511FF"/>
    <w:rsid w:val="00B56608"/>
    <w:rsid w:val="00B5790C"/>
    <w:rsid w:val="00B64C84"/>
    <w:rsid w:val="00B65E0E"/>
    <w:rsid w:val="00B67BB0"/>
    <w:rsid w:val="00B704F3"/>
    <w:rsid w:val="00B738EC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1721"/>
    <w:rsid w:val="00BA2E58"/>
    <w:rsid w:val="00BA4C37"/>
    <w:rsid w:val="00BA784D"/>
    <w:rsid w:val="00BB2590"/>
    <w:rsid w:val="00BB5C0C"/>
    <w:rsid w:val="00BB5E8F"/>
    <w:rsid w:val="00BC1306"/>
    <w:rsid w:val="00BD454D"/>
    <w:rsid w:val="00BD5E42"/>
    <w:rsid w:val="00BE169E"/>
    <w:rsid w:val="00BE27C3"/>
    <w:rsid w:val="00BE67A0"/>
    <w:rsid w:val="00BE6ABC"/>
    <w:rsid w:val="00BF00F3"/>
    <w:rsid w:val="00C00954"/>
    <w:rsid w:val="00C00997"/>
    <w:rsid w:val="00C01BD3"/>
    <w:rsid w:val="00C21138"/>
    <w:rsid w:val="00C23138"/>
    <w:rsid w:val="00C26EA8"/>
    <w:rsid w:val="00C33A64"/>
    <w:rsid w:val="00C37233"/>
    <w:rsid w:val="00C401C9"/>
    <w:rsid w:val="00C43C21"/>
    <w:rsid w:val="00C47595"/>
    <w:rsid w:val="00C507CE"/>
    <w:rsid w:val="00C51AFA"/>
    <w:rsid w:val="00C5571A"/>
    <w:rsid w:val="00C6005C"/>
    <w:rsid w:val="00C7022E"/>
    <w:rsid w:val="00C70E00"/>
    <w:rsid w:val="00C71F3C"/>
    <w:rsid w:val="00C94273"/>
    <w:rsid w:val="00CA2985"/>
    <w:rsid w:val="00CA320E"/>
    <w:rsid w:val="00CA7D84"/>
    <w:rsid w:val="00CB1B6A"/>
    <w:rsid w:val="00CB32AF"/>
    <w:rsid w:val="00CC26B7"/>
    <w:rsid w:val="00CD2ADC"/>
    <w:rsid w:val="00CD3705"/>
    <w:rsid w:val="00CD7558"/>
    <w:rsid w:val="00CD77C0"/>
    <w:rsid w:val="00CE58D7"/>
    <w:rsid w:val="00D0127D"/>
    <w:rsid w:val="00D03252"/>
    <w:rsid w:val="00D04C7A"/>
    <w:rsid w:val="00D06481"/>
    <w:rsid w:val="00D067A6"/>
    <w:rsid w:val="00D111C4"/>
    <w:rsid w:val="00D16F81"/>
    <w:rsid w:val="00D20405"/>
    <w:rsid w:val="00D224B7"/>
    <w:rsid w:val="00D23D86"/>
    <w:rsid w:val="00D26F3E"/>
    <w:rsid w:val="00D303B9"/>
    <w:rsid w:val="00D365EF"/>
    <w:rsid w:val="00D42774"/>
    <w:rsid w:val="00D448BD"/>
    <w:rsid w:val="00D54E7D"/>
    <w:rsid w:val="00D56EE3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21AE"/>
    <w:rsid w:val="00DA3170"/>
    <w:rsid w:val="00DA75A3"/>
    <w:rsid w:val="00DC274E"/>
    <w:rsid w:val="00DC4922"/>
    <w:rsid w:val="00DC6392"/>
    <w:rsid w:val="00DC77CA"/>
    <w:rsid w:val="00DD63B9"/>
    <w:rsid w:val="00DE1688"/>
    <w:rsid w:val="00DE1E71"/>
    <w:rsid w:val="00DF0255"/>
    <w:rsid w:val="00DF5EAA"/>
    <w:rsid w:val="00DF7166"/>
    <w:rsid w:val="00E027E3"/>
    <w:rsid w:val="00E02F45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30104"/>
    <w:rsid w:val="00E31EB1"/>
    <w:rsid w:val="00E34FE4"/>
    <w:rsid w:val="00E36916"/>
    <w:rsid w:val="00E44CC6"/>
    <w:rsid w:val="00E45B93"/>
    <w:rsid w:val="00E51C4B"/>
    <w:rsid w:val="00E52F47"/>
    <w:rsid w:val="00E54582"/>
    <w:rsid w:val="00E5537D"/>
    <w:rsid w:val="00E6471F"/>
    <w:rsid w:val="00E654BD"/>
    <w:rsid w:val="00E734E3"/>
    <w:rsid w:val="00E74021"/>
    <w:rsid w:val="00E74E37"/>
    <w:rsid w:val="00E80548"/>
    <w:rsid w:val="00E822BD"/>
    <w:rsid w:val="00E8262A"/>
    <w:rsid w:val="00E95F7C"/>
    <w:rsid w:val="00EA14E8"/>
    <w:rsid w:val="00EA4532"/>
    <w:rsid w:val="00EA4CA8"/>
    <w:rsid w:val="00EA50F2"/>
    <w:rsid w:val="00EA5108"/>
    <w:rsid w:val="00EB16FB"/>
    <w:rsid w:val="00EB18E4"/>
    <w:rsid w:val="00EB6706"/>
    <w:rsid w:val="00EB7CDB"/>
    <w:rsid w:val="00EC5E9C"/>
    <w:rsid w:val="00EC733C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EF4835"/>
    <w:rsid w:val="00F02052"/>
    <w:rsid w:val="00F02081"/>
    <w:rsid w:val="00F12037"/>
    <w:rsid w:val="00F12CD8"/>
    <w:rsid w:val="00F14CFA"/>
    <w:rsid w:val="00F162BE"/>
    <w:rsid w:val="00F30F65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51DFE"/>
    <w:rsid w:val="00F552B4"/>
    <w:rsid w:val="00F6026A"/>
    <w:rsid w:val="00F61E44"/>
    <w:rsid w:val="00F63219"/>
    <w:rsid w:val="00F63B75"/>
    <w:rsid w:val="00F63CC7"/>
    <w:rsid w:val="00F7115E"/>
    <w:rsid w:val="00F72B40"/>
    <w:rsid w:val="00F76D95"/>
    <w:rsid w:val="00F80282"/>
    <w:rsid w:val="00F81DEF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28"/>
      </w:numPr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25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021ACF"/>
    <w:pPr>
      <w:spacing w:before="100" w:beforeAutospacing="1" w:after="100" w:afterAutospacing="1"/>
      <w:jc w:val="left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32213-22B9-4B68-A7EF-CC6702E2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Patrick Svedman</cp:lastModifiedBy>
  <cp:revision>16</cp:revision>
  <cp:lastPrinted>2002-04-23T07:10:00Z</cp:lastPrinted>
  <dcterms:created xsi:type="dcterms:W3CDTF">2019-10-07T18:25:00Z</dcterms:created>
  <dcterms:modified xsi:type="dcterms:W3CDTF">2019-10-08T03:27:00Z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