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 xml:space="preserve">3GPP TSG RAN WG1 Meeting </w:t>
      </w:r>
      <w:r>
        <w:rPr>
          <w:rFonts w:hint="eastAsia" w:ascii="Arial" w:hAnsi="Arial" w:eastAsia="宋体" w:cs="Arial"/>
          <w:b/>
          <w:sz w:val="24"/>
          <w:szCs w:val="24"/>
          <w:lang w:val="en-US" w:eastAsia="zh-CN"/>
        </w:rPr>
        <w:t xml:space="preserve">#98bis  </w:t>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bookmarkStart w:id="3" w:name="_GoBack"/>
      <w:r>
        <w:rPr>
          <w:rFonts w:ascii="Arial" w:hAnsi="Arial" w:cs="Arial"/>
          <w:b/>
          <w:sz w:val="24"/>
          <w:szCs w:val="24"/>
        </w:rPr>
        <w:t>R1-19</w:t>
      </w:r>
      <w:r>
        <w:rPr>
          <w:rFonts w:hint="eastAsia" w:ascii="Arial" w:hAnsi="Arial" w:eastAsia="宋体" w:cs="Arial"/>
          <w:b/>
          <w:sz w:val="24"/>
          <w:szCs w:val="24"/>
          <w:lang w:val="en-US" w:eastAsia="zh-CN"/>
        </w:rPr>
        <w:t>10370</w:t>
      </w:r>
      <w:bookmarkEnd w:id="3"/>
    </w:p>
    <w:p>
      <w:pPr>
        <w:tabs>
          <w:tab w:val="center" w:pos="4536"/>
          <w:tab w:val="right" w:pos="8280"/>
          <w:tab w:val="right" w:pos="9639"/>
        </w:tabs>
        <w:snapToGrid w:val="0"/>
        <w:spacing w:after="0" w:line="264" w:lineRule="auto"/>
        <w:rPr>
          <w:rFonts w:ascii="Arial" w:hAnsi="Arial" w:cs="Arial"/>
          <w:b/>
          <w:bCs w:val="0"/>
          <w:sz w:val="24"/>
          <w:szCs w:val="22"/>
          <w:lang w:eastAsia="ja-JP"/>
        </w:rPr>
      </w:pPr>
      <w:r>
        <w:rPr>
          <w:rFonts w:hint="eastAsia" w:ascii="Arial" w:hAnsi="Arial" w:eastAsia="宋体" w:cs="Arial"/>
          <w:b/>
          <w:bCs w:val="0"/>
          <w:sz w:val="24"/>
          <w:szCs w:val="22"/>
          <w:lang w:val="en-US" w:eastAsia="zh-CN"/>
        </w:rPr>
        <w:t>Chongqing</w:t>
      </w:r>
      <w:r>
        <w:rPr>
          <w:rFonts w:ascii="Arial" w:hAnsi="Arial" w:eastAsia="Times New Roman" w:cs="Arial"/>
          <w:b/>
          <w:bCs w:val="0"/>
          <w:sz w:val="24"/>
          <w:szCs w:val="22"/>
          <w:lang w:eastAsia="ja-JP"/>
        </w:rPr>
        <w:t xml:space="preserve">, </w:t>
      </w:r>
      <w:r>
        <w:rPr>
          <w:rFonts w:hint="eastAsia" w:ascii="Arial" w:hAnsi="Arial" w:eastAsia="宋体" w:cs="Arial"/>
          <w:b/>
          <w:bCs w:val="0"/>
          <w:sz w:val="24"/>
          <w:szCs w:val="22"/>
          <w:lang w:val="en-US" w:eastAsia="zh-CN"/>
        </w:rPr>
        <w:t>China</w:t>
      </w:r>
      <w:r>
        <w:rPr>
          <w:rFonts w:ascii="Arial" w:hAnsi="Arial" w:eastAsia="Times New Roman" w:cs="Arial"/>
          <w:b/>
          <w:bCs w:val="0"/>
          <w:sz w:val="24"/>
          <w:szCs w:val="22"/>
          <w:lang w:eastAsia="ja-JP"/>
        </w:rPr>
        <w:t xml:space="preserve">, </w:t>
      </w:r>
      <w:r>
        <w:rPr>
          <w:rFonts w:hint="eastAsia" w:ascii="Arial" w:hAnsi="Arial" w:eastAsia="宋体" w:cs="Arial"/>
          <w:b/>
          <w:bCs w:val="0"/>
          <w:sz w:val="24"/>
          <w:szCs w:val="22"/>
          <w:lang w:val="en-US" w:eastAsia="zh-CN"/>
        </w:rPr>
        <w:t>Oct.</w:t>
      </w:r>
      <w:r>
        <w:rPr>
          <w:rFonts w:ascii="Arial" w:hAnsi="Arial" w:eastAsia="Times New Roman" w:cs="Arial"/>
          <w:b/>
          <w:bCs w:val="0"/>
          <w:sz w:val="24"/>
          <w:szCs w:val="22"/>
          <w:lang w:eastAsia="ja-JP"/>
        </w:rPr>
        <w:t xml:space="preserve"> </w:t>
      </w:r>
      <w:r>
        <w:rPr>
          <w:rFonts w:hint="eastAsia" w:ascii="Arial" w:hAnsi="Arial" w:eastAsia="宋体" w:cs="Arial"/>
          <w:b/>
          <w:bCs w:val="0"/>
          <w:sz w:val="24"/>
          <w:szCs w:val="22"/>
          <w:lang w:val="en-US" w:eastAsia="zh-CN"/>
        </w:rPr>
        <w:t>14</w:t>
      </w:r>
      <w:r>
        <w:rPr>
          <w:rFonts w:ascii="Arial" w:hAnsi="Arial" w:eastAsia="Times New Roman" w:cs="Arial"/>
          <w:b/>
          <w:bCs w:val="0"/>
          <w:sz w:val="24"/>
          <w:szCs w:val="22"/>
          <w:vertAlign w:val="superscript"/>
          <w:lang w:eastAsia="ja-JP"/>
        </w:rPr>
        <w:t>th</w:t>
      </w:r>
      <w:r>
        <w:rPr>
          <w:rFonts w:hint="eastAsia" w:ascii="Arial" w:hAnsi="Arial" w:eastAsia="宋体" w:cs="Arial"/>
          <w:b/>
          <w:bCs w:val="0"/>
          <w:sz w:val="24"/>
          <w:szCs w:val="22"/>
          <w:vertAlign w:val="baseline"/>
          <w:lang w:val="en-US" w:eastAsia="zh-CN"/>
        </w:rPr>
        <w:t xml:space="preserve"> </w:t>
      </w:r>
      <w:r>
        <w:rPr>
          <w:rFonts w:ascii="Arial" w:hAnsi="Arial" w:eastAsia="Times New Roman" w:cs="Arial"/>
          <w:b/>
          <w:bCs w:val="0"/>
          <w:sz w:val="24"/>
          <w:szCs w:val="22"/>
          <w:lang w:eastAsia="ja-JP"/>
        </w:rPr>
        <w:t xml:space="preserve">– </w:t>
      </w:r>
      <w:r>
        <w:rPr>
          <w:rFonts w:hint="eastAsia" w:ascii="Arial" w:hAnsi="Arial" w:eastAsia="宋体" w:cs="Arial"/>
          <w:b/>
          <w:bCs w:val="0"/>
          <w:sz w:val="24"/>
          <w:szCs w:val="22"/>
          <w:lang w:val="en-US" w:eastAsia="zh-CN"/>
        </w:rPr>
        <w:t>20</w:t>
      </w:r>
      <w:r>
        <w:rPr>
          <w:rFonts w:ascii="Arial" w:hAnsi="Arial" w:eastAsia="Times New Roman" w:cs="Arial"/>
          <w:b/>
          <w:bCs w:val="0"/>
          <w:sz w:val="24"/>
          <w:szCs w:val="22"/>
          <w:vertAlign w:val="superscript"/>
          <w:lang w:eastAsia="ja-JP"/>
        </w:rPr>
        <w:t>th</w:t>
      </w:r>
      <w:r>
        <w:rPr>
          <w:rFonts w:ascii="Arial" w:hAnsi="Arial" w:eastAsia="Times New Roman" w:cs="Arial"/>
          <w:b/>
          <w:bCs w:val="0"/>
          <w:sz w:val="24"/>
          <w:szCs w:val="22"/>
          <w:lang w:eastAsia="ja-JP"/>
        </w:rPr>
        <w:t xml:space="preserve">, </w:t>
      </w:r>
      <w:r>
        <w:rPr>
          <w:rFonts w:ascii="Arial" w:hAnsi="Arial" w:cs="Arial"/>
          <w:b/>
          <w:sz w:val="24"/>
          <w:szCs w:val="22"/>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 Sanechips</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Remaining issues on NR positioning measurements</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hint="eastAsia" w:ascii="Arial" w:hAnsi="Arial" w:cs="Arial"/>
          <w:b/>
          <w:bCs/>
          <w:sz w:val="24"/>
          <w:szCs w:val="24"/>
          <w:lang w:val="en-US" w:eastAsia="zh-CN"/>
        </w:rPr>
        <w:t>3</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40" w:lineRule="auto"/>
        <w:textAlignment w:val="auto"/>
        <w:rPr>
          <w:rFonts w:eastAsiaTheme="minorEastAsia"/>
          <w:sz w:val="20"/>
          <w:szCs w:val="22"/>
          <w:lang w:val="en-US" w:eastAsia="zh-CN"/>
        </w:rPr>
      </w:pPr>
      <w:r>
        <w:rPr>
          <w:rFonts w:hint="eastAsia" w:eastAsiaTheme="minorEastAsia"/>
          <w:sz w:val="20"/>
          <w:lang w:val="en-US" w:eastAsia="zh-CN"/>
        </w:rPr>
        <w:t xml:space="preserve">In RAN#83, NR positioning WID was approved [1] to specify solutions to enable RAT dependent(for both FR1 and FR2) and RAT independent NR positioning techniques, including objectives of defining UE and gNB measurements. Last meeting saw much progress in this AI but there are still some open issues. </w:t>
      </w:r>
      <w:r>
        <w:rPr>
          <w:rFonts w:hint="eastAsia" w:eastAsiaTheme="minorEastAsia"/>
          <w:sz w:val="20"/>
          <w:szCs w:val="22"/>
          <w:lang w:val="en-US" w:eastAsia="zh-CN"/>
        </w:rPr>
        <w:t>In this contribution we continue discussion on unsettled aspects on measurements definition and provide our opinions correspondingly.</w:t>
      </w:r>
    </w:p>
    <w:p>
      <w:pPr>
        <w:pStyle w:val="2"/>
        <w:tabs>
          <w:tab w:val="left" w:pos="450"/>
          <w:tab w:val="clear" w:pos="612"/>
        </w:tabs>
        <w:ind w:hanging="612"/>
      </w:pPr>
      <w:r>
        <w:t>Discussion</w:t>
      </w:r>
      <w:r>
        <w:rPr>
          <w:rFonts w:hint="eastAsia"/>
        </w:rPr>
        <w:t xml:space="preserve"> </w:t>
      </w:r>
    </w:p>
    <w:p>
      <w:pPr>
        <w:pStyle w:val="3"/>
        <w:rPr>
          <w:rFonts w:hint="default" w:eastAsiaTheme="minorEastAsia"/>
          <w:lang w:val="en-US" w:eastAsia="zh-CN"/>
        </w:rPr>
      </w:pPr>
      <w:r>
        <w:rPr>
          <w:rFonts w:hint="eastAsia" w:eastAsiaTheme="minorEastAsia"/>
          <w:lang w:val="en-US" w:eastAsia="zh-CN"/>
        </w:rPr>
        <w:t>RTOA</w:t>
      </w:r>
    </w:p>
    <w:p>
      <w:pPr>
        <w:overflowPunct/>
        <w:autoSpaceDE/>
        <w:autoSpaceDN/>
        <w:snapToGrid w:val="0"/>
        <w:spacing w:afterLines="50" w:line="240" w:lineRule="auto"/>
        <w:textAlignment w:val="auto"/>
        <w:rPr>
          <w:rFonts w:hint="eastAsia" w:eastAsiaTheme="minorEastAsia"/>
          <w:sz w:val="20"/>
          <w:szCs w:val="22"/>
          <w:lang w:val="en-US" w:eastAsia="zh-CN"/>
        </w:rPr>
      </w:pPr>
      <w:r>
        <w:rPr>
          <w:rFonts w:hint="eastAsia" w:eastAsiaTheme="minorEastAsia"/>
          <w:sz w:val="20"/>
          <w:szCs w:val="22"/>
          <w:lang w:val="en-US" w:eastAsia="zh-CN"/>
        </w:rPr>
        <w:t>For RTOA measurement, there is a FFS need to be identified according to the agreement:</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ind w:left="726" w:hanging="363"/>
        <w:textAlignment w:val="baseline"/>
        <w:outlineLvl w:val="9"/>
        <w:rPr>
          <w:i/>
          <w:iCs/>
          <w:sz w:val="20"/>
          <w:szCs w:val="20"/>
        </w:rPr>
      </w:pPr>
      <w:r>
        <w:rPr>
          <w:i/>
          <w:iCs/>
          <w:sz w:val="20"/>
          <w:szCs w:val="20"/>
        </w:rPr>
        <w:t>UL RTOA is defined with the respect to the subframe timing associated with the UE</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ind w:left="726" w:hanging="363"/>
        <w:textAlignment w:val="baseline"/>
        <w:outlineLvl w:val="9"/>
        <w:rPr>
          <w:i/>
          <w:iCs/>
          <w:sz w:val="20"/>
          <w:szCs w:val="20"/>
        </w:rPr>
      </w:pPr>
      <w:r>
        <w:rPr>
          <w:i/>
          <w:iCs/>
          <w:sz w:val="20"/>
          <w:szCs w:val="20"/>
        </w:rPr>
        <w:t xml:space="preserve">Multiple SRS resources for positioning purposes can be used to determine the received UL subframe timing of the first arrival path of the UE. </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ind w:left="726" w:hanging="363"/>
        <w:textAlignment w:val="baseline"/>
        <w:outlineLvl w:val="9"/>
        <w:rPr>
          <w:i/>
          <w:iCs/>
          <w:sz w:val="20"/>
          <w:szCs w:val="20"/>
        </w:rPr>
      </w:pPr>
      <w:r>
        <w:rPr>
          <w:i/>
          <w:iCs/>
          <w:sz w:val="20"/>
          <w:szCs w:val="20"/>
        </w:rPr>
        <w:t>FFS: The resource ID(s) or resource set ID(s) used for determining the timing of the UE and possibly the Rx beam used at the gNB in the UL RTOA measurements can be requested for reporting in the measurement report.</w:t>
      </w:r>
    </w:p>
    <w:p>
      <w:pPr>
        <w:widowControl w:val="0"/>
        <w:snapToGrid w:val="0"/>
        <w:spacing w:after="0"/>
        <w:textAlignment w:val="center"/>
        <w:rPr>
          <w:rFonts w:hint="eastAsia" w:cs="Times New Roman" w:eastAsiaTheme="minorEastAsia"/>
          <w:sz w:val="20"/>
          <w:szCs w:val="20"/>
          <w:lang w:val="en-US" w:eastAsia="zh-CN" w:bidi="ar-SA"/>
        </w:rPr>
      </w:pPr>
      <w:r>
        <w:rPr>
          <w:rFonts w:hint="eastAsia" w:cs="Times New Roman" w:eastAsiaTheme="minorEastAsia"/>
          <w:sz w:val="20"/>
          <w:szCs w:val="20"/>
          <w:lang w:val="en-US" w:eastAsia="zh-CN" w:bidi="ar-SA"/>
        </w:rPr>
        <w:t>According to our understanding, just like downlink, the RTOA measured from different beams may be different, one main source of these difference is that different beams may go through different paths, some of them are inevitably NLOS. With the resource</w:t>
      </w:r>
      <w:r>
        <w:rPr>
          <w:rFonts w:hint="eastAsia" w:cs="Times New Roman" w:eastAsiaTheme="minorEastAsia"/>
          <w:i w:val="0"/>
          <w:iCs w:val="0"/>
          <w:sz w:val="20"/>
          <w:szCs w:val="20"/>
          <w:lang w:val="en-US" w:eastAsia="zh-CN" w:bidi="ar-SA"/>
        </w:rPr>
        <w:t xml:space="preserve"> </w:t>
      </w:r>
      <w:r>
        <w:rPr>
          <w:i w:val="0"/>
          <w:iCs w:val="0"/>
          <w:sz w:val="20"/>
          <w:szCs w:val="20"/>
        </w:rPr>
        <w:t>ID(s) or resource set ID(s)</w:t>
      </w:r>
      <w:r>
        <w:rPr>
          <w:rFonts w:hint="eastAsia" w:eastAsia="宋体"/>
          <w:i w:val="0"/>
          <w:iCs w:val="0"/>
          <w:sz w:val="20"/>
          <w:szCs w:val="20"/>
          <w:lang w:val="en-US" w:eastAsia="zh-CN"/>
        </w:rPr>
        <w:t xml:space="preserve"> reported, a more reasonable value may be derived. Besides, for power control towards neighbour cells, the mapping between beams and cells should be known by the serving cell or the location server. </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default" w:eastAsiaTheme="minorEastAsia"/>
          <w:lang w:val="en-US" w:eastAsia="zh-CN"/>
        </w:rPr>
      </w:pPr>
      <w:r>
        <w:rPr>
          <w:rFonts w:hint="eastAsia" w:eastAsiaTheme="minorEastAsia"/>
          <w:b/>
          <w:bCs/>
          <w:i w:val="0"/>
          <w:iCs w:val="0"/>
          <w:sz w:val="20"/>
          <w:szCs w:val="20"/>
          <w:lang w:val="en-US" w:eastAsia="zh-CN"/>
        </w:rPr>
        <w:t xml:space="preserve">Proposal 1: Support reporting the resource ID(s) or resource set ID(s) used for determining the timing of the UE and possibly the Rx beam used at the gNB. </w:t>
      </w:r>
    </w:p>
    <w:p>
      <w:pPr>
        <w:pStyle w:val="3"/>
        <w:rPr>
          <w:rFonts w:eastAsiaTheme="minorEastAsia"/>
        </w:rPr>
      </w:pPr>
      <w:r>
        <w:rPr>
          <w:rFonts w:hint="eastAsia" w:eastAsiaTheme="minorEastAsia"/>
          <w:lang w:val="en-US" w:eastAsia="zh-CN"/>
        </w:rPr>
        <w:t>AOA</w:t>
      </w:r>
    </w:p>
    <w:p>
      <w:pPr>
        <w:rPr>
          <w:rFonts w:hint="default" w:eastAsiaTheme="minorEastAsia"/>
          <w:lang w:val="en-US" w:eastAsia="zh-CN"/>
        </w:rPr>
      </w:pPr>
      <w:r>
        <w:rPr>
          <w:rFonts w:hint="eastAsia" w:cs="Times New Roman" w:eastAsiaTheme="minorEastAsia"/>
          <w:sz w:val="20"/>
          <w:szCs w:val="20"/>
          <w:lang w:val="en-US" w:eastAsia="zh-CN" w:bidi="ar-SA"/>
        </w:rPr>
        <w:t>For AOA and ZOA, the reference direction is not decided yet:</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jc w:val="left"/>
        <w:textAlignment w:val="auto"/>
        <w:rPr>
          <w:rFonts w:ascii="Times" w:hAnsi="Times" w:eastAsia="宋体" w:cs="Times New Roman"/>
          <w:i/>
          <w:iCs/>
          <w:sz w:val="21"/>
          <w:szCs w:val="24"/>
        </w:rPr>
      </w:pPr>
      <w:r>
        <w:rPr>
          <w:rFonts w:ascii="Times" w:hAnsi="Times" w:eastAsia="宋体" w:cs="Times New Roman"/>
          <w:i/>
          <w:iCs/>
          <w:sz w:val="21"/>
          <w:szCs w:val="24"/>
        </w:rPr>
        <w:t xml:space="preserve">The reference directions can be defined according to either one of the following options (both options are supported in specifications) </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val="0"/>
        <w:spacing w:line="264" w:lineRule="auto"/>
        <w:ind w:leftChars="0" w:firstLine="400" w:firstLineChars="200"/>
        <w:textAlignment w:val="baseline"/>
        <w:outlineLvl w:val="9"/>
        <w:rPr>
          <w:rFonts w:eastAsiaTheme="minorEastAsia"/>
          <w:i/>
          <w:iCs/>
          <w:sz w:val="20"/>
          <w:szCs w:val="22"/>
        </w:rPr>
      </w:pPr>
      <w:r>
        <w:rPr>
          <w:rFonts w:eastAsiaTheme="minorEastAsia"/>
          <w:i/>
          <w:iCs/>
          <w:sz w:val="20"/>
          <w:szCs w:val="22"/>
        </w:rPr>
        <w:t>Option 1:</w:t>
      </w:r>
    </w:p>
    <w:p>
      <w:pPr>
        <w:pStyle w:val="124"/>
        <w:keepNext w:val="0"/>
        <w:keepLines w:val="0"/>
        <w:pageBreakBefore w:val="0"/>
        <w:widowControl/>
        <w:numPr>
          <w:ilvl w:val="0"/>
          <w:numId w:val="10"/>
        </w:numPr>
        <w:kinsoku/>
        <w:wordWrap/>
        <w:overflowPunct w:val="0"/>
        <w:topLinePunct w:val="0"/>
        <w:autoSpaceDE w:val="0"/>
        <w:autoSpaceDN w:val="0"/>
        <w:bidi w:val="0"/>
        <w:adjustRightInd w:val="0"/>
        <w:snapToGrid w:val="0"/>
        <w:spacing w:line="264" w:lineRule="auto"/>
        <w:ind w:left="840" w:leftChars="0" w:hanging="420" w:firstLineChars="0"/>
        <w:textAlignment w:val="baseline"/>
        <w:outlineLvl w:val="9"/>
        <w:rPr>
          <w:rFonts w:eastAsiaTheme="minorEastAsia"/>
          <w:i/>
          <w:iCs/>
          <w:sz w:val="20"/>
          <w:szCs w:val="22"/>
        </w:rPr>
      </w:pPr>
      <w:r>
        <w:rPr>
          <w:rFonts w:eastAsiaTheme="minorEastAsia"/>
          <w:i/>
          <w:iCs/>
          <w:sz w:val="20"/>
          <w:szCs w:val="22"/>
        </w:rPr>
        <w:t>For AoA, the geographical North, positive in a counter-clockwise direction.</w:t>
      </w:r>
    </w:p>
    <w:p>
      <w:pPr>
        <w:pStyle w:val="124"/>
        <w:keepNext w:val="0"/>
        <w:keepLines w:val="0"/>
        <w:pageBreakBefore w:val="0"/>
        <w:widowControl/>
        <w:numPr>
          <w:ilvl w:val="0"/>
          <w:numId w:val="10"/>
        </w:numPr>
        <w:kinsoku/>
        <w:wordWrap/>
        <w:overflowPunct w:val="0"/>
        <w:topLinePunct w:val="0"/>
        <w:autoSpaceDE w:val="0"/>
        <w:autoSpaceDN w:val="0"/>
        <w:bidi w:val="0"/>
        <w:adjustRightInd w:val="0"/>
        <w:snapToGrid w:val="0"/>
        <w:spacing w:line="264" w:lineRule="auto"/>
        <w:ind w:left="840" w:leftChars="0" w:hanging="420" w:firstLineChars="0"/>
        <w:textAlignment w:val="baseline"/>
        <w:outlineLvl w:val="9"/>
        <w:rPr>
          <w:rFonts w:eastAsiaTheme="minorEastAsia"/>
          <w:i/>
          <w:iCs/>
          <w:sz w:val="20"/>
          <w:szCs w:val="22"/>
        </w:rPr>
      </w:pPr>
      <w:r>
        <w:rPr>
          <w:rFonts w:eastAsiaTheme="minorEastAsia"/>
          <w:i/>
          <w:iCs/>
          <w:sz w:val="20"/>
          <w:szCs w:val="22"/>
        </w:rPr>
        <w:t>For ZoA, the zenith/vertical</w:t>
      </w:r>
    </w:p>
    <w:p>
      <w:pPr>
        <w:pStyle w:val="124"/>
        <w:keepNext w:val="0"/>
        <w:keepLines w:val="0"/>
        <w:pageBreakBefore w:val="0"/>
        <w:widowControl/>
        <w:numPr>
          <w:ilvl w:val="0"/>
          <w:numId w:val="10"/>
        </w:numPr>
        <w:kinsoku/>
        <w:wordWrap/>
        <w:overflowPunct w:val="0"/>
        <w:topLinePunct w:val="0"/>
        <w:autoSpaceDE w:val="0"/>
        <w:autoSpaceDN w:val="0"/>
        <w:bidi w:val="0"/>
        <w:adjustRightInd w:val="0"/>
        <w:snapToGrid w:val="0"/>
        <w:spacing w:line="264" w:lineRule="auto"/>
        <w:ind w:left="840" w:leftChars="0" w:hanging="420" w:firstLineChars="0"/>
        <w:textAlignment w:val="baseline"/>
        <w:outlineLvl w:val="9"/>
        <w:rPr>
          <w:rFonts w:eastAsiaTheme="minorEastAsia"/>
          <w:i/>
          <w:iCs/>
          <w:sz w:val="20"/>
          <w:szCs w:val="22"/>
        </w:rPr>
      </w:pPr>
      <w:r>
        <w:rPr>
          <w:rFonts w:eastAsiaTheme="minorEastAsia"/>
          <w:i/>
          <w:iCs/>
          <w:sz w:val="20"/>
          <w:szCs w:val="22"/>
        </w:rPr>
        <w:t xml:space="preserve">Note:  </w:t>
      </w:r>
      <w:r>
        <w:rPr>
          <w:rFonts w:eastAsiaTheme="minorEastAsia"/>
          <w:i/>
          <w:iCs/>
          <w:sz w:val="20"/>
          <w:szCs w:val="22"/>
        </w:rPr>
        <w:fldChar w:fldCharType="begin"/>
      </w:r>
      <w:r>
        <w:rPr>
          <w:rFonts w:eastAsiaTheme="minorEastAsia"/>
          <w:i/>
          <w:iCs/>
          <w:sz w:val="20"/>
          <w:szCs w:val="22"/>
        </w:rPr>
        <w:instrText xml:space="preserve"> QUOTE </w:instrText>
      </w:r>
      <w:r>
        <w:rPr>
          <w:rFonts w:eastAsiaTheme="minorEastAsia"/>
          <w:i/>
          <w:iCs/>
          <w:sz w:val="20"/>
          <w:szCs w:val="22"/>
        </w:rPr>
        <w:pict>
          <v:shape id="_x0000_i1025" o:spt="75" type="#_x0000_t75" style="height:12pt;width: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653&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2B4&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82&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CAF&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43B&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6C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12&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2A1&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74&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AF0&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17&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2FB&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48A&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A26&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0DB&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BA&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5C9&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E88&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BC0&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83&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DE9&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4B&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1F&quot;/&gt;&lt;wsp:rsid wsp:val=&quot;00712D4C&quot;/&gt;&lt;wsp:rsid wsp:val=&quot;00712FA1&quot;/&gt;&lt;wsp:rsid wsp:val=&quot;00712FB2&quot;/&gt;&lt;wsp:rsid wsp:val=&quot;007130C4&quot;/&gt;&lt;wsp:rsid wsp:val=&quot;007131B2&quot;/&gt;&lt;wsp:rsid wsp:val=&quot;007135D1&quot;/&gt;&lt;wsp:rsid wsp:val=&quot;0071363D&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37&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F7&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B0E&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76&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BA9&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88F&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CCA&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307&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98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DD&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7A&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8DF&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840&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15&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71F&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0E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7B&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091&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355&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49&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9EC&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23&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C18&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764&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6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D6F&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CBA&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04F&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C3D&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82F&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AE0&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B6C&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16E&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CC7&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A51&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5E8&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246&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1E0&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553&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71E&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34B&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1E4&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D30AE0&quot; wsp:rsidP=&quot;00D30AE0&quot;&gt;&lt;m:oMathPara&gt;&lt;m:oMath&gt;&lt;m:r&gt;&lt;m:rPr&gt;&lt;m:sty m:val=&quot;p&quot;/&gt;&lt;/m:rPr&gt;&lt;w:rPr&gt;&lt;w:rFonts w:ascii=&quot;Cambria Math&quot; w:h-ansi=&quot;Cambria Math&quot;/&gt;&lt;wx:font wx:val=&quot;Cambria Math&quot;/&gt;&lt;/w:rPr&gt;&lt;m:t&gt;θ=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eastAsiaTheme="minorEastAsia"/>
          <w:i/>
          <w:iCs/>
          <w:sz w:val="20"/>
          <w:szCs w:val="22"/>
        </w:rPr>
        <w:instrText xml:space="preserve"> </w:instrText>
      </w:r>
      <w:r>
        <w:rPr>
          <w:rFonts w:eastAsiaTheme="minorEastAsia"/>
          <w:i/>
          <w:iCs/>
          <w:sz w:val="20"/>
          <w:szCs w:val="22"/>
        </w:rPr>
        <w:fldChar w:fldCharType="separate"/>
      </w:r>
      <w:r>
        <w:rPr>
          <w:rFonts w:eastAsiaTheme="minorEastAsia"/>
          <w:i/>
          <w:iCs/>
          <w:sz w:val="20"/>
          <w:szCs w:val="22"/>
        </w:rPr>
        <w:pict>
          <v:shape id="_x0000_i1026" o:spt="75" type="#_x0000_t75" style="height:12pt;width: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653&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2B4&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82&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CAF&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43B&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6C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12&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2A1&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74&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AF0&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17&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2FB&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48A&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A26&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0DB&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BA&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5C9&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E88&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BC0&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83&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DE9&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4B&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1F&quot;/&gt;&lt;wsp:rsid wsp:val=&quot;00712D4C&quot;/&gt;&lt;wsp:rsid wsp:val=&quot;00712FA1&quot;/&gt;&lt;wsp:rsid wsp:val=&quot;00712FB2&quot;/&gt;&lt;wsp:rsid wsp:val=&quot;007130C4&quot;/&gt;&lt;wsp:rsid wsp:val=&quot;007131B2&quot;/&gt;&lt;wsp:rsid wsp:val=&quot;007135D1&quot;/&gt;&lt;wsp:rsid wsp:val=&quot;0071363D&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37&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F7&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B0E&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76&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BA9&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88F&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CCA&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307&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98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DD&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7A&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8DF&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840&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15&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71F&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0E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7B&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091&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355&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49&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9EC&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23&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C18&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764&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6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D6F&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CBA&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04F&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C3D&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82F&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AE0&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B6C&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16E&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CC7&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A51&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5E8&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246&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1E0&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553&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71E&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34B&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1E4&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D30AE0&quot; wsp:rsidP=&quot;00D30AE0&quot;&gt;&lt;m:oMathPara&gt;&lt;m:oMath&gt;&lt;m:r&gt;&lt;m:rPr&gt;&lt;m:sty m:val=&quot;p&quot;/&gt;&lt;/m:rPr&gt;&lt;w:rPr&gt;&lt;w:rFonts w:ascii=&quot;Cambria Math&quot; w:h-ansi=&quot;Cambria Math&quot;/&gt;&lt;wx:font wx:val=&quot;Cambria Math&quot;/&gt;&lt;/w:rPr&gt;&lt;m:t&gt;θ=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eastAsiaTheme="minorEastAsia"/>
          <w:i/>
          <w:iCs/>
          <w:sz w:val="20"/>
          <w:szCs w:val="22"/>
        </w:rPr>
        <w:fldChar w:fldCharType="end"/>
      </w:r>
      <w:r>
        <w:rPr>
          <w:rFonts w:eastAsiaTheme="minorEastAsia"/>
          <w:i/>
          <w:iCs/>
          <w:sz w:val="20"/>
          <w:szCs w:val="22"/>
        </w:rPr>
        <w:t xml:space="preserve"> pointing to the zenith and </w:t>
      </w:r>
      <w:r>
        <w:rPr>
          <w:rFonts w:eastAsiaTheme="minorEastAsia"/>
          <w:i/>
          <w:iCs/>
          <w:sz w:val="20"/>
          <w:szCs w:val="22"/>
        </w:rPr>
        <w:fldChar w:fldCharType="begin"/>
      </w:r>
      <w:r>
        <w:rPr>
          <w:rFonts w:eastAsiaTheme="minorEastAsia"/>
          <w:i/>
          <w:iCs/>
          <w:sz w:val="20"/>
          <w:szCs w:val="22"/>
        </w:rPr>
        <w:instrText xml:space="preserve"> QUOTE </w:instrText>
      </w:r>
      <w:r>
        <w:rPr>
          <w:rFonts w:eastAsiaTheme="minorEastAsia"/>
          <w:i/>
          <w:iCs/>
          <w:sz w:val="20"/>
          <w:szCs w:val="22"/>
        </w:rPr>
        <w:pict>
          <v:shape id="_x0000_i1027" o:spt="75" type="#_x0000_t75" style="height:12pt;width:34.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653&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2B4&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82&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555&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CAF&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43B&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6C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12&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2A1&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74&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AF0&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17&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2FB&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48A&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A26&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0DB&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BA&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5C9&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E88&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BC0&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83&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DE9&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4B&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1F&quot;/&gt;&lt;wsp:rsid wsp:val=&quot;00712D4C&quot;/&gt;&lt;wsp:rsid wsp:val=&quot;00712FA1&quot;/&gt;&lt;wsp:rsid wsp:val=&quot;00712FB2&quot;/&gt;&lt;wsp:rsid wsp:val=&quot;007130C4&quot;/&gt;&lt;wsp:rsid wsp:val=&quot;007131B2&quot;/&gt;&lt;wsp:rsid wsp:val=&quot;007135D1&quot;/&gt;&lt;wsp:rsid wsp:val=&quot;0071363D&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37&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F7&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B0E&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76&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BA9&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88F&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CCA&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307&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98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DD&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7A&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8DF&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840&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15&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71F&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0E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7B&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091&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355&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49&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9EC&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23&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C18&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764&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6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D6F&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CBA&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04F&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C3D&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82F&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B6C&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16E&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CC7&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A51&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5E8&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246&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1E0&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553&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71E&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34B&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1E4&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172555&quot; wsp:rsidP=&quot;00172555&quot;&gt;&lt;m:oMathPara&gt;&lt;m:oMath&gt;&lt;m:r&gt;&lt;m:rPr&gt;&lt;m:sty m:val=&quot;p&quot;/&gt;&lt;/m:rPr&gt;&lt;w:rPr&gt;&lt;w:rFonts w:ascii=&quot;Cambria Math&quot; w:h-ansi=&quot;Cambria Math&quot;/&gt;&lt;wx:font wx:val=&quot;Cambria Math&quot;/&gt;&lt;/w:rPr&gt;&lt;m:t&gt;θ=&lt;/m:t&gt;&lt;/m:r&gt;&lt;m:sSup&gt;&lt;m:sSupPr&gt;&lt;m:ctrlPr&gt;&lt;w:rPr&gt;&lt;w:rFonts w:ascii=&quot;Cambria Math&quot; w:h-ansi=&quot;Cambria Math&quot;/&gt;&lt;wx:font wx:val=&quot;Cambria Math&quot;/&gt;&lt;/w:rPr&gt;&lt;/m:ctrlPr&gt;&lt;/m:sSupPr&gt;&lt;m:e&gt;&lt;m:r&gt;&lt;m:rPr&gt;&lt;m:sty m:val=&quot;p&quot;/&gt;&lt;/m:rPr&gt;&lt;w:rPr&gt;&lt;w:rFonts w:ascii=&quot;Cambria Math&quot; w:h-ansi=&quot;Cambria Math&quot;/&gt;&lt;wx:font wx:val=&quot;Cambria Math&quot;/&gt;&lt;/w:rPr&gt;&lt;m:t&gt;90&lt;/m:t&gt;&lt;/m:r&gt;&lt;/m:e&gt;&lt;m:sup&gt;&lt;m:r&gt;&lt;m:rPr&gt;&lt;m:sty m:val=&quot;p&quot;/&gt;&lt;/m:rPr&gt;&lt;w:rPr&gt;&lt;w:rFonts w:ascii=&quot;Cambria Math&quot; w:h-ansi=&quot;Cambria Math&quot;/&gt;&lt;wx:font wx:val=&quot;Cambria Math&quot;/&gt;&lt;/w:rPr&gt;&lt;m:t&gt;0&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eastAsiaTheme="minorEastAsia"/>
          <w:i/>
          <w:iCs/>
          <w:sz w:val="20"/>
          <w:szCs w:val="22"/>
        </w:rPr>
        <w:instrText xml:space="preserve"> </w:instrText>
      </w:r>
      <w:r>
        <w:rPr>
          <w:rFonts w:eastAsiaTheme="minorEastAsia"/>
          <w:i/>
          <w:iCs/>
          <w:sz w:val="20"/>
          <w:szCs w:val="22"/>
        </w:rPr>
        <w:fldChar w:fldCharType="separate"/>
      </w:r>
      <w:r>
        <w:rPr>
          <w:rFonts w:eastAsiaTheme="minorEastAsia"/>
          <w:i/>
          <w:iCs/>
          <w:sz w:val="20"/>
          <w:szCs w:val="22"/>
        </w:rPr>
        <w:pict>
          <v:shape id="_x0000_i1028" o:spt="75" type="#_x0000_t75" style="height:12pt;width:34.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653&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2B4&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82&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555&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CAF&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43B&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6C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12&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2A1&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74&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AF0&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17&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2FB&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48A&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A26&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0DB&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BA&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5C9&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E88&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BC0&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83&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DE9&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4B&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1F&quot;/&gt;&lt;wsp:rsid wsp:val=&quot;00712D4C&quot;/&gt;&lt;wsp:rsid wsp:val=&quot;00712FA1&quot;/&gt;&lt;wsp:rsid wsp:val=&quot;00712FB2&quot;/&gt;&lt;wsp:rsid wsp:val=&quot;007130C4&quot;/&gt;&lt;wsp:rsid wsp:val=&quot;007131B2&quot;/&gt;&lt;wsp:rsid wsp:val=&quot;007135D1&quot;/&gt;&lt;wsp:rsid wsp:val=&quot;0071363D&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37&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F7&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B0E&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76&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BA9&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88F&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CCA&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307&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98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DD&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7A&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8DF&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840&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15&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71F&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0E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7B&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091&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355&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49&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9EC&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23&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C18&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764&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6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D6F&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CBA&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04F&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C3D&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82F&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B6C&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16E&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CC7&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A51&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5E8&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246&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1E0&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553&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71E&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34B&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1E4&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172555&quot; wsp:rsidP=&quot;00172555&quot;&gt;&lt;m:oMathPara&gt;&lt;m:oMath&gt;&lt;m:r&gt;&lt;m:rPr&gt;&lt;m:sty m:val=&quot;p&quot;/&gt;&lt;/m:rPr&gt;&lt;w:rPr&gt;&lt;w:rFonts w:ascii=&quot;Cambria Math&quot; w:h-ansi=&quot;Cambria Math&quot;/&gt;&lt;wx:font wx:val=&quot;Cambria Math&quot;/&gt;&lt;/w:rPr&gt;&lt;m:t&gt;θ=&lt;/m:t&gt;&lt;/m:r&gt;&lt;m:sSup&gt;&lt;m:sSupPr&gt;&lt;m:ctrlPr&gt;&lt;w:rPr&gt;&lt;w:rFonts w:ascii=&quot;Cambria Math&quot; w:h-ansi=&quot;Cambria Math&quot;/&gt;&lt;wx:font wx:val=&quot;Cambria Math&quot;/&gt;&lt;/w:rPr&gt;&lt;/m:ctrlPr&gt;&lt;/m:sSupPr&gt;&lt;m:e&gt;&lt;m:r&gt;&lt;m:rPr&gt;&lt;m:sty m:val=&quot;p&quot;/&gt;&lt;/m:rPr&gt;&lt;w:rPr&gt;&lt;w:rFonts w:ascii=&quot;Cambria Math&quot; w:h-ansi=&quot;Cambria Math&quot;/&gt;&lt;wx:font wx:val=&quot;Cambria Math&quot;/&gt;&lt;/w:rPr&gt;&lt;m:t&gt;90&lt;/m:t&gt;&lt;/m:r&gt;&lt;/m:e&gt;&lt;m:sup&gt;&lt;m:r&gt;&lt;m:rPr&gt;&lt;m:sty m:val=&quot;p&quot;/&gt;&lt;/m:rPr&gt;&lt;w:rPr&gt;&lt;w:rFonts w:ascii=&quot;Cambria Math&quot; w:h-ansi=&quot;Cambria Math&quot;/&gt;&lt;wx:font wx:val=&quot;Cambria Math&quot;/&gt;&lt;/w:rPr&gt;&lt;m:t&gt;0&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eastAsiaTheme="minorEastAsia"/>
          <w:i/>
          <w:iCs/>
          <w:sz w:val="20"/>
          <w:szCs w:val="22"/>
        </w:rPr>
        <w:fldChar w:fldCharType="end"/>
      </w:r>
      <w:r>
        <w:rPr>
          <w:rFonts w:eastAsiaTheme="minorEastAsia"/>
          <w:i/>
          <w:iCs/>
          <w:sz w:val="20"/>
          <w:szCs w:val="22"/>
        </w:rPr>
        <w:t xml:space="preserve"> pointing to the horizon.</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val="0"/>
        <w:spacing w:line="264" w:lineRule="auto"/>
        <w:ind w:leftChars="0" w:firstLine="400" w:firstLineChars="200"/>
        <w:textAlignment w:val="baseline"/>
        <w:outlineLvl w:val="9"/>
        <w:rPr>
          <w:rFonts w:eastAsiaTheme="minorEastAsia"/>
          <w:i/>
          <w:iCs/>
          <w:sz w:val="20"/>
          <w:szCs w:val="22"/>
        </w:rPr>
      </w:pPr>
      <w:r>
        <w:rPr>
          <w:rFonts w:eastAsiaTheme="minorEastAsia"/>
          <w:i/>
          <w:iCs/>
          <w:sz w:val="20"/>
          <w:szCs w:val="22"/>
        </w:rPr>
        <w:t>Option 2:</w:t>
      </w:r>
    </w:p>
    <w:p>
      <w:pPr>
        <w:pStyle w:val="124"/>
        <w:keepNext w:val="0"/>
        <w:keepLines w:val="0"/>
        <w:pageBreakBefore w:val="0"/>
        <w:widowControl/>
        <w:numPr>
          <w:ilvl w:val="0"/>
          <w:numId w:val="11"/>
        </w:numPr>
        <w:kinsoku/>
        <w:wordWrap/>
        <w:overflowPunct w:val="0"/>
        <w:topLinePunct w:val="0"/>
        <w:autoSpaceDE w:val="0"/>
        <w:autoSpaceDN w:val="0"/>
        <w:bidi w:val="0"/>
        <w:adjustRightInd w:val="0"/>
        <w:snapToGrid w:val="0"/>
        <w:spacing w:line="264" w:lineRule="auto"/>
        <w:ind w:left="840" w:leftChars="0" w:hanging="420" w:firstLineChars="0"/>
        <w:textAlignment w:val="baseline"/>
        <w:outlineLvl w:val="9"/>
        <w:rPr>
          <w:rFonts w:eastAsiaTheme="minorEastAsia"/>
          <w:i/>
          <w:iCs/>
          <w:sz w:val="20"/>
          <w:szCs w:val="22"/>
        </w:rPr>
      </w:pPr>
      <w:r>
        <w:rPr>
          <w:rFonts w:eastAsiaTheme="minorEastAsia"/>
          <w:i/>
          <w:iCs/>
          <w:sz w:val="20"/>
          <w:szCs w:val="22"/>
        </w:rPr>
        <w:t xml:space="preserve">For AoA and ZoA, the reference direction is with respect to the Local Coordinate System (LCS) defined in TR 38.901. The translation of the GCS to LCS uses the set of angles </w:t>
      </w:r>
      <w:r>
        <w:rPr>
          <w:rFonts w:eastAsiaTheme="minorEastAsia"/>
          <w:i/>
          <w:iCs/>
          <w:sz w:val="20"/>
          <w:szCs w:val="22"/>
        </w:rPr>
        <w:sym w:font="Symbol" w:char="F061"/>
      </w:r>
      <w:r>
        <w:rPr>
          <w:rFonts w:eastAsiaTheme="minorEastAsia"/>
          <w:i/>
          <w:iCs/>
          <w:sz w:val="20"/>
          <w:szCs w:val="22"/>
        </w:rPr>
        <w:t xml:space="preserve"> (bearing angle), </w:t>
      </w:r>
      <w:r>
        <w:rPr>
          <w:rFonts w:eastAsiaTheme="minorEastAsia"/>
          <w:i/>
          <w:iCs/>
          <w:sz w:val="20"/>
          <w:szCs w:val="22"/>
        </w:rPr>
        <w:sym w:font="Symbol" w:char="F062"/>
      </w:r>
      <w:r>
        <w:rPr>
          <w:rFonts w:eastAsiaTheme="minorEastAsia"/>
          <w:i/>
          <w:iCs/>
          <w:sz w:val="20"/>
          <w:szCs w:val="22"/>
        </w:rPr>
        <w:t xml:space="preserve"> (downtilt angle),  </w:t>
      </w:r>
      <w:r>
        <w:rPr>
          <w:rFonts w:eastAsiaTheme="minorEastAsia"/>
          <w:i/>
          <w:iCs/>
          <w:sz w:val="20"/>
          <w:szCs w:val="22"/>
        </w:rPr>
        <w:sym w:font="Symbol" w:char="F067"/>
      </w:r>
      <w:r>
        <w:rPr>
          <w:rFonts w:eastAsiaTheme="minorEastAsia"/>
          <w:i/>
          <w:iCs/>
          <w:sz w:val="20"/>
          <w:szCs w:val="22"/>
        </w:rPr>
        <w:t xml:space="preserve"> (slant angle) which are reported</w:t>
      </w:r>
    </w:p>
    <w:p>
      <w:pPr>
        <w:keepNext w:val="0"/>
        <w:keepLines w:val="0"/>
        <w:pageBreakBefore w:val="0"/>
        <w:widowControl w:val="0"/>
        <w:kinsoku/>
        <w:wordWrap/>
        <w:overflowPunct w:val="0"/>
        <w:topLinePunct w:val="0"/>
        <w:autoSpaceDE w:val="0"/>
        <w:autoSpaceDN w:val="0"/>
        <w:bidi w:val="0"/>
        <w:adjustRightInd w:val="0"/>
        <w:snapToGrid w:val="0"/>
        <w:spacing w:after="181" w:afterLines="50"/>
        <w:textAlignment w:val="center"/>
        <w:outlineLvl w:val="9"/>
        <w:rPr>
          <w:rFonts w:hint="eastAsia" w:cs="Times New Roman" w:eastAsiaTheme="minorEastAsia"/>
          <w:sz w:val="20"/>
          <w:szCs w:val="20"/>
          <w:lang w:val="en-US" w:eastAsia="zh-CN" w:bidi="ar-SA"/>
        </w:rPr>
      </w:pPr>
      <w:r>
        <w:rPr>
          <w:rFonts w:hint="eastAsia" w:cs="Times New Roman" w:eastAsiaTheme="minorEastAsia"/>
          <w:sz w:val="20"/>
          <w:szCs w:val="20"/>
          <w:lang w:val="en-US" w:eastAsia="zh-CN" w:bidi="ar-SA"/>
        </w:rPr>
        <w:t>Actually the AOA and ZOA are not the first measurement quantities that requires bearing reference, to support IMU positioning methods, bearing also needs to be reported with reference [2]. The bearing reference for IMU is defined as follows:</w:t>
      </w:r>
    </w:p>
    <w:p>
      <w:pPr>
        <w:widowControl w:val="0"/>
        <w:snapToGrid w:val="0"/>
        <w:spacing w:after="0"/>
        <w:textAlignment w:val="center"/>
        <w:rPr>
          <w:rFonts w:hint="default" w:ascii="Courier New" w:hAnsi="Courier New" w:eastAsia="宋体"/>
          <w:snapToGrid w:val="0"/>
          <w:sz w:val="16"/>
          <w:lang w:val="en-US" w:eastAsia="zh-CN"/>
        </w:rPr>
      </w:pPr>
      <w:r>
        <w:rPr>
          <w:rFonts w:hint="default" w:ascii="Courier New" w:hAnsi="Courier New" w:eastAsia="宋体"/>
          <w:snapToGrid w:val="0"/>
          <w:sz w:val="16"/>
          <w:lang w:val="en-US" w:eastAsia="zh-CN"/>
        </w:rPr>
        <w:t>“</w:t>
      </w:r>
      <w:r>
        <w:rPr>
          <w:rFonts w:ascii="Courier New" w:hAnsi="Courier New" w:eastAsia="Times New Roman" w:cs="Times New Roman"/>
          <w:snapToGrid w:val="0"/>
          <w:sz w:val="16"/>
          <w:szCs w:val="22"/>
          <w:lang w:eastAsia="ko-KR"/>
        </w:rPr>
        <w:t>bearingRef-r15</w:t>
      </w:r>
      <w:r>
        <w:rPr>
          <w:rFonts w:ascii="Courier New" w:hAnsi="Courier New" w:eastAsia="Times New Roman" w:cs="Times New Roman"/>
          <w:snapToGrid w:val="0"/>
          <w:sz w:val="16"/>
          <w:szCs w:val="22"/>
          <w:lang w:eastAsia="ko-KR"/>
        </w:rPr>
        <w:tab/>
      </w:r>
      <w:r>
        <w:rPr>
          <w:rFonts w:ascii="Courier New" w:hAnsi="Courier New" w:eastAsia="Times New Roman" w:cs="Times New Roman"/>
          <w:snapToGrid w:val="0"/>
          <w:sz w:val="16"/>
          <w:szCs w:val="22"/>
          <w:lang w:eastAsia="ko-KR"/>
        </w:rPr>
        <w:tab/>
      </w:r>
      <w:r>
        <w:rPr>
          <w:rFonts w:ascii="Courier New" w:hAnsi="Courier New" w:eastAsia="Times New Roman" w:cs="Times New Roman"/>
          <w:snapToGrid w:val="0"/>
          <w:sz w:val="16"/>
          <w:szCs w:val="22"/>
          <w:lang w:eastAsia="ko-KR"/>
        </w:rPr>
        <w:t>ENUMERATED { geographicNorth, magneticNorth, local },</w:t>
      </w:r>
    </w:p>
    <w:p>
      <w:pPr>
        <w:widowControl w:val="0"/>
        <w:snapToGrid w:val="0"/>
        <w:spacing w:after="0"/>
        <w:textAlignment w:val="center"/>
        <w:rPr>
          <w:rFonts w:hint="eastAsia" w:cs="Times New Roman" w:eastAsiaTheme="minorEastAsia"/>
          <w:sz w:val="20"/>
          <w:szCs w:val="20"/>
          <w:lang w:val="en-US" w:eastAsia="zh-CN" w:bidi="ar-SA"/>
        </w:rPr>
      </w:pPr>
      <w:r>
        <w:rPr>
          <w:rFonts w:ascii="Courier New" w:hAnsi="Courier New"/>
          <w:snapToGrid w:val="0"/>
          <w:sz w:val="16"/>
          <w:lang w:eastAsia="ko-KR"/>
        </w:rPr>
        <w:t>verticalDirection-r15</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ENUMERATED{upward, downward}</w:t>
      </w:r>
      <w:r>
        <w:rPr>
          <w:rFonts w:ascii="Courier New" w:hAnsi="Courier New"/>
          <w:snapToGrid w:val="0"/>
          <w:sz w:val="16"/>
          <w:lang w:eastAsia="ko-KR"/>
        </w:rPr>
        <w:tab/>
      </w:r>
      <w:r>
        <w:rPr>
          <w:rFonts w:ascii="Courier New" w:hAnsi="Courier New"/>
          <w:snapToGrid w:val="0"/>
          <w:sz w:val="16"/>
          <w:lang w:eastAsia="ko-KR"/>
        </w:rPr>
        <w:t>OPTIONAL,</w:t>
      </w:r>
    </w:p>
    <w:tbl>
      <w:tblPr>
        <w:tblStyle w:val="31"/>
        <w:tblW w:w="934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34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PrEx>
        <w:trPr>
          <w:cantSplit/>
        </w:trPr>
        <w:tc>
          <w:tcPr>
            <w:tcW w:w="9349" w:type="dxa"/>
          </w:tcPr>
          <w:p>
            <w:pPr>
              <w:pStyle w:val="51"/>
              <w:rPr>
                <w:b/>
                <w:bCs/>
                <w:i/>
                <w:iCs/>
              </w:rPr>
            </w:pPr>
            <w:r>
              <w:rPr>
                <w:b/>
                <w:bCs/>
                <w:i/>
                <w:iCs/>
              </w:rPr>
              <w:t>bearingRef</w:t>
            </w:r>
          </w:p>
          <w:p>
            <w:pPr>
              <w:pStyle w:val="51"/>
              <w:rPr>
                <w:bCs/>
                <w:iCs/>
              </w:rPr>
            </w:pPr>
            <w:r>
              <w:rPr>
                <w:bCs/>
                <w:iCs/>
              </w:rPr>
              <w:t xml:space="preserve">This field specifies the reference direction for the </w:t>
            </w:r>
            <w:r>
              <w:rPr>
                <w:bCs/>
                <w:i/>
                <w:iCs/>
              </w:rPr>
              <w:t>bearing</w:t>
            </w:r>
            <w:r>
              <w:rPr>
                <w:bCs/>
                <w:iCs/>
              </w:rPr>
              <w:t>. Enumerated value '</w:t>
            </w:r>
            <w:r>
              <w:rPr>
                <w:i/>
              </w:rPr>
              <w:t>geographicNorth</w:t>
            </w:r>
            <w:r>
              <w:t xml:space="preserve">' indicates that the </w:t>
            </w:r>
            <w:r>
              <w:rPr>
                <w:i/>
              </w:rPr>
              <w:t>bearing</w:t>
            </w:r>
            <w:r>
              <w:t xml:space="preserve"> is measured clockwise from the Geographic North; </w:t>
            </w:r>
            <w:r>
              <w:rPr>
                <w:bCs/>
                <w:iCs/>
              </w:rPr>
              <w:t>'</w:t>
            </w:r>
            <w:r>
              <w:rPr>
                <w:i/>
              </w:rPr>
              <w:t>magneticNorth</w:t>
            </w:r>
            <w:r>
              <w:t xml:space="preserve">' indicates that the </w:t>
            </w:r>
            <w:r>
              <w:rPr>
                <w:i/>
              </w:rPr>
              <w:t>bearing</w:t>
            </w:r>
            <w:r>
              <w:t xml:space="preserve"> is measured clockwise from the Magnetic North; '</w:t>
            </w:r>
            <w:r>
              <w:rPr>
                <w:i/>
              </w:rPr>
              <w:t>local</w:t>
            </w:r>
            <w:r>
              <w:t xml:space="preserve">' indicates that the </w:t>
            </w:r>
            <w:r>
              <w:rPr>
                <w:i/>
              </w:rPr>
              <w:t>bearing</w:t>
            </w:r>
            <w:r>
              <w:t xml:space="preserve"> is measured clockwise from an arbitrary (undefined) reference direction. </w:t>
            </w:r>
          </w:p>
        </w:tc>
      </w:tr>
    </w:tbl>
    <w:p>
      <w:pPr>
        <w:keepNext w:val="0"/>
        <w:keepLines w:val="0"/>
        <w:pageBreakBefore w:val="0"/>
        <w:widowControl w:val="0"/>
        <w:kinsoku/>
        <w:wordWrap/>
        <w:overflowPunct w:val="0"/>
        <w:topLinePunct w:val="0"/>
        <w:autoSpaceDE w:val="0"/>
        <w:autoSpaceDN w:val="0"/>
        <w:bidi w:val="0"/>
        <w:adjustRightInd w:val="0"/>
        <w:snapToGrid w:val="0"/>
        <w:spacing w:before="181" w:beforeLines="50" w:after="0"/>
        <w:textAlignment w:val="center"/>
        <w:outlineLvl w:val="9"/>
        <w:rPr>
          <w:rFonts w:hint="default" w:ascii="Times New Roman" w:hAnsi="Times New Roman" w:cs="Times New Roman" w:eastAsiaTheme="minorEastAsia"/>
          <w:sz w:val="20"/>
          <w:szCs w:val="20"/>
          <w:lang w:val="en-US" w:eastAsia="zh-CN" w:bidi="ar-SA"/>
        </w:rPr>
      </w:pPr>
      <w:r>
        <w:rPr>
          <w:rFonts w:hint="eastAsia" w:ascii="Times New Roman" w:hAnsi="Times New Roman" w:cs="Times New Roman" w:eastAsiaTheme="minorEastAsia"/>
          <w:sz w:val="20"/>
          <w:szCs w:val="20"/>
          <w:lang w:val="en-US" w:eastAsia="zh-CN" w:bidi="ar-SA"/>
        </w:rPr>
        <w:t>We think there is no strong reason to introduce a different reference for AOA and ZOA, since angle measurement may be combined with IMU measurements in hybrid positioning, it would obviously be much easier under same coordinate system. It seems the option 1 is more similar to the IMU bearing reference.</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default" w:eastAsiaTheme="minorEastAsia"/>
          <w:b/>
          <w:bCs/>
          <w:i w:val="0"/>
          <w:iCs w:val="0"/>
          <w:sz w:val="20"/>
          <w:szCs w:val="20"/>
          <w:lang w:val="en-US" w:eastAsia="zh-CN"/>
        </w:rPr>
      </w:pPr>
      <w:r>
        <w:rPr>
          <w:rFonts w:hint="eastAsia" w:eastAsiaTheme="minorEastAsia"/>
          <w:b/>
          <w:bCs/>
          <w:i w:val="0"/>
          <w:iCs w:val="0"/>
          <w:sz w:val="20"/>
          <w:szCs w:val="20"/>
          <w:lang w:val="en-US" w:eastAsia="zh-CN"/>
        </w:rPr>
        <w:t xml:space="preserve">Proposal 2: </w:t>
      </w:r>
      <w:bookmarkStart w:id="0" w:name="OLE_LINK1"/>
      <w:r>
        <w:rPr>
          <w:rFonts w:hint="eastAsia" w:eastAsiaTheme="minorEastAsia"/>
          <w:b/>
          <w:bCs/>
          <w:i w:val="0"/>
          <w:iCs w:val="0"/>
          <w:sz w:val="20"/>
          <w:szCs w:val="20"/>
          <w:lang w:val="en-US" w:eastAsia="zh-CN"/>
        </w:rPr>
        <w:t xml:space="preserve">The reference direction definition should be same as IMU bearing reference, support option 1. </w:t>
      </w:r>
      <w:bookmarkEnd w:id="0"/>
    </w:p>
    <w:p>
      <w:pPr>
        <w:pStyle w:val="2"/>
        <w:tabs>
          <w:tab w:val="left" w:pos="450"/>
          <w:tab w:val="clear" w:pos="612"/>
        </w:tabs>
        <w:ind w:hanging="612"/>
      </w:pPr>
      <w:r>
        <w:t>Conclusion</w:t>
      </w:r>
    </w:p>
    <w:p>
      <w:pPr>
        <w:snapToGrid w:val="0"/>
        <w:spacing w:after="120"/>
        <w:rPr>
          <w:rFonts w:eastAsiaTheme="minorEastAsia"/>
          <w:sz w:val="20"/>
          <w:lang w:eastAsia="zh-CN"/>
        </w:rPr>
      </w:pPr>
      <w:r>
        <w:rPr>
          <w:rFonts w:eastAsiaTheme="minorEastAsia"/>
          <w:sz w:val="20"/>
          <w:lang w:eastAsia="zh-CN"/>
        </w:rPr>
        <w:t>Based on the discussion above, we have the following</w:t>
      </w:r>
      <w:r>
        <w:rPr>
          <w:rFonts w:hint="eastAsia" w:eastAsiaTheme="minorEastAsia"/>
          <w:sz w:val="20"/>
          <w:lang w:val="en-US" w:eastAsia="zh-CN"/>
        </w:rPr>
        <w:t xml:space="preserve"> proposals</w:t>
      </w:r>
      <w:r>
        <w:rPr>
          <w:rFonts w:eastAsiaTheme="minorEastAsia"/>
          <w:sz w:val="20"/>
          <w:lang w:eastAsia="zh-CN"/>
        </w:rPr>
        <w:t>:</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default" w:eastAsiaTheme="minorEastAsia"/>
          <w:b w:val="0"/>
          <w:bCs w:val="0"/>
          <w:sz w:val="20"/>
          <w:szCs w:val="20"/>
          <w:lang w:val="en-US" w:eastAsia="zh-CN"/>
        </w:rPr>
      </w:pPr>
      <w:r>
        <w:rPr>
          <w:rFonts w:hint="eastAsia" w:eastAsiaTheme="minorEastAsia"/>
          <w:b/>
          <w:bCs/>
          <w:i w:val="0"/>
          <w:iCs w:val="0"/>
          <w:sz w:val="20"/>
          <w:szCs w:val="20"/>
          <w:lang w:val="en-US" w:eastAsia="zh-CN"/>
        </w:rPr>
        <w:t xml:space="preserve">Proposal 1: </w:t>
      </w:r>
      <w:r>
        <w:rPr>
          <w:rFonts w:hint="eastAsia" w:ascii="Times New Roman" w:hAnsi="Times New Roman" w:cs="Times New Roman" w:eastAsiaTheme="minorEastAsia"/>
          <w:b w:val="0"/>
          <w:bCs w:val="0"/>
          <w:i/>
          <w:iCs/>
          <w:sz w:val="20"/>
          <w:szCs w:val="20"/>
          <w:lang w:val="en-US" w:eastAsia="zh-CN"/>
        </w:rPr>
        <w:t xml:space="preserve">Support reporting the resource ID(s) or resource set ID(s) used for determining the timing of the UE and possibly the Rx beam used at the gNB. </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default" w:eastAsiaTheme="minorEastAsia"/>
          <w:b w:val="0"/>
          <w:bCs w:val="0"/>
          <w:i/>
          <w:iCs/>
          <w:lang w:val="en-US" w:eastAsia="zh-CN"/>
        </w:rPr>
      </w:pPr>
      <w:r>
        <w:rPr>
          <w:rFonts w:hint="eastAsia" w:eastAsiaTheme="minorEastAsia"/>
          <w:b/>
          <w:bCs/>
          <w:i w:val="0"/>
          <w:iCs w:val="0"/>
          <w:sz w:val="20"/>
          <w:szCs w:val="20"/>
          <w:lang w:val="en-US" w:eastAsia="zh-CN"/>
        </w:rPr>
        <w:t>Proposal 2:</w:t>
      </w:r>
      <w:r>
        <w:rPr>
          <w:rFonts w:hint="eastAsia" w:eastAsiaTheme="minorEastAsia"/>
          <w:b w:val="0"/>
          <w:bCs w:val="0"/>
          <w:i/>
          <w:iCs/>
          <w:sz w:val="20"/>
          <w:szCs w:val="20"/>
          <w:lang w:val="en-US" w:eastAsia="zh-CN"/>
        </w:rPr>
        <w:t xml:space="preserve">The reference direction definition should be same as IMU bearing reference, support option 1.  </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1"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1"/>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hint="default" w:ascii="Times New Roman" w:hAnsi="Times New Roman" w:eastAsia="宋体" w:cs="Times New Roman"/>
          <w:b w:val="0"/>
          <w:bCs w:val="0"/>
          <w:sz w:val="20"/>
          <w:szCs w:val="22"/>
          <w:lang w:val="en-US" w:eastAsia="zh-CN"/>
        </w:rPr>
      </w:pPr>
      <w:r>
        <w:rPr>
          <w:rFonts w:ascii="Times New Roman" w:hAnsi="Times New Roman" w:eastAsia="Times New Roman" w:cs="Times New Roman"/>
          <w:b w:val="0"/>
          <w:bCs w:val="0"/>
          <w:sz w:val="20"/>
          <w:szCs w:val="22"/>
          <w:lang w:eastAsia="ja-JP"/>
        </w:rPr>
        <w:t>[</w:t>
      </w:r>
      <w:bookmarkStart w:id="2"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2"/>
      <w:r>
        <w:rPr>
          <w:rFonts w:ascii="Times New Roman" w:hAnsi="Times New Roman" w:eastAsia="Times New Roman" w:cs="Times New Roman"/>
          <w:b w:val="0"/>
          <w:bCs w:val="0"/>
          <w:sz w:val="20"/>
          <w:szCs w:val="22"/>
          <w:lang w:eastAsia="ja-JP"/>
        </w:rPr>
        <w:t>]</w:t>
      </w:r>
      <w:r>
        <w:rPr>
          <w:rFonts w:hint="eastAsia" w:ascii="Times New Roman" w:hAnsi="Times New Roman" w:eastAsia="宋体" w:cs="Times New Roman"/>
          <w:b w:val="0"/>
          <w:bCs w:val="0"/>
          <w:sz w:val="20"/>
          <w:szCs w:val="22"/>
          <w:lang w:val="en-US" w:eastAsia="zh-CN"/>
        </w:rPr>
        <w:t xml:space="preserve">   3GPP</w:t>
      </w:r>
      <w:r>
        <w:rPr>
          <w:rFonts w:hint="eastAsia" w:ascii="Times New Roman" w:hAnsi="Times New Roman" w:cs="Times New Roman"/>
          <w:b w:val="0"/>
          <w:bCs w:val="0"/>
          <w:sz w:val="20"/>
          <w:szCs w:val="22"/>
          <w:lang w:val="en-US" w:eastAsia="zh-CN"/>
        </w:rPr>
        <w:t xml:space="preserve"> TS 36.355</w:t>
      </w:r>
      <w:r>
        <w:rPr>
          <w:rFonts w:hint="eastAsia" w:ascii="Times New Roman" w:hAnsi="Times New Roman" w:eastAsia="宋体" w:cs="Times New Roman"/>
          <w:b w:val="0"/>
          <w:bCs w:val="0"/>
          <w:sz w:val="20"/>
          <w:szCs w:val="22"/>
          <w:lang w:val="en-US" w:eastAsia="zh-CN"/>
        </w:rPr>
        <w:t>,</w:t>
      </w:r>
      <w:r>
        <w:rPr>
          <w:rFonts w:hint="default" w:ascii="Times New Roman" w:hAnsi="Times New Roman" w:eastAsia="宋体" w:cs="Times New Roman"/>
          <w:b w:val="0"/>
          <w:bCs w:val="0"/>
          <w:sz w:val="20"/>
          <w:szCs w:val="22"/>
          <w:lang w:val="en-US" w:eastAsia="zh-CN"/>
        </w:rPr>
        <w:t>”</w:t>
      </w:r>
      <w:r>
        <w:rPr>
          <w:rFonts w:hint="eastAsia" w:ascii="Times New Roman" w:hAnsi="Times New Roman" w:cs="Times New Roman"/>
          <w:b w:val="0"/>
          <w:bCs w:val="0"/>
          <w:sz w:val="20"/>
          <w:szCs w:val="22"/>
          <w:lang w:val="en-US" w:eastAsia="zh-CN"/>
        </w:rPr>
        <w:t>E</w:t>
      </w:r>
      <w:r>
        <w:rPr>
          <w:rFonts w:hint="eastAsia" w:ascii="Times New Roman" w:hAnsi="Times New Roman" w:cs="Times New Roman"/>
          <w:b w:val="0"/>
          <w:bCs w:val="0"/>
          <w:sz w:val="20"/>
          <w:szCs w:val="22"/>
        </w:rPr>
        <w:t>volved Universal Terrestrial Radio Access (E-UTRA); LTE Positioning Protocol (LPP)</w:t>
      </w:r>
      <w:r>
        <w:rPr>
          <w:rFonts w:hint="eastAsia" w:ascii="Times New Roman" w:hAnsi="Times New Roman" w:cs="Times New Roman"/>
          <w:b w:val="0"/>
          <w:bCs w:val="0"/>
          <w:sz w:val="20"/>
          <w:szCs w:val="22"/>
          <w:lang w:val="en-US" w:eastAsia="zh-CN"/>
        </w:rPr>
        <w:t xml:space="preserve"> </w:t>
      </w:r>
      <w:r>
        <w:rPr>
          <w:rFonts w:hint="default" w:ascii="Times New Roman" w:hAnsi="Times New Roman" w:cs="Times New Roman"/>
          <w:b w:val="0"/>
          <w:bCs w:val="0"/>
          <w:sz w:val="20"/>
          <w:szCs w:val="22"/>
          <w:lang w:val="en-US" w:eastAsia="zh-CN"/>
        </w:rPr>
        <w:t>”</w:t>
      </w:r>
    </w:p>
    <w:p>
      <w:pPr>
        <w:pStyle w:val="14"/>
        <w:snapToGrid w:val="0"/>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EC629B"/>
    <w:multiLevelType w:val="singleLevel"/>
    <w:tmpl w:val="B5EC629B"/>
    <w:lvl w:ilvl="0" w:tentative="0">
      <w:start w:val="1"/>
      <w:numFmt w:val="bullet"/>
      <w:lvlText w:val=""/>
      <w:lvlJc w:val="left"/>
      <w:pPr>
        <w:ind w:left="420" w:hanging="420"/>
      </w:pPr>
      <w:rPr>
        <w:rFonts w:hint="default" w:ascii="Wingdings" w:hAnsi="Wingdings"/>
      </w:rPr>
    </w:lvl>
  </w:abstractNum>
  <w:abstractNum w:abstractNumId="1">
    <w:nsid w:val="E584A3CB"/>
    <w:multiLevelType w:val="singleLevel"/>
    <w:tmpl w:val="E584A3CB"/>
    <w:lvl w:ilvl="0" w:tentative="0">
      <w:start w:val="1"/>
      <w:numFmt w:val="bullet"/>
      <w:lvlText w:val=""/>
      <w:lvlJc w:val="left"/>
      <w:pPr>
        <w:ind w:left="420" w:hanging="420"/>
      </w:pPr>
      <w:rPr>
        <w:rFonts w:hint="default" w:ascii="Wingdings" w:hAnsi="Wingdings"/>
      </w:rPr>
    </w:lvl>
  </w:abstractNum>
  <w:abstractNum w:abstractNumId="2">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1D9F11C5"/>
    <w:multiLevelType w:val="multilevel"/>
    <w:tmpl w:val="1D9F11C5"/>
    <w:lvl w:ilvl="0" w:tentative="0">
      <w:start w:val="1"/>
      <w:numFmt w:val="bullet"/>
      <w:lvlText w:val="o"/>
      <w:lvlJc w:val="left"/>
      <w:pPr>
        <w:ind w:left="360" w:hanging="360"/>
      </w:pPr>
      <w:rPr>
        <w:rFonts w:hint="default" w:ascii="Courier New" w:hAnsi="Courier New" w:cs="Courier New"/>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6">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8">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EBD1FDD"/>
    <w:multiLevelType w:val="multilevel"/>
    <w:tmpl w:val="6EBD1FDD"/>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
  </w:num>
  <w:num w:numId="3">
    <w:abstractNumId w:val="10"/>
  </w:num>
  <w:num w:numId="4">
    <w:abstractNumId w:val="7"/>
  </w:num>
  <w:num w:numId="5">
    <w:abstractNumId w:val="8"/>
  </w:num>
  <w:num w:numId="6">
    <w:abstractNumId w:val="5"/>
  </w:num>
  <w:num w:numId="7">
    <w:abstractNumId w:val="6"/>
  </w:num>
  <w:num w:numId="8">
    <w:abstractNumId w:val="9"/>
  </w:num>
  <w:num w:numId="9">
    <w:abstractNumId w:val="4"/>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9C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914"/>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77ED9"/>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7ED"/>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4C"/>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549"/>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468"/>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245299"/>
    <w:rsid w:val="063A38BA"/>
    <w:rsid w:val="065F0AFE"/>
    <w:rsid w:val="06A62BA1"/>
    <w:rsid w:val="06D734E2"/>
    <w:rsid w:val="06F73921"/>
    <w:rsid w:val="06FE340B"/>
    <w:rsid w:val="0717277A"/>
    <w:rsid w:val="076B4EDA"/>
    <w:rsid w:val="07757D07"/>
    <w:rsid w:val="07825A77"/>
    <w:rsid w:val="07B77DA0"/>
    <w:rsid w:val="07E94368"/>
    <w:rsid w:val="083B4233"/>
    <w:rsid w:val="087C1F80"/>
    <w:rsid w:val="08B61EB5"/>
    <w:rsid w:val="097A5551"/>
    <w:rsid w:val="09855BE2"/>
    <w:rsid w:val="09B32EC2"/>
    <w:rsid w:val="09F020FF"/>
    <w:rsid w:val="0A36207A"/>
    <w:rsid w:val="0A395D8D"/>
    <w:rsid w:val="0AE442C3"/>
    <w:rsid w:val="0B0D4E56"/>
    <w:rsid w:val="0B3B565D"/>
    <w:rsid w:val="0BA16115"/>
    <w:rsid w:val="0BB21BB1"/>
    <w:rsid w:val="0C2C080F"/>
    <w:rsid w:val="0C376A21"/>
    <w:rsid w:val="0C4D3004"/>
    <w:rsid w:val="0CA84E01"/>
    <w:rsid w:val="0CB44256"/>
    <w:rsid w:val="0CCB66FC"/>
    <w:rsid w:val="0CF93852"/>
    <w:rsid w:val="0DD5274D"/>
    <w:rsid w:val="0E0C48A6"/>
    <w:rsid w:val="0E1951E4"/>
    <w:rsid w:val="0E50521E"/>
    <w:rsid w:val="0E7640A8"/>
    <w:rsid w:val="0EC02BE6"/>
    <w:rsid w:val="0F433F3F"/>
    <w:rsid w:val="0F512AE4"/>
    <w:rsid w:val="0F5E2DE3"/>
    <w:rsid w:val="0F974689"/>
    <w:rsid w:val="0FBE1CB2"/>
    <w:rsid w:val="0FD14118"/>
    <w:rsid w:val="100C1557"/>
    <w:rsid w:val="10206C98"/>
    <w:rsid w:val="107D33D6"/>
    <w:rsid w:val="10CB6F40"/>
    <w:rsid w:val="10DB530B"/>
    <w:rsid w:val="10E66C24"/>
    <w:rsid w:val="10EB6FCC"/>
    <w:rsid w:val="10FB0B18"/>
    <w:rsid w:val="11102173"/>
    <w:rsid w:val="119E5E17"/>
    <w:rsid w:val="11A75BA8"/>
    <w:rsid w:val="11AC3D53"/>
    <w:rsid w:val="11B5413C"/>
    <w:rsid w:val="11F20572"/>
    <w:rsid w:val="11F652A8"/>
    <w:rsid w:val="12225B65"/>
    <w:rsid w:val="12A04A8C"/>
    <w:rsid w:val="12C30776"/>
    <w:rsid w:val="131C406C"/>
    <w:rsid w:val="138A7A95"/>
    <w:rsid w:val="13CC6AC3"/>
    <w:rsid w:val="13DF26B6"/>
    <w:rsid w:val="13E83435"/>
    <w:rsid w:val="14597E11"/>
    <w:rsid w:val="1482587A"/>
    <w:rsid w:val="14C75338"/>
    <w:rsid w:val="14E14E14"/>
    <w:rsid w:val="14E17706"/>
    <w:rsid w:val="14EE5BE4"/>
    <w:rsid w:val="14FA466D"/>
    <w:rsid w:val="14FD15E3"/>
    <w:rsid w:val="1528363E"/>
    <w:rsid w:val="15346082"/>
    <w:rsid w:val="155A6753"/>
    <w:rsid w:val="15993FD3"/>
    <w:rsid w:val="16091F83"/>
    <w:rsid w:val="161B1EE1"/>
    <w:rsid w:val="166B05BC"/>
    <w:rsid w:val="16720049"/>
    <w:rsid w:val="168D2349"/>
    <w:rsid w:val="16977C20"/>
    <w:rsid w:val="1699424F"/>
    <w:rsid w:val="17151156"/>
    <w:rsid w:val="172D61FD"/>
    <w:rsid w:val="174771E0"/>
    <w:rsid w:val="177D0887"/>
    <w:rsid w:val="17B16255"/>
    <w:rsid w:val="17E611D0"/>
    <w:rsid w:val="18097DA2"/>
    <w:rsid w:val="180B1CB1"/>
    <w:rsid w:val="181925F4"/>
    <w:rsid w:val="18210FE9"/>
    <w:rsid w:val="18BB1670"/>
    <w:rsid w:val="193405F9"/>
    <w:rsid w:val="195C4F0C"/>
    <w:rsid w:val="19F56019"/>
    <w:rsid w:val="1A553D43"/>
    <w:rsid w:val="1A563B1D"/>
    <w:rsid w:val="1A611342"/>
    <w:rsid w:val="1A636F84"/>
    <w:rsid w:val="1AB63435"/>
    <w:rsid w:val="1ABF6B9F"/>
    <w:rsid w:val="1B552071"/>
    <w:rsid w:val="1B81710F"/>
    <w:rsid w:val="1B82251F"/>
    <w:rsid w:val="1BA27934"/>
    <w:rsid w:val="1C384EAA"/>
    <w:rsid w:val="1C964AE7"/>
    <w:rsid w:val="1CDF2C6B"/>
    <w:rsid w:val="1CEF435C"/>
    <w:rsid w:val="1CF72C06"/>
    <w:rsid w:val="1D1362B7"/>
    <w:rsid w:val="1D8B0FBF"/>
    <w:rsid w:val="1DEC1450"/>
    <w:rsid w:val="1E076D76"/>
    <w:rsid w:val="1E3F2038"/>
    <w:rsid w:val="1E42620B"/>
    <w:rsid w:val="1E5B7F42"/>
    <w:rsid w:val="1EAE7B5E"/>
    <w:rsid w:val="1F0459A1"/>
    <w:rsid w:val="1F087BE7"/>
    <w:rsid w:val="1F3B6850"/>
    <w:rsid w:val="1F4E569D"/>
    <w:rsid w:val="1FA56F65"/>
    <w:rsid w:val="201B41F0"/>
    <w:rsid w:val="206609C6"/>
    <w:rsid w:val="20726272"/>
    <w:rsid w:val="20844ACD"/>
    <w:rsid w:val="20890208"/>
    <w:rsid w:val="20A50C21"/>
    <w:rsid w:val="2133281F"/>
    <w:rsid w:val="21616551"/>
    <w:rsid w:val="21A60491"/>
    <w:rsid w:val="226203F1"/>
    <w:rsid w:val="226B01B0"/>
    <w:rsid w:val="22705D1D"/>
    <w:rsid w:val="22BA06F8"/>
    <w:rsid w:val="230541AD"/>
    <w:rsid w:val="23375015"/>
    <w:rsid w:val="23B03966"/>
    <w:rsid w:val="23F40B9F"/>
    <w:rsid w:val="24121863"/>
    <w:rsid w:val="242A6C55"/>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925FAE"/>
    <w:rsid w:val="28C20EEA"/>
    <w:rsid w:val="28E56262"/>
    <w:rsid w:val="28F33755"/>
    <w:rsid w:val="29B02469"/>
    <w:rsid w:val="29BB2026"/>
    <w:rsid w:val="29DF00F8"/>
    <w:rsid w:val="2A3E3419"/>
    <w:rsid w:val="2A476F4B"/>
    <w:rsid w:val="2A4C0381"/>
    <w:rsid w:val="2A607EB6"/>
    <w:rsid w:val="2AC6341B"/>
    <w:rsid w:val="2ADA1E54"/>
    <w:rsid w:val="2B0760A2"/>
    <w:rsid w:val="2B165FD3"/>
    <w:rsid w:val="2B424B73"/>
    <w:rsid w:val="2B4D3058"/>
    <w:rsid w:val="2B6E76D5"/>
    <w:rsid w:val="2B747FBC"/>
    <w:rsid w:val="2B852A53"/>
    <w:rsid w:val="2C71254F"/>
    <w:rsid w:val="2C902BF0"/>
    <w:rsid w:val="2C9A2640"/>
    <w:rsid w:val="2CA8352F"/>
    <w:rsid w:val="2CE07732"/>
    <w:rsid w:val="2CE82407"/>
    <w:rsid w:val="2D354290"/>
    <w:rsid w:val="2D6A1973"/>
    <w:rsid w:val="2D753490"/>
    <w:rsid w:val="2D7E0488"/>
    <w:rsid w:val="2DCC6F40"/>
    <w:rsid w:val="2E2266CC"/>
    <w:rsid w:val="2E340FF9"/>
    <w:rsid w:val="2E49644E"/>
    <w:rsid w:val="2E6E7587"/>
    <w:rsid w:val="2E7D6426"/>
    <w:rsid w:val="2EC13FC7"/>
    <w:rsid w:val="2EF87CF1"/>
    <w:rsid w:val="2F117B7C"/>
    <w:rsid w:val="2F2618AD"/>
    <w:rsid w:val="2F307F4D"/>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36F75F7"/>
    <w:rsid w:val="33803197"/>
    <w:rsid w:val="33A222D8"/>
    <w:rsid w:val="33ED538B"/>
    <w:rsid w:val="343A3A12"/>
    <w:rsid w:val="344E09D0"/>
    <w:rsid w:val="34940E12"/>
    <w:rsid w:val="34D37DB2"/>
    <w:rsid w:val="34DD1874"/>
    <w:rsid w:val="35141047"/>
    <w:rsid w:val="35180A32"/>
    <w:rsid w:val="3554536F"/>
    <w:rsid w:val="357D793A"/>
    <w:rsid w:val="35981AAD"/>
    <w:rsid w:val="359E0372"/>
    <w:rsid w:val="35CB282B"/>
    <w:rsid w:val="35D02726"/>
    <w:rsid w:val="35D54C83"/>
    <w:rsid w:val="35DE4B10"/>
    <w:rsid w:val="36F916B9"/>
    <w:rsid w:val="37264F35"/>
    <w:rsid w:val="37853E97"/>
    <w:rsid w:val="378E34C8"/>
    <w:rsid w:val="3821375F"/>
    <w:rsid w:val="383F42AF"/>
    <w:rsid w:val="386D1686"/>
    <w:rsid w:val="39140F75"/>
    <w:rsid w:val="39D14550"/>
    <w:rsid w:val="39D40A5E"/>
    <w:rsid w:val="3A5A37F4"/>
    <w:rsid w:val="3A9A0587"/>
    <w:rsid w:val="3ACE770D"/>
    <w:rsid w:val="3ACF184A"/>
    <w:rsid w:val="3ADE0247"/>
    <w:rsid w:val="3B4C52CF"/>
    <w:rsid w:val="3B6A34EA"/>
    <w:rsid w:val="3BEA4FCE"/>
    <w:rsid w:val="3C2705E0"/>
    <w:rsid w:val="3CB52021"/>
    <w:rsid w:val="3D123C30"/>
    <w:rsid w:val="3DAB0342"/>
    <w:rsid w:val="3E861D88"/>
    <w:rsid w:val="3FB13684"/>
    <w:rsid w:val="3FBD08F4"/>
    <w:rsid w:val="3FF1461A"/>
    <w:rsid w:val="409810E7"/>
    <w:rsid w:val="40A35FFF"/>
    <w:rsid w:val="40B32B7D"/>
    <w:rsid w:val="40C413F9"/>
    <w:rsid w:val="412008D4"/>
    <w:rsid w:val="412F7E1B"/>
    <w:rsid w:val="41F37F4D"/>
    <w:rsid w:val="42044F00"/>
    <w:rsid w:val="42507DAD"/>
    <w:rsid w:val="42660EA5"/>
    <w:rsid w:val="42A04671"/>
    <w:rsid w:val="42D4569E"/>
    <w:rsid w:val="42D947C3"/>
    <w:rsid w:val="42FA49BF"/>
    <w:rsid w:val="43ED2271"/>
    <w:rsid w:val="441366DC"/>
    <w:rsid w:val="4438416A"/>
    <w:rsid w:val="44830D6C"/>
    <w:rsid w:val="450C1383"/>
    <w:rsid w:val="45165FB0"/>
    <w:rsid w:val="452828B5"/>
    <w:rsid w:val="45E6424A"/>
    <w:rsid w:val="4623252E"/>
    <w:rsid w:val="463D17D1"/>
    <w:rsid w:val="464C3D74"/>
    <w:rsid w:val="46896F70"/>
    <w:rsid w:val="46A62584"/>
    <w:rsid w:val="46A870F6"/>
    <w:rsid w:val="46CF2BD2"/>
    <w:rsid w:val="47B7125D"/>
    <w:rsid w:val="47FB08BD"/>
    <w:rsid w:val="48465BDE"/>
    <w:rsid w:val="48657C65"/>
    <w:rsid w:val="48D3084E"/>
    <w:rsid w:val="49072A6A"/>
    <w:rsid w:val="493A4AA6"/>
    <w:rsid w:val="49695898"/>
    <w:rsid w:val="49B11E42"/>
    <w:rsid w:val="49E056FA"/>
    <w:rsid w:val="4A2510D4"/>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670B37"/>
    <w:rsid w:val="4EB023C9"/>
    <w:rsid w:val="4F3C271A"/>
    <w:rsid w:val="4FB52F70"/>
    <w:rsid w:val="4FF93C17"/>
    <w:rsid w:val="506C02B1"/>
    <w:rsid w:val="509D0C9B"/>
    <w:rsid w:val="50CB4E27"/>
    <w:rsid w:val="513874FA"/>
    <w:rsid w:val="51B82B30"/>
    <w:rsid w:val="51CB14D4"/>
    <w:rsid w:val="51D029B7"/>
    <w:rsid w:val="52222767"/>
    <w:rsid w:val="528D09F0"/>
    <w:rsid w:val="52E52488"/>
    <w:rsid w:val="532D0AA6"/>
    <w:rsid w:val="534E7C0F"/>
    <w:rsid w:val="535149E3"/>
    <w:rsid w:val="53E2002C"/>
    <w:rsid w:val="548E36FB"/>
    <w:rsid w:val="549D4A24"/>
    <w:rsid w:val="54F10CE9"/>
    <w:rsid w:val="55D627FF"/>
    <w:rsid w:val="55E324E4"/>
    <w:rsid w:val="55E70FF0"/>
    <w:rsid w:val="56433752"/>
    <w:rsid w:val="56716455"/>
    <w:rsid w:val="56981D68"/>
    <w:rsid w:val="569A309B"/>
    <w:rsid w:val="569B5AFA"/>
    <w:rsid w:val="56AB1B4D"/>
    <w:rsid w:val="56E462B2"/>
    <w:rsid w:val="56F71733"/>
    <w:rsid w:val="570B7366"/>
    <w:rsid w:val="573C6972"/>
    <w:rsid w:val="57511DCF"/>
    <w:rsid w:val="575634E5"/>
    <w:rsid w:val="58346E83"/>
    <w:rsid w:val="58630573"/>
    <w:rsid w:val="586A4293"/>
    <w:rsid w:val="58A41D5F"/>
    <w:rsid w:val="58A55CAF"/>
    <w:rsid w:val="58C02EA9"/>
    <w:rsid w:val="58C954F7"/>
    <w:rsid w:val="58E871E0"/>
    <w:rsid w:val="58F14725"/>
    <w:rsid w:val="58F858AA"/>
    <w:rsid w:val="59194463"/>
    <w:rsid w:val="59464091"/>
    <w:rsid w:val="59741536"/>
    <w:rsid w:val="5A4126B6"/>
    <w:rsid w:val="5B0608A4"/>
    <w:rsid w:val="5B0D701A"/>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CF1747"/>
    <w:rsid w:val="5FE34BFA"/>
    <w:rsid w:val="5FEF59F1"/>
    <w:rsid w:val="6034476A"/>
    <w:rsid w:val="604B398D"/>
    <w:rsid w:val="60B32BC0"/>
    <w:rsid w:val="60C064D3"/>
    <w:rsid w:val="613B3C82"/>
    <w:rsid w:val="615722E3"/>
    <w:rsid w:val="61F15E6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AC674C"/>
    <w:rsid w:val="68D072F5"/>
    <w:rsid w:val="68DD19AC"/>
    <w:rsid w:val="68EF2641"/>
    <w:rsid w:val="68F94975"/>
    <w:rsid w:val="692D3A23"/>
    <w:rsid w:val="693A4AE6"/>
    <w:rsid w:val="698D2330"/>
    <w:rsid w:val="69AE15E7"/>
    <w:rsid w:val="69D36BF1"/>
    <w:rsid w:val="6A383C24"/>
    <w:rsid w:val="6AF72089"/>
    <w:rsid w:val="6B81035E"/>
    <w:rsid w:val="6BB22514"/>
    <w:rsid w:val="6C3B3E30"/>
    <w:rsid w:val="6CF6512E"/>
    <w:rsid w:val="6D114D78"/>
    <w:rsid w:val="6D2E3F2F"/>
    <w:rsid w:val="6D4C705F"/>
    <w:rsid w:val="6D594031"/>
    <w:rsid w:val="6DBE706B"/>
    <w:rsid w:val="6DFF0DB9"/>
    <w:rsid w:val="6E470773"/>
    <w:rsid w:val="6E590AB8"/>
    <w:rsid w:val="6ED773B1"/>
    <w:rsid w:val="6F3B5685"/>
    <w:rsid w:val="6F3E5F21"/>
    <w:rsid w:val="6F72645F"/>
    <w:rsid w:val="700556DA"/>
    <w:rsid w:val="71DB63BE"/>
    <w:rsid w:val="71E54EEE"/>
    <w:rsid w:val="722F297B"/>
    <w:rsid w:val="72332818"/>
    <w:rsid w:val="727E7F67"/>
    <w:rsid w:val="731F187D"/>
    <w:rsid w:val="73770109"/>
    <w:rsid w:val="73BA09E1"/>
    <w:rsid w:val="73C734DE"/>
    <w:rsid w:val="73E76A24"/>
    <w:rsid w:val="747674F2"/>
    <w:rsid w:val="748E1E66"/>
    <w:rsid w:val="760102EA"/>
    <w:rsid w:val="76305CC2"/>
    <w:rsid w:val="763D56EB"/>
    <w:rsid w:val="764D3861"/>
    <w:rsid w:val="76524C31"/>
    <w:rsid w:val="765A641A"/>
    <w:rsid w:val="767E608D"/>
    <w:rsid w:val="771D5351"/>
    <w:rsid w:val="77720CF0"/>
    <w:rsid w:val="778F07F5"/>
    <w:rsid w:val="77BA518F"/>
    <w:rsid w:val="77BB4F79"/>
    <w:rsid w:val="78D2280F"/>
    <w:rsid w:val="78D25085"/>
    <w:rsid w:val="78E46577"/>
    <w:rsid w:val="792148B1"/>
    <w:rsid w:val="79352B64"/>
    <w:rsid w:val="793D3127"/>
    <w:rsid w:val="79473300"/>
    <w:rsid w:val="794E00F7"/>
    <w:rsid w:val="7959199E"/>
    <w:rsid w:val="795B52B7"/>
    <w:rsid w:val="79633F17"/>
    <w:rsid w:val="79CA09B0"/>
    <w:rsid w:val="79FD3E8A"/>
    <w:rsid w:val="7A1176C7"/>
    <w:rsid w:val="7A260344"/>
    <w:rsid w:val="7A481DD3"/>
    <w:rsid w:val="7A565BB2"/>
    <w:rsid w:val="7A582F7A"/>
    <w:rsid w:val="7AE6075D"/>
    <w:rsid w:val="7BB66EFF"/>
    <w:rsid w:val="7BBA4EA9"/>
    <w:rsid w:val="7BEB144E"/>
    <w:rsid w:val="7BF1730F"/>
    <w:rsid w:val="7BF844E8"/>
    <w:rsid w:val="7BF9211A"/>
    <w:rsid w:val="7C077139"/>
    <w:rsid w:val="7C1905CD"/>
    <w:rsid w:val="7CAD018E"/>
    <w:rsid w:val="7D4A732D"/>
    <w:rsid w:val="7D8E40BA"/>
    <w:rsid w:val="7DB93F63"/>
    <w:rsid w:val="7DBD5EEB"/>
    <w:rsid w:val="7DE91632"/>
    <w:rsid w:val="7E0E570E"/>
    <w:rsid w:val="7E110DAD"/>
    <w:rsid w:val="7E4A2BD0"/>
    <w:rsid w:val="7EC05525"/>
    <w:rsid w:val="7F4207F7"/>
    <w:rsid w:val="7F430C4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paragraph" w:customStyle="1" w:styleId="126">
    <w:name w:val="3GPP Normal Text"/>
    <w:basedOn w:val="16"/>
    <w:qFormat/>
    <w:uiPriority w:val="0"/>
    <w:pPr>
      <w:overflowPunct/>
      <w:autoSpaceDE/>
      <w:autoSpaceDN/>
      <w:adjustRightInd/>
      <w:spacing w:after="120"/>
      <w:jc w:val="both"/>
      <w:textAlignment w:val="auto"/>
    </w:pPr>
    <w:rPr>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8BBE2D-C769-429B-9A8F-A8572C215A4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765</Words>
  <Characters>4366</Characters>
  <Lines>36</Lines>
  <Paragraphs>10</Paragraphs>
  <TotalTime>1</TotalTime>
  <ScaleCrop>false</ScaleCrop>
  <LinksUpToDate>false</LinksUpToDate>
  <CharactersWithSpaces>5121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2019-09-30T08:06:53Z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