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98B2" w14:textId="35E57AB6" w:rsidR="007F637A" w:rsidRPr="00FD3DDC" w:rsidRDefault="007F637A" w:rsidP="007F637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</w:t>
      </w:r>
      <w:r w:rsidR="00B00159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2D3C0D">
        <w:rPr>
          <w:rFonts w:ascii="Arial" w:hAnsi="Arial" w:cs="Arial"/>
          <w:b/>
          <w:sz w:val="24"/>
          <w:szCs w:val="24"/>
        </w:rPr>
        <w:t>19</w:t>
      </w:r>
      <w:r w:rsidR="0026343C">
        <w:rPr>
          <w:rFonts w:ascii="Arial" w:hAnsi="Arial" w:cs="Arial"/>
          <w:b/>
          <w:sz w:val="24"/>
          <w:szCs w:val="24"/>
        </w:rPr>
        <w:t>06998</w:t>
      </w:r>
      <w:bookmarkStart w:id="0" w:name="_GoBack"/>
      <w:bookmarkEnd w:id="0"/>
    </w:p>
    <w:p w14:paraId="7B06AEC4" w14:textId="76BB57C0" w:rsidR="007F637A" w:rsidRDefault="00B00159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="002D3C0D" w:rsidRPr="00AD3FE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 w:rsidR="007F637A">
        <w:rPr>
          <w:rFonts w:ascii="Arial" w:hAnsi="Arial" w:cs="Arial"/>
          <w:b/>
          <w:sz w:val="24"/>
          <w:szCs w:val="24"/>
        </w:rPr>
        <w:t xml:space="preserve">– </w:t>
      </w:r>
      <w:r w:rsidR="002D3C0D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2D3C0D" w:rsidRPr="00FD3DDC">
        <w:rPr>
          <w:rFonts w:ascii="Arial" w:hAnsi="Arial" w:cs="Arial"/>
          <w:b/>
          <w:sz w:val="24"/>
          <w:szCs w:val="24"/>
          <w:vertAlign w:val="superscript"/>
        </w:rPr>
        <w:t>t</w:t>
      </w:r>
      <w:r w:rsidR="00305026">
        <w:rPr>
          <w:rFonts w:ascii="Arial" w:hAnsi="Arial" w:cs="Arial"/>
          <w:b/>
          <w:sz w:val="24"/>
          <w:szCs w:val="24"/>
          <w:vertAlign w:val="superscript"/>
        </w:rPr>
        <w:t>h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2D3C0D">
        <w:rPr>
          <w:rFonts w:ascii="Arial" w:hAnsi="Arial" w:cs="Arial"/>
          <w:b/>
          <w:sz w:val="24"/>
          <w:szCs w:val="24"/>
        </w:rPr>
        <w:t xml:space="preserve"> </w:t>
      </w:r>
      <w:r w:rsidR="00FD3DDC">
        <w:rPr>
          <w:rFonts w:ascii="Arial" w:hAnsi="Arial" w:cs="Arial"/>
          <w:b/>
          <w:sz w:val="24"/>
          <w:szCs w:val="24"/>
        </w:rPr>
        <w:t>2019</w:t>
      </w:r>
    </w:p>
    <w:p w14:paraId="4A6B87B1" w14:textId="3B25671E" w:rsidR="007F637A" w:rsidRPr="00FD021C" w:rsidRDefault="00B00159" w:rsidP="007F637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Reno</w:t>
      </w:r>
      <w:r w:rsidR="007F637A" w:rsidRPr="00AD3FE3"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USA</w:t>
      </w:r>
    </w:p>
    <w:p w14:paraId="64343616" w14:textId="77777777" w:rsidR="00E90E49" w:rsidRPr="007F637A" w:rsidRDefault="00E90E49" w:rsidP="00357380">
      <w:pPr>
        <w:pStyle w:val="3GPPHeader"/>
      </w:pPr>
    </w:p>
    <w:p w14:paraId="420BC6C1" w14:textId="3794458F" w:rsidR="00E90E49" w:rsidRPr="008F1C4E" w:rsidRDefault="00E90E49" w:rsidP="00311702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7C619A">
        <w:rPr>
          <w:sz w:val="22"/>
          <w:szCs w:val="22"/>
          <w:lang w:val="sv-FI"/>
        </w:rPr>
        <w:t>6.</w:t>
      </w:r>
      <w:r w:rsidR="00A21323">
        <w:rPr>
          <w:sz w:val="22"/>
          <w:szCs w:val="22"/>
          <w:lang w:val="sv-FI"/>
        </w:rPr>
        <w:t>2</w:t>
      </w:r>
      <w:r w:rsidR="007C619A">
        <w:rPr>
          <w:sz w:val="22"/>
          <w:szCs w:val="22"/>
          <w:lang w:val="sv-FI"/>
        </w:rPr>
        <w:t>.</w:t>
      </w:r>
      <w:r w:rsidR="00FD3120">
        <w:rPr>
          <w:sz w:val="22"/>
          <w:szCs w:val="22"/>
          <w:lang w:val="sv-FI"/>
        </w:rPr>
        <w:t>1</w:t>
      </w:r>
      <w:r w:rsidR="00A21323">
        <w:rPr>
          <w:sz w:val="22"/>
          <w:szCs w:val="22"/>
          <w:lang w:val="sv-FI"/>
        </w:rPr>
        <w:t>.</w:t>
      </w:r>
      <w:r w:rsidR="00BA445D">
        <w:rPr>
          <w:sz w:val="22"/>
          <w:szCs w:val="22"/>
          <w:lang w:val="sv-FI"/>
        </w:rPr>
        <w:t>8</w:t>
      </w:r>
    </w:p>
    <w:p w14:paraId="58D4AF01" w14:textId="5A435633" w:rsidR="00E90E49" w:rsidRPr="000F360A" w:rsidRDefault="003D3C45" w:rsidP="00F64C2B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="00E90E49" w:rsidRPr="000F360A">
        <w:rPr>
          <w:sz w:val="22"/>
          <w:szCs w:val="22"/>
        </w:rPr>
        <w:tab/>
      </w:r>
      <w:r w:rsidR="001733C3">
        <w:rPr>
          <w:sz w:val="22"/>
          <w:szCs w:val="22"/>
        </w:rPr>
        <w:t>Qualcomm</w:t>
      </w:r>
      <w:r w:rsidR="00C464AA">
        <w:rPr>
          <w:sz w:val="22"/>
          <w:szCs w:val="22"/>
        </w:rPr>
        <w:t xml:space="preserve"> Incorporated</w:t>
      </w:r>
    </w:p>
    <w:p w14:paraId="724AB1D8" w14:textId="12B06C67" w:rsidR="00E90E49" w:rsidRPr="000F360A" w:rsidRDefault="003D3C45" w:rsidP="00311702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="00E90E49" w:rsidRPr="000F360A">
        <w:rPr>
          <w:sz w:val="22"/>
          <w:szCs w:val="22"/>
        </w:rPr>
        <w:tab/>
      </w:r>
      <w:r w:rsidR="00D056D0">
        <w:rPr>
          <w:sz w:val="22"/>
          <w:szCs w:val="22"/>
        </w:rPr>
        <w:t>Use of control region</w:t>
      </w:r>
      <w:r w:rsidR="00FA0631" w:rsidRPr="00FA0631">
        <w:rPr>
          <w:sz w:val="22"/>
          <w:szCs w:val="22"/>
        </w:rPr>
        <w:t xml:space="preserve"> </w:t>
      </w:r>
      <w:r w:rsidR="00D056D0">
        <w:rPr>
          <w:sz w:val="22"/>
          <w:szCs w:val="22"/>
        </w:rPr>
        <w:t xml:space="preserve">for </w:t>
      </w:r>
      <w:proofErr w:type="spellStart"/>
      <w:r w:rsidR="00D056D0">
        <w:rPr>
          <w:sz w:val="22"/>
          <w:szCs w:val="22"/>
        </w:rPr>
        <w:t>eMTC</w:t>
      </w:r>
      <w:proofErr w:type="spellEnd"/>
      <w:r w:rsidR="00D056D0">
        <w:rPr>
          <w:sz w:val="22"/>
          <w:szCs w:val="22"/>
        </w:rPr>
        <w:t xml:space="preserve"> UEs</w:t>
      </w:r>
    </w:p>
    <w:p w14:paraId="3695AEAB" w14:textId="27F03C32" w:rsidR="00E90E49" w:rsidRPr="00CE0424" w:rsidRDefault="00E90E49" w:rsidP="00D546FF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 w:rsidR="007C619A"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5D6DBE6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2D986EB" w14:textId="43A4E6E1" w:rsidR="00051CEA" w:rsidRDefault="003C43C6" w:rsidP="00051CEA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In RAN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#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>9</w:t>
      </w:r>
      <w:r w:rsidR="00051CEA">
        <w:rPr>
          <w:rFonts w:eastAsia="Batang"/>
          <w:snapToGrid w:val="0"/>
          <w:kern w:val="2"/>
          <w:sz w:val="22"/>
          <w:szCs w:val="22"/>
          <w:lang w:eastAsia="ko-KR"/>
        </w:rPr>
        <w:t>6</w:t>
      </w:r>
      <w:r w:rsidR="00662586">
        <w:rPr>
          <w:rFonts w:eastAsia="Batang"/>
          <w:snapToGrid w:val="0"/>
          <w:kern w:val="2"/>
          <w:sz w:val="22"/>
          <w:szCs w:val="22"/>
          <w:lang w:eastAsia="ko-KR"/>
        </w:rPr>
        <w:t>bis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meeting, the following agreements for using LTE control region for DL transmission were achieved [</w:t>
      </w:r>
      <w:r w:rsidR="00A60814">
        <w:rPr>
          <w:rFonts w:eastAsia="Batang"/>
          <w:snapToGrid w:val="0"/>
          <w:kern w:val="2"/>
          <w:sz w:val="22"/>
          <w:szCs w:val="22"/>
          <w:lang w:eastAsia="ko-KR"/>
        </w:rPr>
        <w:t>1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]. </w:t>
      </w:r>
    </w:p>
    <w:p w14:paraId="4339D02F" w14:textId="77777777" w:rsidR="00051CEA" w:rsidRDefault="00051CEA" w:rsidP="00051CEA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lang w:eastAsia="ko-KR"/>
        </w:rPr>
      </w:pPr>
    </w:p>
    <w:p w14:paraId="288E84B8" w14:textId="77777777" w:rsidR="00051CEA" w:rsidRPr="00051CEA" w:rsidRDefault="00051CEA" w:rsidP="00051CEA">
      <w:pPr>
        <w:rPr>
          <w:b/>
          <w:sz w:val="22"/>
          <w:szCs w:val="22"/>
          <w:highlight w:val="green"/>
          <w:lang w:eastAsia="x-none"/>
        </w:rPr>
      </w:pPr>
      <w:r w:rsidRPr="00051CEA">
        <w:rPr>
          <w:b/>
          <w:sz w:val="22"/>
          <w:szCs w:val="22"/>
          <w:highlight w:val="green"/>
          <w:lang w:eastAsia="x-none"/>
        </w:rPr>
        <w:t>Agreement</w:t>
      </w:r>
    </w:p>
    <w:p w14:paraId="38090A62" w14:textId="77777777" w:rsidR="00662586" w:rsidRPr="00662586" w:rsidRDefault="00662586" w:rsidP="00662586">
      <w:pPr>
        <w:pStyle w:val="ListParagraph"/>
        <w:numPr>
          <w:ilvl w:val="0"/>
          <w:numId w:val="33"/>
        </w:numPr>
        <w:spacing w:after="120"/>
        <w:ind w:left="714" w:hanging="357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>When performing rate-matching for PDSCH in the LTE control region, all resource elements shall be counted in the PDSCH mapping, except for the ones reserved for cell-specific reference signals on any antenna port.</w:t>
      </w:r>
    </w:p>
    <w:p w14:paraId="5875BE0E" w14:textId="2C90587B" w:rsidR="00662586" w:rsidRPr="00662586" w:rsidRDefault="00662586" w:rsidP="00662586">
      <w:pPr>
        <w:pStyle w:val="ListParagraph"/>
        <w:numPr>
          <w:ilvl w:val="1"/>
          <w:numId w:val="33"/>
        </w:numPr>
        <w:spacing w:after="240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>Same as legacy operation</w:t>
      </w:r>
    </w:p>
    <w:p w14:paraId="77C5E698" w14:textId="77777777" w:rsidR="00662586" w:rsidRPr="00662586" w:rsidRDefault="00662586" w:rsidP="00662586">
      <w:pPr>
        <w:rPr>
          <w:b/>
          <w:highlight w:val="darkYellow"/>
          <w:lang w:eastAsia="x-none"/>
        </w:rPr>
      </w:pPr>
      <w:r w:rsidRPr="00662586">
        <w:rPr>
          <w:b/>
          <w:highlight w:val="darkYellow"/>
          <w:lang w:eastAsia="x-none"/>
        </w:rPr>
        <w:t>Working Assumption</w:t>
      </w:r>
    </w:p>
    <w:p w14:paraId="6B56D7D3" w14:textId="6A2F5965" w:rsidR="00662586" w:rsidRPr="00662586" w:rsidRDefault="00662586" w:rsidP="00662586">
      <w:pPr>
        <w:pStyle w:val="ListParagraph"/>
        <w:numPr>
          <w:ilvl w:val="0"/>
          <w:numId w:val="33"/>
        </w:numPr>
        <w:spacing w:after="240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For MPDCCH mapping, a fixed mapping in time is used. The resource elements used for MPDCCH in the first </w:t>
      </w:r>
      <w:proofErr w:type="spellStart"/>
      <w:r w:rsidRPr="00662586">
        <w:rPr>
          <w:rFonts w:ascii="Times New Roman" w:eastAsia="Batang" w:hAnsi="Times New Roman"/>
          <w:i/>
          <w:snapToGrid w:val="0"/>
          <w:kern w:val="2"/>
          <w:lang w:val="en-GB" w:eastAsia="ko-KR"/>
        </w:rPr>
        <w:t>l</w:t>
      </w:r>
      <w:r w:rsidRPr="00662586">
        <w:rPr>
          <w:rFonts w:ascii="Times New Roman" w:eastAsia="Batang" w:hAnsi="Times New Roman"/>
          <w:i/>
          <w:snapToGrid w:val="0"/>
          <w:kern w:val="2"/>
          <w:vertAlign w:val="subscript"/>
          <w:lang w:val="en-GB" w:eastAsia="ko-KR"/>
        </w:rPr>
        <w:t>MPDCCHStart</w:t>
      </w:r>
      <w:proofErr w:type="spellEnd"/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 </w:t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fldChar w:fldCharType="begin"/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  <m:t>MPDCCHStart</m:t>
            </m:r>
          </m:sub>
        </m:sSub>
      </m:oMath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instrText xml:space="preserve"> </w:instrText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fldChar w:fldCharType="end"/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>symbols in the second slot are copied into the first</w:t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fldChar w:fldCharType="begin"/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napToGrid w:val="0"/>
                <w:kern w:val="2"/>
                <w:lang w:val="en-GB" w:eastAsia="ko-KR"/>
              </w:rPr>
              <m:t>MPDCCHStart</m:t>
            </m:r>
          </m:sub>
        </m:sSub>
      </m:oMath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instrText xml:space="preserve"> </w:instrText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fldChar w:fldCharType="end"/>
      </w: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 </w:t>
      </w:r>
      <w:proofErr w:type="spellStart"/>
      <w:r w:rsidRPr="00662586">
        <w:rPr>
          <w:rFonts w:ascii="Times New Roman" w:eastAsia="Batang" w:hAnsi="Times New Roman"/>
          <w:i/>
          <w:snapToGrid w:val="0"/>
          <w:kern w:val="2"/>
          <w:lang w:val="en-GB" w:eastAsia="ko-KR"/>
        </w:rPr>
        <w:t>l</w:t>
      </w:r>
      <w:r w:rsidRPr="00662586">
        <w:rPr>
          <w:rFonts w:ascii="Times New Roman" w:eastAsia="Batang" w:hAnsi="Times New Roman"/>
          <w:i/>
          <w:snapToGrid w:val="0"/>
          <w:kern w:val="2"/>
          <w:vertAlign w:val="subscript"/>
          <w:lang w:val="en-GB" w:eastAsia="ko-KR"/>
        </w:rPr>
        <w:t>MPDCCHStart</w:t>
      </w:r>
      <w:proofErr w:type="spellEnd"/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 xml:space="preserve"> symbols in the first slot</w:t>
      </w:r>
    </w:p>
    <w:p w14:paraId="3E5DC2F4" w14:textId="77777777" w:rsidR="00662586" w:rsidRPr="00662586" w:rsidRDefault="00662586" w:rsidP="00662586">
      <w:pPr>
        <w:rPr>
          <w:b/>
          <w:lang w:eastAsia="x-none"/>
        </w:rPr>
      </w:pPr>
      <w:r w:rsidRPr="00662586">
        <w:rPr>
          <w:b/>
          <w:lang w:eastAsia="x-none"/>
        </w:rPr>
        <w:t>Conclusion</w:t>
      </w:r>
    </w:p>
    <w:p w14:paraId="2E0CD439" w14:textId="6560613B" w:rsidR="00662586" w:rsidRDefault="00662586" w:rsidP="00662586">
      <w:pPr>
        <w:pStyle w:val="ListParagraph"/>
        <w:numPr>
          <w:ilvl w:val="0"/>
          <w:numId w:val="33"/>
        </w:numPr>
        <w:spacing w:after="120"/>
        <w:ind w:left="714" w:hanging="357"/>
        <w:rPr>
          <w:rFonts w:ascii="Times New Roman" w:eastAsia="Batang" w:hAnsi="Times New Roman"/>
          <w:snapToGrid w:val="0"/>
          <w:kern w:val="2"/>
          <w:lang w:val="en-GB" w:eastAsia="ko-KR"/>
        </w:rPr>
      </w:pPr>
      <w:r w:rsidRPr="00662586">
        <w:rPr>
          <w:rFonts w:ascii="Times New Roman" w:eastAsia="Batang" w:hAnsi="Times New Roman"/>
          <w:snapToGrid w:val="0"/>
          <w:kern w:val="2"/>
          <w:lang w:val="en-GB" w:eastAsia="ko-KR"/>
        </w:rPr>
        <w:t>CRS modulation symbols in OFDM symbols 0 and 1 of the stand-alone carrier are the same as those in the legacy control channel region.</w:t>
      </w:r>
    </w:p>
    <w:p w14:paraId="3D7F007C" w14:textId="77777777" w:rsidR="00662586" w:rsidRPr="00662586" w:rsidRDefault="00662586" w:rsidP="00662586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56AAF8D4" w14:textId="1455BEA5" w:rsidR="00CB61F7" w:rsidRDefault="00FA0631" w:rsidP="00FA761F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bookmarkStart w:id="1" w:name="_Ref178064866"/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3C43C6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continue to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2D3C0D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FA761F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 xml:space="preserve">using LTE control region for DL transmission for </w:t>
      </w:r>
      <w:r w:rsidR="00051CEA">
        <w:rPr>
          <w:rFonts w:eastAsia="Batang"/>
          <w:snapToGrid w:val="0"/>
          <w:kern w:val="2"/>
          <w:sz w:val="22"/>
          <w:szCs w:val="22"/>
          <w:lang w:eastAsia="ko-KR"/>
        </w:rPr>
        <w:t>LTE-</w:t>
      </w:r>
      <w:r w:rsidR="00BA445D">
        <w:rPr>
          <w:rFonts w:eastAsia="Batang"/>
          <w:snapToGrid w:val="0"/>
          <w:kern w:val="2"/>
          <w:sz w:val="22"/>
          <w:szCs w:val="22"/>
          <w:lang w:eastAsia="ko-KR"/>
        </w:rPr>
        <w:t>MTC</w:t>
      </w:r>
      <w:r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</w:p>
    <w:bookmarkEnd w:id="1"/>
    <w:p w14:paraId="6085A115" w14:textId="59ECAA73" w:rsidR="004000E8" w:rsidRPr="00690821" w:rsidRDefault="00FA0631" w:rsidP="00690821">
      <w:pPr>
        <w:pStyle w:val="Heading1"/>
        <w:numPr>
          <w:ilvl w:val="0"/>
          <w:numId w:val="39"/>
        </w:numPr>
        <w:rPr>
          <w:rFonts w:eastAsia="宋体"/>
          <w:lang w:val="en-US" w:eastAsia="en-US"/>
        </w:rPr>
      </w:pPr>
      <w:r w:rsidRPr="00690821">
        <w:rPr>
          <w:rFonts w:eastAsia="宋体"/>
          <w:lang w:val="en-US" w:eastAsia="en-US"/>
        </w:rPr>
        <w:t>Discussion</w:t>
      </w:r>
    </w:p>
    <w:p w14:paraId="3B529463" w14:textId="5BC1A60F" w:rsidR="00F54278" w:rsidRPr="00F54278" w:rsidRDefault="00F54278" w:rsidP="00F54278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 w:rsidR="00A60814">
        <w:rPr>
          <w:sz w:val="28"/>
          <w:szCs w:val="28"/>
        </w:rPr>
        <w:t>1</w:t>
      </w:r>
      <w:r w:rsidR="00A60814"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MPDCCH</w:t>
      </w:r>
      <w:r w:rsidR="00A60814">
        <w:rPr>
          <w:sz w:val="28"/>
          <w:szCs w:val="28"/>
        </w:rPr>
        <w:t xml:space="preserve"> RE mapping</w:t>
      </w:r>
      <w:r>
        <w:rPr>
          <w:sz w:val="28"/>
          <w:szCs w:val="28"/>
        </w:rPr>
        <w:t xml:space="preserve"> in LTE control </w:t>
      </w:r>
      <w:r w:rsidRPr="00F54278">
        <w:rPr>
          <w:rFonts w:hint="eastAsia"/>
          <w:sz w:val="28"/>
          <w:szCs w:val="28"/>
        </w:rPr>
        <w:t>region</w:t>
      </w:r>
    </w:p>
    <w:p w14:paraId="12791DBE" w14:textId="15E3E22E" w:rsidR="00F44C12" w:rsidRPr="000267C3" w:rsidRDefault="00662586" w:rsidP="000267C3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b w:val="0"/>
          <w:kern w:val="2"/>
          <w:sz w:val="22"/>
          <w:szCs w:val="22"/>
        </w:rPr>
        <w:t xml:space="preserve">For MPDCCH RE mapping in LTE control region, the working assumption </w:t>
      </w:r>
      <w:r w:rsidR="000267C3">
        <w:rPr>
          <w:b w:val="0"/>
          <w:kern w:val="2"/>
          <w:sz w:val="22"/>
          <w:szCs w:val="22"/>
        </w:rPr>
        <w:t>made in the last meeting wa</w:t>
      </w:r>
      <w:r>
        <w:rPr>
          <w:b w:val="0"/>
          <w:kern w:val="2"/>
          <w:sz w:val="22"/>
          <w:szCs w:val="22"/>
        </w:rPr>
        <w:t>s use a fixed mapping, i.e. copy</w:t>
      </w:r>
      <w:r w:rsidR="000267C3">
        <w:rPr>
          <w:b w:val="0"/>
          <w:kern w:val="2"/>
          <w:sz w:val="22"/>
          <w:szCs w:val="22"/>
        </w:rPr>
        <w:t>ing</w:t>
      </w:r>
      <w:r>
        <w:rPr>
          <w:b w:val="0"/>
          <w:kern w:val="2"/>
          <w:sz w:val="22"/>
          <w:szCs w:val="22"/>
        </w:rPr>
        <w:t xml:space="preserve"> </w:t>
      </w:r>
      <w:r w:rsidRPr="00662586">
        <w:rPr>
          <w:b w:val="0"/>
          <w:kern w:val="2"/>
          <w:sz w:val="22"/>
          <w:szCs w:val="22"/>
        </w:rPr>
        <w:t xml:space="preserve">the first </w:t>
      </w:r>
      <w:proofErr w:type="spellStart"/>
      <w:r w:rsidRPr="00662586">
        <w:rPr>
          <w:b w:val="0"/>
          <w:i/>
          <w:kern w:val="2"/>
          <w:sz w:val="22"/>
          <w:szCs w:val="22"/>
        </w:rPr>
        <w:t>l</w:t>
      </w:r>
      <w:r w:rsidRPr="00662586">
        <w:rPr>
          <w:b w:val="0"/>
          <w:i/>
          <w:kern w:val="2"/>
          <w:sz w:val="22"/>
          <w:szCs w:val="22"/>
          <w:vertAlign w:val="subscript"/>
        </w:rPr>
        <w:t>MPDCCHStart</w:t>
      </w:r>
      <w:proofErr w:type="spellEnd"/>
      <w:r w:rsidRPr="00662586">
        <w:rPr>
          <w:b w:val="0"/>
          <w:kern w:val="2"/>
          <w:sz w:val="22"/>
          <w:szCs w:val="22"/>
        </w:rPr>
        <w:t xml:space="preserve"> </w:t>
      </w:r>
      <w:r w:rsidRPr="00662586">
        <w:rPr>
          <w:b w:val="0"/>
          <w:kern w:val="2"/>
          <w:sz w:val="22"/>
          <w:szCs w:val="22"/>
        </w:rPr>
        <w:fldChar w:fldCharType="begin"/>
      </w:r>
      <w:r w:rsidRPr="00662586">
        <w:rPr>
          <w:b w:val="0"/>
          <w:kern w:val="2"/>
          <w:sz w:val="22"/>
          <w:szCs w:val="2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 w:val="0"/>
                <w:kern w:val="2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kern w:val="2"/>
                <w:sz w:val="22"/>
                <w:szCs w:val="22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  <w:kern w:val="2"/>
                <w:sz w:val="22"/>
                <w:szCs w:val="22"/>
              </w:rPr>
              <m:t>MPDCCHStart</m:t>
            </m:r>
          </m:sub>
        </m:sSub>
      </m:oMath>
      <w:r w:rsidRPr="00662586">
        <w:rPr>
          <w:b w:val="0"/>
          <w:kern w:val="2"/>
          <w:sz w:val="22"/>
          <w:szCs w:val="22"/>
        </w:rPr>
        <w:instrText xml:space="preserve"> </w:instrText>
      </w:r>
      <w:r w:rsidRPr="00662586">
        <w:rPr>
          <w:b w:val="0"/>
          <w:kern w:val="2"/>
          <w:sz w:val="22"/>
          <w:szCs w:val="22"/>
        </w:rPr>
        <w:fldChar w:fldCharType="end"/>
      </w:r>
      <w:r w:rsidRPr="00662586">
        <w:rPr>
          <w:b w:val="0"/>
          <w:kern w:val="2"/>
          <w:sz w:val="22"/>
          <w:szCs w:val="22"/>
        </w:rPr>
        <w:t>symbols in the second slot</w:t>
      </w:r>
      <w:r>
        <w:rPr>
          <w:b w:val="0"/>
          <w:kern w:val="2"/>
          <w:sz w:val="22"/>
          <w:szCs w:val="22"/>
        </w:rPr>
        <w:t xml:space="preserve"> to the legacy LTE control region. This is because </w:t>
      </w:r>
      <w:r w:rsidR="000267C3">
        <w:rPr>
          <w:b w:val="0"/>
          <w:kern w:val="2"/>
          <w:sz w:val="22"/>
          <w:szCs w:val="22"/>
        </w:rPr>
        <w:t xml:space="preserve">of </w:t>
      </w:r>
      <w:r>
        <w:rPr>
          <w:b w:val="0"/>
          <w:kern w:val="2"/>
          <w:sz w:val="22"/>
          <w:szCs w:val="22"/>
        </w:rPr>
        <w:t xml:space="preserve">the </w:t>
      </w:r>
      <w:r w:rsidR="000267C3">
        <w:rPr>
          <w:b w:val="0"/>
          <w:kern w:val="2"/>
          <w:sz w:val="22"/>
          <w:szCs w:val="22"/>
        </w:rPr>
        <w:t xml:space="preserve">same </w:t>
      </w:r>
      <w:r>
        <w:rPr>
          <w:b w:val="0"/>
          <w:kern w:val="2"/>
          <w:sz w:val="22"/>
          <w:szCs w:val="22"/>
        </w:rPr>
        <w:t>CRS</w:t>
      </w:r>
      <w:r w:rsidR="000267C3">
        <w:rPr>
          <w:b w:val="0"/>
          <w:kern w:val="2"/>
          <w:sz w:val="22"/>
          <w:szCs w:val="22"/>
        </w:rPr>
        <w:t xml:space="preserve"> RE mapping in the first and second slots of the subframe thus achieving maximum RE utilization. Alternatively, </w:t>
      </w:r>
      <w:r w:rsidR="00E8205F" w:rsidRPr="000267C3">
        <w:rPr>
          <w:b w:val="0"/>
          <w:kern w:val="2"/>
          <w:sz w:val="22"/>
          <w:szCs w:val="22"/>
        </w:rPr>
        <w:t>a time-varying mapping was proposed</w:t>
      </w:r>
      <w:r w:rsidR="000267C3">
        <w:rPr>
          <w:b w:val="0"/>
          <w:kern w:val="2"/>
          <w:sz w:val="22"/>
          <w:szCs w:val="22"/>
        </w:rPr>
        <w:t xml:space="preserve"> in [2]</w:t>
      </w:r>
      <w:r w:rsidR="00E8205F" w:rsidRPr="000267C3">
        <w:rPr>
          <w:b w:val="0"/>
          <w:kern w:val="2"/>
          <w:sz w:val="22"/>
          <w:szCs w:val="22"/>
        </w:rPr>
        <w:t xml:space="preserve">. </w:t>
      </w:r>
      <w:r w:rsidR="000267C3">
        <w:rPr>
          <w:b w:val="0"/>
          <w:kern w:val="2"/>
          <w:sz w:val="22"/>
          <w:szCs w:val="22"/>
        </w:rPr>
        <w:t>Based on it</w:t>
      </w:r>
      <w:r w:rsidR="00E8205F" w:rsidRPr="000267C3">
        <w:rPr>
          <w:b w:val="0"/>
          <w:kern w:val="2"/>
          <w:sz w:val="22"/>
          <w:szCs w:val="22"/>
        </w:rPr>
        <w:t xml:space="preserve">, different </w:t>
      </w:r>
      <w:r w:rsidR="00F44C12" w:rsidRPr="000267C3">
        <w:rPr>
          <w:b w:val="0"/>
          <w:kern w:val="2"/>
          <w:sz w:val="22"/>
          <w:szCs w:val="22"/>
        </w:rPr>
        <w:t xml:space="preserve">MPDCCH symbols can be copied to LTE control region in a cyclic approach. For example, MPDCCH OFDM symbol #3, #4 and #5 are firstly copied to OFDM symbols #0, #1 and #2 for the first </w:t>
      </w:r>
      <w:proofErr w:type="spellStart"/>
      <w:r w:rsidR="00F44C12" w:rsidRPr="000267C3">
        <w:rPr>
          <w:b w:val="0"/>
          <w:kern w:val="2"/>
          <w:sz w:val="22"/>
          <w:szCs w:val="22"/>
        </w:rPr>
        <w:t>Y</w:t>
      </w:r>
      <w:r w:rsidR="00F44C12" w:rsidRPr="00F86C84">
        <w:rPr>
          <w:b w:val="0"/>
          <w:kern w:val="2"/>
          <w:sz w:val="22"/>
          <w:szCs w:val="22"/>
          <w:vertAlign w:val="subscript"/>
        </w:rPr>
        <w:t>ch</w:t>
      </w:r>
      <w:proofErr w:type="spellEnd"/>
      <w:r w:rsidR="00F44C12" w:rsidRPr="000267C3">
        <w:rPr>
          <w:b w:val="0"/>
          <w:kern w:val="2"/>
          <w:sz w:val="22"/>
          <w:szCs w:val="22"/>
        </w:rPr>
        <w:t xml:space="preserve"> consecutive subframes or the first narrowband, and MPDCCH OFDM symbol #6, #7 and #8 are then copied to OFDM symbols #0, #1 and #2 for the second </w:t>
      </w:r>
      <w:proofErr w:type="spellStart"/>
      <w:r w:rsidR="00F44C12" w:rsidRPr="000267C3">
        <w:rPr>
          <w:b w:val="0"/>
          <w:kern w:val="2"/>
          <w:sz w:val="22"/>
          <w:szCs w:val="22"/>
        </w:rPr>
        <w:t>Y</w:t>
      </w:r>
      <w:r w:rsidR="00F44C12" w:rsidRPr="00F86C84">
        <w:rPr>
          <w:b w:val="0"/>
          <w:kern w:val="2"/>
          <w:sz w:val="22"/>
          <w:szCs w:val="22"/>
          <w:vertAlign w:val="subscript"/>
        </w:rPr>
        <w:t>ch</w:t>
      </w:r>
      <w:proofErr w:type="spellEnd"/>
      <w:r w:rsidR="00F44C12" w:rsidRPr="000267C3">
        <w:rPr>
          <w:b w:val="0"/>
          <w:kern w:val="2"/>
          <w:sz w:val="22"/>
          <w:szCs w:val="22"/>
        </w:rPr>
        <w:t xml:space="preserve"> consecutive subframes or the second narrowband of the MPDCCH, and so on. </w:t>
      </w:r>
      <w:r w:rsidR="00F86C84">
        <w:rPr>
          <w:b w:val="0"/>
          <w:kern w:val="2"/>
          <w:sz w:val="22"/>
          <w:szCs w:val="22"/>
        </w:rPr>
        <w:t xml:space="preserve">The </w:t>
      </w:r>
      <w:r w:rsidR="00115A67" w:rsidRPr="000267C3">
        <w:rPr>
          <w:b w:val="0"/>
          <w:kern w:val="2"/>
          <w:sz w:val="22"/>
          <w:szCs w:val="22"/>
        </w:rPr>
        <w:t>c</w:t>
      </w:r>
      <w:r w:rsidR="00F44C12" w:rsidRPr="000267C3">
        <w:rPr>
          <w:b w:val="0"/>
          <w:kern w:val="2"/>
          <w:sz w:val="22"/>
          <w:szCs w:val="22"/>
        </w:rPr>
        <w:t xml:space="preserve">ycling through different MPDCCH symbols </w:t>
      </w:r>
      <w:r w:rsidR="00115A67" w:rsidRPr="000267C3">
        <w:rPr>
          <w:b w:val="0"/>
          <w:kern w:val="2"/>
          <w:sz w:val="22"/>
          <w:szCs w:val="22"/>
        </w:rPr>
        <w:t xml:space="preserve">would increase implementation complexity. In addition, due </w:t>
      </w:r>
      <w:r w:rsidR="00115A67" w:rsidRPr="000267C3">
        <w:rPr>
          <w:b w:val="0"/>
          <w:kern w:val="2"/>
          <w:sz w:val="22"/>
          <w:szCs w:val="22"/>
        </w:rPr>
        <w:lastRenderedPageBreak/>
        <w:t xml:space="preserve">to different RS pattern (i.e. CRS and DMRS) in LTE control region, the cycling mapping will not fully utilize the REs in LTE control region and may incur a performance loss compared to the non-cycling mapping. </w:t>
      </w:r>
    </w:p>
    <w:p w14:paraId="4FE8EF7D" w14:textId="3290218D" w:rsidR="00E8205F" w:rsidRDefault="00115A67" w:rsidP="00E8205F">
      <w:pPr>
        <w:pStyle w:val="LGTdoc1"/>
        <w:spacing w:beforeLines="0" w:before="120" w:after="220" w:afterAutospacing="0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 xml:space="preserve">igure </w:t>
      </w:r>
      <w:r w:rsidR="00F86C84">
        <w:rPr>
          <w:b w:val="0"/>
          <w:kern w:val="2"/>
          <w:sz w:val="22"/>
          <w:szCs w:val="22"/>
        </w:rPr>
        <w:t>1</w:t>
      </w:r>
      <w:r>
        <w:rPr>
          <w:b w:val="0"/>
          <w:kern w:val="2"/>
          <w:sz w:val="22"/>
          <w:szCs w:val="22"/>
        </w:rPr>
        <w:t xml:space="preserve"> and </w:t>
      </w:r>
      <w:r w:rsidR="00F86C84">
        <w:rPr>
          <w:b w:val="0"/>
          <w:kern w:val="2"/>
          <w:sz w:val="22"/>
          <w:szCs w:val="22"/>
        </w:rPr>
        <w:t>2</w:t>
      </w:r>
      <w:r>
        <w:rPr>
          <w:b w:val="0"/>
          <w:kern w:val="2"/>
          <w:sz w:val="22"/>
          <w:szCs w:val="22"/>
        </w:rPr>
        <w:t xml:space="preserve"> compare the performance between the cycling and non-cycling mapping. PDSCH </w:t>
      </w:r>
      <w:r w:rsidR="009A3CCF">
        <w:rPr>
          <w:b w:val="0"/>
          <w:kern w:val="2"/>
          <w:sz w:val="22"/>
          <w:szCs w:val="22"/>
        </w:rPr>
        <w:t xml:space="preserve">performance is evaluated by selecting </w:t>
      </w:r>
      <w:proofErr w:type="gramStart"/>
      <w:r w:rsidR="00F86C84">
        <w:rPr>
          <w:b w:val="0"/>
          <w:kern w:val="2"/>
          <w:sz w:val="22"/>
          <w:szCs w:val="22"/>
        </w:rPr>
        <w:t>a</w:t>
      </w:r>
      <w:proofErr w:type="gramEnd"/>
      <w:r w:rsidR="009A3CCF">
        <w:rPr>
          <w:b w:val="0"/>
          <w:kern w:val="2"/>
          <w:sz w:val="22"/>
          <w:szCs w:val="22"/>
        </w:rPr>
        <w:t xml:space="preserve"> MCS achiev</w:t>
      </w:r>
      <w:r w:rsidR="00F86C84">
        <w:rPr>
          <w:b w:val="0"/>
          <w:kern w:val="2"/>
          <w:sz w:val="22"/>
          <w:szCs w:val="22"/>
        </w:rPr>
        <w:t>ing</w:t>
      </w:r>
      <w:r w:rsidR="009A3CCF">
        <w:rPr>
          <w:b w:val="0"/>
          <w:kern w:val="2"/>
          <w:sz w:val="22"/>
          <w:szCs w:val="22"/>
        </w:rPr>
        <w:t xml:space="preserve"> a similar </w:t>
      </w:r>
      <w:r>
        <w:rPr>
          <w:b w:val="0"/>
          <w:kern w:val="2"/>
          <w:sz w:val="22"/>
          <w:szCs w:val="22"/>
        </w:rPr>
        <w:t xml:space="preserve">coding rate </w:t>
      </w:r>
      <w:r w:rsidR="00F86C84">
        <w:rPr>
          <w:b w:val="0"/>
          <w:kern w:val="2"/>
          <w:sz w:val="22"/>
          <w:szCs w:val="22"/>
        </w:rPr>
        <w:t>of</w:t>
      </w:r>
      <w:r>
        <w:rPr>
          <w:b w:val="0"/>
          <w:kern w:val="2"/>
          <w:sz w:val="22"/>
          <w:szCs w:val="22"/>
        </w:rPr>
        <w:t xml:space="preserve"> MPDCCH</w:t>
      </w:r>
      <w:r w:rsidR="009A3CCF">
        <w:rPr>
          <w:b w:val="0"/>
          <w:kern w:val="2"/>
          <w:sz w:val="22"/>
          <w:szCs w:val="22"/>
        </w:rPr>
        <w:t xml:space="preserve"> for which we consider a typical DCI size of K=</w:t>
      </w:r>
      <w:r w:rsidR="00073D3A">
        <w:rPr>
          <w:b w:val="0"/>
          <w:kern w:val="2"/>
          <w:sz w:val="22"/>
          <w:szCs w:val="22"/>
        </w:rPr>
        <w:t>2</w:t>
      </w:r>
      <w:r w:rsidR="009A3CCF">
        <w:rPr>
          <w:b w:val="0"/>
          <w:kern w:val="2"/>
          <w:sz w:val="22"/>
          <w:szCs w:val="22"/>
        </w:rPr>
        <w:t>9 + 16 bits CRC</w:t>
      </w:r>
      <w:r>
        <w:rPr>
          <w:b w:val="0"/>
          <w:kern w:val="2"/>
          <w:sz w:val="22"/>
          <w:szCs w:val="22"/>
        </w:rPr>
        <w:t xml:space="preserve">. </w:t>
      </w:r>
      <w:r w:rsidR="009A3CCF">
        <w:rPr>
          <w:b w:val="0"/>
          <w:kern w:val="2"/>
          <w:sz w:val="22"/>
          <w:szCs w:val="22"/>
        </w:rPr>
        <w:t xml:space="preserve">Figure </w:t>
      </w:r>
      <w:r w:rsidR="00F86C84">
        <w:rPr>
          <w:b w:val="0"/>
          <w:kern w:val="2"/>
          <w:sz w:val="22"/>
          <w:szCs w:val="22"/>
        </w:rPr>
        <w:t>1</w:t>
      </w:r>
      <w:r w:rsidR="009A3CCF">
        <w:rPr>
          <w:b w:val="0"/>
          <w:kern w:val="2"/>
          <w:sz w:val="22"/>
          <w:szCs w:val="22"/>
        </w:rPr>
        <w:t xml:space="preserve"> shows the performance of PDSCH in 2 RBs with MCS 6 with CR=1/2, approximate</w:t>
      </w:r>
      <w:r w:rsidR="00F86C84">
        <w:rPr>
          <w:b w:val="0"/>
          <w:kern w:val="2"/>
          <w:sz w:val="22"/>
          <w:szCs w:val="22"/>
        </w:rPr>
        <w:t>ly</w:t>
      </w:r>
      <w:r w:rsidR="009A3CCF">
        <w:rPr>
          <w:b w:val="0"/>
          <w:kern w:val="2"/>
          <w:sz w:val="22"/>
          <w:szCs w:val="22"/>
        </w:rPr>
        <w:t xml:space="preserve"> to MPDCCH with AL=2 and 2 PRB set, and Figure </w:t>
      </w:r>
      <w:r w:rsidR="00F86C84">
        <w:rPr>
          <w:b w:val="0"/>
          <w:kern w:val="2"/>
          <w:sz w:val="22"/>
          <w:szCs w:val="22"/>
        </w:rPr>
        <w:t>2</w:t>
      </w:r>
      <w:r w:rsidR="009A3CCF">
        <w:rPr>
          <w:b w:val="0"/>
          <w:kern w:val="2"/>
          <w:sz w:val="22"/>
          <w:szCs w:val="22"/>
        </w:rPr>
        <w:t xml:space="preserve"> is for PDSCH in 4 RBs with MCS 2 with CR=1/4, approximate</w:t>
      </w:r>
      <w:r w:rsidR="00F86C84">
        <w:rPr>
          <w:b w:val="0"/>
          <w:kern w:val="2"/>
          <w:sz w:val="22"/>
          <w:szCs w:val="22"/>
        </w:rPr>
        <w:t>ly</w:t>
      </w:r>
      <w:r w:rsidR="009A3CCF">
        <w:rPr>
          <w:b w:val="0"/>
          <w:kern w:val="2"/>
          <w:sz w:val="22"/>
          <w:szCs w:val="22"/>
        </w:rPr>
        <w:t xml:space="preserve"> to MPDCCH with AL=4 and 4 PRB set.</w:t>
      </w:r>
      <w:r w:rsidR="00073D3A">
        <w:rPr>
          <w:b w:val="0"/>
          <w:kern w:val="2"/>
          <w:sz w:val="22"/>
          <w:szCs w:val="22"/>
        </w:rPr>
        <w:t xml:space="preserve"> As seen from the figure</w:t>
      </w:r>
      <w:r w:rsidR="00F86C84">
        <w:rPr>
          <w:b w:val="0"/>
          <w:kern w:val="2"/>
          <w:sz w:val="22"/>
          <w:szCs w:val="22"/>
        </w:rPr>
        <w:t>s</w:t>
      </w:r>
      <w:r w:rsidR="00073D3A">
        <w:rPr>
          <w:b w:val="0"/>
          <w:kern w:val="2"/>
          <w:sz w:val="22"/>
          <w:szCs w:val="22"/>
        </w:rPr>
        <w:t xml:space="preserve">, </w:t>
      </w:r>
      <w:r w:rsidR="00F86C84">
        <w:rPr>
          <w:b w:val="0"/>
          <w:kern w:val="2"/>
          <w:sz w:val="22"/>
          <w:szCs w:val="22"/>
        </w:rPr>
        <w:t xml:space="preserve">the cycling and non-cycling mapping </w:t>
      </w:r>
      <w:r w:rsidR="00073D3A">
        <w:rPr>
          <w:b w:val="0"/>
          <w:kern w:val="2"/>
          <w:sz w:val="22"/>
          <w:szCs w:val="22"/>
        </w:rPr>
        <w:t>options have the similar performance.</w:t>
      </w:r>
      <w:r w:rsidR="00AC4852">
        <w:rPr>
          <w:b w:val="0"/>
          <w:kern w:val="2"/>
          <w:sz w:val="22"/>
          <w:szCs w:val="22"/>
        </w:rPr>
        <w:t xml:space="preserve"> There is no </w:t>
      </w:r>
      <w:r w:rsidR="00F86C84">
        <w:rPr>
          <w:b w:val="0"/>
          <w:kern w:val="2"/>
          <w:sz w:val="22"/>
          <w:szCs w:val="22"/>
        </w:rPr>
        <w:t xml:space="preserve">obvious </w:t>
      </w:r>
      <w:r w:rsidR="00AC4852">
        <w:rPr>
          <w:b w:val="0"/>
          <w:kern w:val="2"/>
          <w:sz w:val="22"/>
          <w:szCs w:val="22"/>
        </w:rPr>
        <w:t>SNR improvement from the cycling mapping.</w:t>
      </w:r>
    </w:p>
    <w:p w14:paraId="71E35E65" w14:textId="7AAE01AD" w:rsidR="00073D3A" w:rsidRDefault="00073D3A" w:rsidP="00AC4852">
      <w:pPr>
        <w:pStyle w:val="LGTdoc1"/>
        <w:spacing w:beforeLines="0" w:after="120" w:afterAutospacing="0"/>
        <w:jc w:val="center"/>
        <w:rPr>
          <w:b w:val="0"/>
          <w:kern w:val="2"/>
          <w:sz w:val="22"/>
          <w:szCs w:val="22"/>
        </w:rPr>
      </w:pPr>
      <w:r w:rsidRPr="00073D3A">
        <w:rPr>
          <w:rFonts w:hint="eastAsia"/>
          <w:noProof/>
        </w:rPr>
        <w:drawing>
          <wp:inline distT="0" distB="0" distL="0" distR="0" wp14:anchorId="11904211" wp14:editId="1D5F863E">
            <wp:extent cx="4825504" cy="28594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749" cy="286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353F2" w14:textId="382E1DA8" w:rsidR="00AC4852" w:rsidRPr="00AC4852" w:rsidRDefault="00AC4852" w:rsidP="00AC4852">
      <w:pPr>
        <w:pStyle w:val="LGTdoc1"/>
        <w:spacing w:beforeLines="0" w:before="120" w:after="120" w:afterAutospacing="0"/>
        <w:jc w:val="center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 xml:space="preserve">igure </w:t>
      </w:r>
      <w:r w:rsidR="00F86C84">
        <w:rPr>
          <w:b w:val="0"/>
          <w:kern w:val="2"/>
          <w:sz w:val="22"/>
          <w:szCs w:val="22"/>
        </w:rPr>
        <w:t>1</w:t>
      </w:r>
      <w:r>
        <w:rPr>
          <w:b w:val="0"/>
          <w:kern w:val="2"/>
          <w:sz w:val="22"/>
          <w:szCs w:val="22"/>
        </w:rPr>
        <w:t xml:space="preserve">: </w:t>
      </w:r>
      <w:r w:rsidRPr="00AC4852">
        <w:rPr>
          <w:b w:val="0"/>
          <w:kern w:val="2"/>
          <w:sz w:val="22"/>
          <w:szCs w:val="22"/>
        </w:rPr>
        <w:t>Block error rate performance, PD</w:t>
      </w:r>
      <w:r>
        <w:rPr>
          <w:b w:val="0"/>
          <w:kern w:val="2"/>
          <w:sz w:val="22"/>
          <w:szCs w:val="22"/>
        </w:rPr>
        <w:t>S</w:t>
      </w:r>
      <w:r w:rsidRPr="00AC4852">
        <w:rPr>
          <w:b w:val="0"/>
          <w:kern w:val="2"/>
          <w:sz w:val="22"/>
          <w:szCs w:val="22"/>
        </w:rPr>
        <w:t xml:space="preserve">CH, </w:t>
      </w:r>
      <w:r>
        <w:rPr>
          <w:b w:val="0"/>
          <w:kern w:val="2"/>
          <w:sz w:val="22"/>
          <w:szCs w:val="22"/>
        </w:rPr>
        <w:t>MCS</w:t>
      </w:r>
      <w:r w:rsidRPr="00AC4852">
        <w:rPr>
          <w:b w:val="0"/>
          <w:kern w:val="2"/>
          <w:sz w:val="22"/>
          <w:szCs w:val="22"/>
        </w:rPr>
        <w:t>=</w:t>
      </w:r>
      <w:r>
        <w:rPr>
          <w:b w:val="0"/>
          <w:kern w:val="2"/>
          <w:sz w:val="22"/>
          <w:szCs w:val="22"/>
        </w:rPr>
        <w:t>6</w:t>
      </w:r>
      <w:r w:rsidRPr="00AC4852">
        <w:rPr>
          <w:b w:val="0"/>
          <w:kern w:val="2"/>
          <w:sz w:val="22"/>
          <w:szCs w:val="22"/>
        </w:rPr>
        <w:t xml:space="preserve">, </w:t>
      </w:r>
      <w:proofErr w:type="spellStart"/>
      <w:r>
        <w:rPr>
          <w:b w:val="0"/>
          <w:kern w:val="2"/>
          <w:sz w:val="22"/>
          <w:szCs w:val="22"/>
        </w:rPr>
        <w:t>NumRB</w:t>
      </w:r>
      <w:proofErr w:type="spellEnd"/>
      <w:r>
        <w:rPr>
          <w:b w:val="0"/>
          <w:kern w:val="2"/>
          <w:sz w:val="22"/>
          <w:szCs w:val="22"/>
        </w:rPr>
        <w:t>=2</w:t>
      </w:r>
    </w:p>
    <w:p w14:paraId="1A514732" w14:textId="4230FF63" w:rsidR="00AC4852" w:rsidRDefault="00AC4852" w:rsidP="00AC4852">
      <w:pPr>
        <w:pStyle w:val="LGTdoc1"/>
        <w:spacing w:beforeLines="0" w:after="120" w:afterAutospacing="0"/>
        <w:jc w:val="center"/>
        <w:rPr>
          <w:b w:val="0"/>
          <w:kern w:val="2"/>
          <w:sz w:val="22"/>
          <w:szCs w:val="22"/>
        </w:rPr>
      </w:pPr>
      <w:r w:rsidRPr="00AC4852">
        <w:rPr>
          <w:rFonts w:hint="eastAsia"/>
          <w:noProof/>
        </w:rPr>
        <w:drawing>
          <wp:inline distT="0" distB="0" distL="0" distR="0" wp14:anchorId="428E8587" wp14:editId="38FDB4EC">
            <wp:extent cx="4902694" cy="2859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655" cy="2864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24DC8" w14:textId="63B1BB86" w:rsidR="00AC4852" w:rsidRPr="00E8205F" w:rsidRDefault="00AC4852" w:rsidP="00AC4852">
      <w:pPr>
        <w:pStyle w:val="LGTdoc1"/>
        <w:spacing w:beforeLines="0" w:after="120" w:afterAutospacing="0"/>
        <w:jc w:val="center"/>
        <w:rPr>
          <w:b w:val="0"/>
          <w:kern w:val="2"/>
          <w:sz w:val="22"/>
          <w:szCs w:val="22"/>
        </w:rPr>
      </w:pPr>
      <w:r>
        <w:rPr>
          <w:rFonts w:hint="eastAsia"/>
          <w:b w:val="0"/>
          <w:kern w:val="2"/>
          <w:sz w:val="22"/>
          <w:szCs w:val="22"/>
        </w:rPr>
        <w:t>F</w:t>
      </w:r>
      <w:r>
        <w:rPr>
          <w:b w:val="0"/>
          <w:kern w:val="2"/>
          <w:sz w:val="22"/>
          <w:szCs w:val="22"/>
        </w:rPr>
        <w:t xml:space="preserve">igure </w:t>
      </w:r>
      <w:r w:rsidR="00F86C84">
        <w:rPr>
          <w:b w:val="0"/>
          <w:kern w:val="2"/>
          <w:sz w:val="22"/>
          <w:szCs w:val="22"/>
        </w:rPr>
        <w:t>2</w:t>
      </w:r>
      <w:r>
        <w:rPr>
          <w:b w:val="0"/>
          <w:kern w:val="2"/>
          <w:sz w:val="22"/>
          <w:szCs w:val="22"/>
        </w:rPr>
        <w:t xml:space="preserve">: </w:t>
      </w:r>
      <w:r w:rsidRPr="00AC4852">
        <w:rPr>
          <w:b w:val="0"/>
          <w:kern w:val="2"/>
          <w:sz w:val="22"/>
          <w:szCs w:val="22"/>
        </w:rPr>
        <w:t>Block error rate performance, PD</w:t>
      </w:r>
      <w:r>
        <w:rPr>
          <w:b w:val="0"/>
          <w:kern w:val="2"/>
          <w:sz w:val="22"/>
          <w:szCs w:val="22"/>
        </w:rPr>
        <w:t>S</w:t>
      </w:r>
      <w:r w:rsidRPr="00AC4852">
        <w:rPr>
          <w:b w:val="0"/>
          <w:kern w:val="2"/>
          <w:sz w:val="22"/>
          <w:szCs w:val="22"/>
        </w:rPr>
        <w:t xml:space="preserve">CH, </w:t>
      </w:r>
      <w:r>
        <w:rPr>
          <w:b w:val="0"/>
          <w:kern w:val="2"/>
          <w:sz w:val="22"/>
          <w:szCs w:val="22"/>
        </w:rPr>
        <w:t>MCS</w:t>
      </w:r>
      <w:r w:rsidRPr="00AC4852">
        <w:rPr>
          <w:b w:val="0"/>
          <w:kern w:val="2"/>
          <w:sz w:val="22"/>
          <w:szCs w:val="22"/>
        </w:rPr>
        <w:t>=</w:t>
      </w:r>
      <w:r>
        <w:rPr>
          <w:b w:val="0"/>
          <w:kern w:val="2"/>
          <w:sz w:val="22"/>
          <w:szCs w:val="22"/>
        </w:rPr>
        <w:t>2</w:t>
      </w:r>
      <w:r w:rsidRPr="00AC4852">
        <w:rPr>
          <w:b w:val="0"/>
          <w:kern w:val="2"/>
          <w:sz w:val="22"/>
          <w:szCs w:val="22"/>
        </w:rPr>
        <w:t xml:space="preserve">, </w:t>
      </w:r>
      <w:proofErr w:type="spellStart"/>
      <w:r>
        <w:rPr>
          <w:b w:val="0"/>
          <w:kern w:val="2"/>
          <w:sz w:val="22"/>
          <w:szCs w:val="22"/>
        </w:rPr>
        <w:t>NumRB</w:t>
      </w:r>
      <w:proofErr w:type="spellEnd"/>
      <w:r>
        <w:rPr>
          <w:b w:val="0"/>
          <w:kern w:val="2"/>
          <w:sz w:val="22"/>
          <w:szCs w:val="22"/>
        </w:rPr>
        <w:t>=4</w:t>
      </w:r>
    </w:p>
    <w:p w14:paraId="1046C4C6" w14:textId="10A37CA2" w:rsidR="00AE5C8C" w:rsidRDefault="00AE5C8C" w:rsidP="00F64705">
      <w:pPr>
        <w:pStyle w:val="LGTdoc1"/>
        <w:spacing w:beforeLines="0" w:before="24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1A2AF4">
        <w:rPr>
          <w:sz w:val="22"/>
          <w:szCs w:val="22"/>
          <w:u w:val="single"/>
        </w:rPr>
        <w:t>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F86C84">
        <w:rPr>
          <w:sz w:val="22"/>
          <w:szCs w:val="22"/>
        </w:rPr>
        <w:t xml:space="preserve">Confirm the working assumption on the fixed </w:t>
      </w:r>
      <w:r>
        <w:rPr>
          <w:sz w:val="22"/>
          <w:szCs w:val="22"/>
        </w:rPr>
        <w:t xml:space="preserve">MPDCCH </w:t>
      </w:r>
      <w:r w:rsidR="00F86C84">
        <w:rPr>
          <w:sz w:val="22"/>
          <w:szCs w:val="22"/>
        </w:rPr>
        <w:t>RE mapping</w:t>
      </w:r>
      <w:r>
        <w:rPr>
          <w:sz w:val="22"/>
          <w:szCs w:val="22"/>
        </w:rPr>
        <w:t xml:space="preserve"> in LTE control region, </w:t>
      </w:r>
      <w:r w:rsidR="00F86C84">
        <w:rPr>
          <w:sz w:val="22"/>
          <w:szCs w:val="22"/>
        </w:rPr>
        <w:t xml:space="preserve">i.e. copying </w:t>
      </w:r>
      <w:r w:rsidR="001A2AF4">
        <w:rPr>
          <w:sz w:val="22"/>
          <w:szCs w:val="22"/>
        </w:rPr>
        <w:t xml:space="preserve">the first </w:t>
      </w:r>
      <w:proofErr w:type="spellStart"/>
      <w:r w:rsidR="00F86C84" w:rsidRPr="00F86C84">
        <w:rPr>
          <w:i/>
          <w:snapToGrid/>
          <w:kern w:val="2"/>
          <w:sz w:val="22"/>
        </w:rPr>
        <w:t>l</w:t>
      </w:r>
      <w:r w:rsidR="00F86C84" w:rsidRPr="00F86C84">
        <w:rPr>
          <w:i/>
          <w:snapToGrid/>
          <w:kern w:val="2"/>
          <w:sz w:val="22"/>
          <w:vertAlign w:val="subscript"/>
        </w:rPr>
        <w:t>MPDCCHStart</w:t>
      </w:r>
      <w:proofErr w:type="spellEnd"/>
      <w:r w:rsidR="00F86C84" w:rsidRPr="00F86C84">
        <w:rPr>
          <w:snapToGrid/>
          <w:kern w:val="2"/>
          <w:sz w:val="22"/>
        </w:rPr>
        <w:t xml:space="preserve"> </w:t>
      </w:r>
      <w:r w:rsidR="00F86C84" w:rsidRPr="00662586">
        <w:rPr>
          <w:snapToGrid/>
          <w:kern w:val="2"/>
        </w:rPr>
        <w:fldChar w:fldCharType="begin"/>
      </w:r>
      <w:r w:rsidR="00F86C84" w:rsidRPr="00662586">
        <w:rPr>
          <w:snapToGrid/>
          <w:kern w:val="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napToGrid/>
                <w:kern w:val="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napToGrid/>
                <w:kern w:val="2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  <w:snapToGrid/>
                <w:kern w:val="2"/>
              </w:rPr>
              <m:t>MPDCCHStart</m:t>
            </m:r>
          </m:sub>
        </m:sSub>
      </m:oMath>
      <w:r w:rsidR="00F86C84" w:rsidRPr="00662586">
        <w:rPr>
          <w:snapToGrid/>
          <w:kern w:val="2"/>
        </w:rPr>
        <w:instrText xml:space="preserve"> </w:instrText>
      </w:r>
      <w:r w:rsidR="00F86C84" w:rsidRPr="00662586">
        <w:rPr>
          <w:snapToGrid/>
          <w:kern w:val="2"/>
        </w:rPr>
        <w:fldChar w:fldCharType="end"/>
      </w:r>
      <w:r w:rsidR="001A2AF4">
        <w:rPr>
          <w:sz w:val="22"/>
          <w:szCs w:val="22"/>
        </w:rPr>
        <w:t xml:space="preserve">symbols of the second slot </w:t>
      </w:r>
      <w:r w:rsidR="00F86C84">
        <w:rPr>
          <w:sz w:val="22"/>
          <w:szCs w:val="22"/>
        </w:rPr>
        <w:t>to</w:t>
      </w:r>
      <w:r>
        <w:rPr>
          <w:sz w:val="22"/>
          <w:szCs w:val="22"/>
        </w:rPr>
        <w:t xml:space="preserve"> LTE control region</w:t>
      </w:r>
      <w:r w:rsidR="001A2AF4">
        <w:rPr>
          <w:sz w:val="22"/>
          <w:szCs w:val="22"/>
        </w:rPr>
        <w:t>.</w:t>
      </w:r>
    </w:p>
    <w:p w14:paraId="201CE80A" w14:textId="0325472B" w:rsidR="001A2AF4" w:rsidRPr="00F54278" w:rsidRDefault="001A2AF4" w:rsidP="001A2AF4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2</w:t>
      </w:r>
      <w:r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TDD Special subframe</w:t>
      </w:r>
    </w:p>
    <w:p w14:paraId="03183674" w14:textId="13368D24" w:rsidR="00995758" w:rsidRDefault="001A2AF4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Currently, both PDSCH and MPDCCH are not allowed to transmit in TDD special subframe configuration 0 and 5.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This is because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 xml:space="preserve">when excluding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>OFDM symbol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s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reserved for 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control region the available REs for PDSCH and MPDCCH transmission is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very small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. However, if control region is used for PDSCH and MPDCCH transmission, 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all the three OFDM symbols of 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>TDD special subframe configuration 0 and 5</w:t>
      </w:r>
      <w:r w:rsidR="00A91D64">
        <w:rPr>
          <w:rFonts w:eastAsia="Batang"/>
          <w:snapToGrid w:val="0"/>
          <w:kern w:val="2"/>
          <w:sz w:val="22"/>
          <w:szCs w:val="22"/>
          <w:lang w:eastAsia="ko-KR"/>
        </w:rPr>
        <w:t xml:space="preserve"> can be used, and it seems possible to support PDSCH and MPDCCH in TDD special subframe configuration 0 and 5.</w:t>
      </w:r>
      <w:r w:rsidR="00995758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</w:p>
    <w:p w14:paraId="0119A838" w14:textId="77777777" w:rsidR="00995758" w:rsidRPr="00FD3DDC" w:rsidRDefault="00995758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</w:p>
    <w:p w14:paraId="1599CDD1" w14:textId="60788F05" w:rsidR="00A91D64" w:rsidRPr="00FD3DDC" w:rsidRDefault="00A91D64" w:rsidP="001A2AF4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For backward compatibility, MPDCCH transmission in TDD special subframe configuration 0 and 5 is supported only for MPDCCH mapped to UE specific search space without repetition. A new ECCE may be defined. For example, the number of EREGs per ECCE can be increased to 16, corresponding to 1 ECCE per PRB pair. Alternatively, we can reuse the ECCE definition for TDD special subframe configuration 1, 2, 6, 7, 9 or 10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i.e. using N=8 for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ECCE to E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REG mapping but </w:t>
      </w:r>
      <w:r w:rsidR="00CB5142">
        <w:rPr>
          <w:rFonts w:eastAsia="Batang"/>
          <w:snapToGrid w:val="0"/>
          <w:kern w:val="2"/>
          <w:sz w:val="22"/>
          <w:szCs w:val="22"/>
          <w:lang w:eastAsia="ko-KR"/>
        </w:rPr>
        <w:t>restrict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the supported aggregation levels for MPDCCH in special subframe configuration 0/5 by excluding the case of AL=1. </w:t>
      </w:r>
    </w:p>
    <w:p w14:paraId="391F4DEF" w14:textId="0620DEC8" w:rsidR="001A2AF4" w:rsidRDefault="001A2AF4" w:rsidP="001A2AF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0D6251">
        <w:rPr>
          <w:sz w:val="22"/>
          <w:szCs w:val="22"/>
          <w:u w:val="single"/>
        </w:rPr>
        <w:t>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 w:rsidR="000D6251">
        <w:rPr>
          <w:sz w:val="22"/>
          <w:szCs w:val="22"/>
        </w:rPr>
        <w:t xml:space="preserve">Support </w:t>
      </w:r>
      <w:r>
        <w:rPr>
          <w:sz w:val="22"/>
          <w:szCs w:val="22"/>
        </w:rPr>
        <w:t xml:space="preserve">MPDCCH/PDSCH transmission in </w:t>
      </w:r>
      <w:r w:rsidR="000D6251">
        <w:rPr>
          <w:sz w:val="22"/>
          <w:szCs w:val="22"/>
        </w:rPr>
        <w:t xml:space="preserve">TDD </w:t>
      </w:r>
      <w:r>
        <w:rPr>
          <w:sz w:val="22"/>
          <w:szCs w:val="22"/>
        </w:rPr>
        <w:t>special subframe configuration 0</w:t>
      </w:r>
      <w:r w:rsidR="000D6251">
        <w:rPr>
          <w:sz w:val="22"/>
          <w:szCs w:val="22"/>
        </w:rPr>
        <w:t xml:space="preserve"> and </w:t>
      </w:r>
      <w:r>
        <w:rPr>
          <w:sz w:val="22"/>
          <w:szCs w:val="22"/>
        </w:rPr>
        <w:t>5</w:t>
      </w:r>
      <w:r w:rsidR="00F86C84">
        <w:rPr>
          <w:sz w:val="22"/>
          <w:szCs w:val="22"/>
        </w:rPr>
        <w:t xml:space="preserve"> </w:t>
      </w:r>
      <w:r w:rsidR="00C47A26">
        <w:rPr>
          <w:sz w:val="22"/>
          <w:szCs w:val="22"/>
        </w:rPr>
        <w:t>for</w:t>
      </w:r>
      <w:r w:rsidR="00F86C84">
        <w:rPr>
          <w:sz w:val="22"/>
          <w:szCs w:val="22"/>
        </w:rPr>
        <w:t xml:space="preserve"> MPDCCH/PDSCH transmission without repetition</w:t>
      </w:r>
      <w:r w:rsidR="000D6251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56DB33AC" w14:textId="37E707A8" w:rsidR="00F86C84" w:rsidRPr="0068319D" w:rsidRDefault="00F86C84" w:rsidP="001A2AF4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MPDCCH/PDSCH transmission </w:t>
      </w:r>
      <w:r w:rsidR="00C47A26">
        <w:rPr>
          <w:sz w:val="22"/>
          <w:szCs w:val="22"/>
        </w:rPr>
        <w:t>with repetition, the special subframe usage is same as Rel-13.</w:t>
      </w:r>
    </w:p>
    <w:p w14:paraId="29DD28D1" w14:textId="5DAC407D" w:rsidR="00AB4372" w:rsidRPr="00F54278" w:rsidRDefault="00AB4372" w:rsidP="00AB4372">
      <w:pPr>
        <w:pStyle w:val="Heading2"/>
        <w:spacing w:before="120"/>
        <w:rPr>
          <w:sz w:val="28"/>
          <w:szCs w:val="28"/>
        </w:rPr>
      </w:pPr>
      <w:r w:rsidRPr="00F54278">
        <w:rPr>
          <w:sz w:val="28"/>
          <w:szCs w:val="28"/>
        </w:rPr>
        <w:t>2.</w:t>
      </w:r>
      <w:r w:rsidR="00DA549C">
        <w:rPr>
          <w:sz w:val="28"/>
          <w:szCs w:val="28"/>
        </w:rPr>
        <w:t>3</w:t>
      </w:r>
      <w:r w:rsidRPr="00F54278">
        <w:rPr>
          <w:sz w:val="28"/>
          <w:szCs w:val="28"/>
        </w:rPr>
        <w:t xml:space="preserve"> </w:t>
      </w:r>
      <w:r>
        <w:rPr>
          <w:sz w:val="28"/>
          <w:szCs w:val="28"/>
        </w:rPr>
        <w:t>Configuration</w:t>
      </w:r>
    </w:p>
    <w:p w14:paraId="042EC6E0" w14:textId="5AF4C4CF" w:rsidR="00690821" w:rsidRDefault="00C47A26" w:rsidP="00690821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/>
          <w:snapToGrid w:val="0"/>
          <w:kern w:val="2"/>
          <w:sz w:val="22"/>
          <w:szCs w:val="22"/>
          <w:lang w:eastAsia="ko-KR"/>
        </w:rPr>
        <w:t>It was agreed that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the usage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of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LTE control region for MPDCCH/PDSCH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wa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s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supported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also 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</w:t>
      </w:r>
      <w:proofErr w:type="spellStart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>inband</w:t>
      </w:r>
      <w:proofErr w:type="spellEnd"/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deployment w</w:t>
      </w:r>
      <w:r w:rsidR="005A06CE">
        <w:rPr>
          <w:rFonts w:eastAsia="Batang"/>
          <w:snapToGrid w:val="0"/>
          <w:kern w:val="2"/>
          <w:sz w:val="22"/>
          <w:szCs w:val="22"/>
          <w:lang w:eastAsia="ko-KR"/>
        </w:rPr>
        <w:t>ith NR. Differe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nt from LTE, 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downlink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control channel in NR is not wideband transmitted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 but based on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CORESET (control resource set). Therefore,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supporting the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coexistence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FA1D0C">
        <w:rPr>
          <w:rFonts w:eastAsia="Batang"/>
          <w:snapToGrid w:val="0"/>
          <w:kern w:val="2"/>
          <w:sz w:val="22"/>
          <w:szCs w:val="22"/>
          <w:lang w:eastAsia="ko-KR"/>
        </w:rPr>
        <w:t>with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NR, the use of control region for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LTE-MTC 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DL transmission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shall be flexible supporting the non-wideband resource reservation for NR CORESET</w:t>
      </w:r>
      <w:r w:rsidR="000D6251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For example,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the NR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CORESET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may be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configured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only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>in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some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 subframes in time domain and in some </w:t>
      </w:r>
      <w:proofErr w:type="spellStart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>narrowbands</w:t>
      </w:r>
      <w:proofErr w:type="spellEnd"/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in frequency domain</w:t>
      </w:r>
      <w:r w:rsidR="00AD43FB">
        <w:rPr>
          <w:rFonts w:eastAsia="Batang"/>
          <w:snapToGrid w:val="0"/>
          <w:kern w:val="2"/>
          <w:sz w:val="22"/>
          <w:szCs w:val="22"/>
          <w:lang w:eastAsia="ko-KR"/>
        </w:rPr>
        <w:t xml:space="preserve">. 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 xml:space="preserve">In 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such case</w:t>
      </w:r>
      <w:r w:rsidR="00F33D50">
        <w:rPr>
          <w:rFonts w:eastAsia="Batang"/>
          <w:snapToGrid w:val="0"/>
          <w:kern w:val="2"/>
          <w:sz w:val="22"/>
          <w:szCs w:val="22"/>
          <w:lang w:eastAsia="ko-KR"/>
        </w:rPr>
        <w:t>, the configuration of using LTE control region for MPDCCH/PDSCH transmission can be narrowband and subframe specific.</w:t>
      </w:r>
    </w:p>
    <w:p w14:paraId="4A2D56A5" w14:textId="5A9DB9E9" w:rsidR="00AD43FB" w:rsidRPr="0068319D" w:rsidRDefault="00AD43FB" w:rsidP="00AD43FB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C47A26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</w:t>
      </w:r>
      <w:r w:rsidR="00F33D50">
        <w:rPr>
          <w:sz w:val="22"/>
          <w:szCs w:val="22"/>
        </w:rPr>
        <w:t>configuration</w:t>
      </w:r>
      <w:r>
        <w:rPr>
          <w:sz w:val="22"/>
          <w:szCs w:val="22"/>
        </w:rPr>
        <w:t xml:space="preserve"> of </w:t>
      </w:r>
      <w:r w:rsidR="00F33D50">
        <w:rPr>
          <w:sz w:val="22"/>
          <w:szCs w:val="22"/>
        </w:rPr>
        <w:t xml:space="preserve">using </w:t>
      </w:r>
      <w:r>
        <w:rPr>
          <w:sz w:val="22"/>
          <w:szCs w:val="22"/>
        </w:rPr>
        <w:t xml:space="preserve">LTE control region </w:t>
      </w:r>
      <w:r w:rsidR="00F33D50">
        <w:rPr>
          <w:sz w:val="22"/>
          <w:szCs w:val="22"/>
        </w:rPr>
        <w:t xml:space="preserve">for MPDCCH/PDSCH </w:t>
      </w:r>
      <w:r>
        <w:rPr>
          <w:sz w:val="22"/>
          <w:szCs w:val="22"/>
        </w:rPr>
        <w:t xml:space="preserve">can be narrowband </w:t>
      </w:r>
      <w:r w:rsidR="00F33D50">
        <w:rPr>
          <w:sz w:val="22"/>
          <w:szCs w:val="22"/>
        </w:rPr>
        <w:t>and subframe</w:t>
      </w:r>
      <w:r>
        <w:rPr>
          <w:sz w:val="22"/>
          <w:szCs w:val="22"/>
        </w:rPr>
        <w:t xml:space="preserve"> specific </w:t>
      </w:r>
    </w:p>
    <w:p w14:paraId="527BA53C" w14:textId="19D4682F" w:rsidR="002037A4" w:rsidRDefault="00697EBC" w:rsidP="002037A4">
      <w:pPr>
        <w:pStyle w:val="Heading1"/>
      </w:pPr>
      <w:r>
        <w:t>3</w:t>
      </w:r>
      <w:r w:rsidR="002037A4">
        <w:tab/>
        <w:t>Summary</w:t>
      </w:r>
    </w:p>
    <w:p w14:paraId="3E18BF19" w14:textId="562C6710" w:rsidR="002037A4" w:rsidRDefault="002037A4" w:rsidP="00D165E7">
      <w:pPr>
        <w:widowControl w:val="0"/>
        <w:wordWrap w:val="0"/>
        <w:spacing w:after="120"/>
        <w:contextualSpacing/>
        <w:jc w:val="both"/>
        <w:rPr>
          <w:rFonts w:eastAsia="Batang"/>
          <w:snapToGrid w:val="0"/>
          <w:kern w:val="2"/>
          <w:sz w:val="22"/>
          <w:szCs w:val="22"/>
          <w:lang w:eastAsia="ko-KR"/>
        </w:rPr>
      </w:pPr>
      <w:r>
        <w:rPr>
          <w:rFonts w:eastAsia="Batang" w:hint="eastAsia"/>
          <w:snapToGrid w:val="0"/>
          <w:kern w:val="2"/>
          <w:sz w:val="22"/>
          <w:szCs w:val="22"/>
          <w:lang w:eastAsia="ko-KR"/>
        </w:rPr>
        <w:t xml:space="preserve">In this contribution, we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discuss the </w:t>
      </w:r>
      <w:r w:rsidR="00FD3DDC">
        <w:rPr>
          <w:rFonts w:eastAsia="Batang"/>
          <w:snapToGrid w:val="0"/>
          <w:kern w:val="2"/>
          <w:sz w:val="22"/>
          <w:szCs w:val="22"/>
          <w:lang w:eastAsia="ko-KR"/>
        </w:rPr>
        <w:t xml:space="preserve">remaining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 xml:space="preserve">aspects 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>f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or</w:t>
      </w:r>
      <w:r w:rsidR="00697EBC" w:rsidRPr="00FA0631">
        <w:rPr>
          <w:rFonts w:eastAsia="Batang"/>
          <w:snapToGrid w:val="0"/>
          <w:kern w:val="2"/>
          <w:sz w:val="22"/>
          <w:szCs w:val="22"/>
          <w:lang w:eastAsia="ko-KR"/>
        </w:rPr>
        <w:t xml:space="preserve">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using the control region for MPDCCH/PDSCH to the BL/CE UE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 xml:space="preserve">. We have the following </w:t>
      </w:r>
      <w:r w:rsidR="00697EBC">
        <w:rPr>
          <w:rFonts w:eastAsia="Batang"/>
          <w:snapToGrid w:val="0"/>
          <w:kern w:val="2"/>
          <w:sz w:val="22"/>
          <w:szCs w:val="22"/>
          <w:lang w:eastAsia="ko-KR"/>
        </w:rPr>
        <w:t>proposals</w:t>
      </w:r>
      <w:r>
        <w:rPr>
          <w:rFonts w:eastAsia="Batang"/>
          <w:snapToGrid w:val="0"/>
          <w:kern w:val="2"/>
          <w:sz w:val="22"/>
          <w:szCs w:val="22"/>
          <w:lang w:eastAsia="ko-KR"/>
        </w:rPr>
        <w:t>:</w:t>
      </w:r>
    </w:p>
    <w:p w14:paraId="6FFE751B" w14:textId="77777777" w:rsidR="00F86C84" w:rsidRDefault="00F86C84" w:rsidP="00F86C84">
      <w:pPr>
        <w:pStyle w:val="LGTdoc1"/>
        <w:spacing w:beforeLines="0" w:before="240" w:after="220" w:afterAutospacing="0"/>
        <w:rPr>
          <w:sz w:val="22"/>
          <w:szCs w:val="22"/>
        </w:rPr>
      </w:pPr>
      <w:bookmarkStart w:id="2" w:name="_In-sequence_SDU_delivery"/>
      <w:bookmarkEnd w:id="2"/>
      <w:r>
        <w:rPr>
          <w:sz w:val="22"/>
          <w:szCs w:val="22"/>
          <w:u w:val="single"/>
        </w:rPr>
        <w:t>Proposal 1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Confirm the working assumption on the fixed MPDCCH RE mapping in LTE control region, i.e. copying the first </w:t>
      </w:r>
      <w:proofErr w:type="spellStart"/>
      <w:r w:rsidRPr="00F86C84">
        <w:rPr>
          <w:i/>
          <w:snapToGrid/>
          <w:kern w:val="2"/>
          <w:sz w:val="22"/>
        </w:rPr>
        <w:t>l</w:t>
      </w:r>
      <w:r w:rsidRPr="00F86C84">
        <w:rPr>
          <w:i/>
          <w:snapToGrid/>
          <w:kern w:val="2"/>
          <w:sz w:val="22"/>
          <w:vertAlign w:val="subscript"/>
        </w:rPr>
        <w:t>MPDCCHStart</w:t>
      </w:r>
      <w:proofErr w:type="spellEnd"/>
      <w:r w:rsidRPr="00F86C84">
        <w:rPr>
          <w:snapToGrid/>
          <w:kern w:val="2"/>
          <w:sz w:val="22"/>
        </w:rPr>
        <w:t xml:space="preserve"> </w:t>
      </w:r>
      <w:r w:rsidRPr="00662586">
        <w:rPr>
          <w:snapToGrid/>
          <w:kern w:val="2"/>
        </w:rPr>
        <w:fldChar w:fldCharType="begin"/>
      </w:r>
      <w:r w:rsidRPr="00662586">
        <w:rPr>
          <w:snapToGrid/>
          <w:kern w:val="2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napToGrid/>
                <w:kern w:val="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napToGrid/>
                <w:kern w:val="2"/>
              </w:rPr>
              <m:t>l</m:t>
            </m:r>
          </m:e>
          <m:sub>
            <m:r>
              <m:rPr>
                <m:sty m:val="b"/>
              </m:rPr>
              <w:rPr>
                <w:rFonts w:ascii="Cambria Math" w:hAnsi="Cambria Math"/>
                <w:snapToGrid/>
                <w:kern w:val="2"/>
              </w:rPr>
              <m:t>MPDCCHStart</m:t>
            </m:r>
          </m:sub>
        </m:sSub>
      </m:oMath>
      <w:r w:rsidRPr="00662586">
        <w:rPr>
          <w:snapToGrid/>
          <w:kern w:val="2"/>
        </w:rPr>
        <w:instrText xml:space="preserve"> </w:instrText>
      </w:r>
      <w:r w:rsidRPr="00662586">
        <w:rPr>
          <w:snapToGrid/>
          <w:kern w:val="2"/>
        </w:rPr>
        <w:fldChar w:fldCharType="end"/>
      </w:r>
      <w:r>
        <w:rPr>
          <w:sz w:val="22"/>
          <w:szCs w:val="22"/>
        </w:rPr>
        <w:t>symbols of the second slot to LTE control region.</w:t>
      </w:r>
    </w:p>
    <w:p w14:paraId="474BC0A0" w14:textId="77777777" w:rsidR="00C47A26" w:rsidRDefault="00C47A26" w:rsidP="00C47A26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2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Support MPDCCH/PDSCH transmission in TDD special subframe configuration 0 and 5 for MPDCCH/PDSCH transmission without repetition. </w:t>
      </w:r>
    </w:p>
    <w:p w14:paraId="40299324" w14:textId="77777777" w:rsidR="00C47A26" w:rsidRPr="0068319D" w:rsidRDefault="00C47A26" w:rsidP="00C47A26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>Proposal 3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>For MPDCCH/PDSCH transmission with repetition, the special subframe usage is same as Rel-13.</w:t>
      </w:r>
    </w:p>
    <w:p w14:paraId="72BA5F48" w14:textId="63F98802" w:rsidR="00F33D50" w:rsidRPr="0068319D" w:rsidRDefault="00F33D50" w:rsidP="00F33D50">
      <w:pPr>
        <w:pStyle w:val="LGTdoc1"/>
        <w:spacing w:beforeLines="0" w:before="120" w:after="220" w:afterAutospacing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Proposal </w:t>
      </w:r>
      <w:r w:rsidR="00C47A26">
        <w:rPr>
          <w:sz w:val="22"/>
          <w:szCs w:val="22"/>
          <w:u w:val="single"/>
        </w:rPr>
        <w:t>4</w:t>
      </w:r>
      <w:r w:rsidRPr="0068319D">
        <w:rPr>
          <w:sz w:val="22"/>
          <w:szCs w:val="22"/>
          <w:u w:val="single"/>
        </w:rPr>
        <w:t>:</w:t>
      </w:r>
      <w:r w:rsidRPr="0068319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configuration of using LTE control region for MPDCCH/PDSCH can be narrowband and subframe specific </w:t>
      </w:r>
    </w:p>
    <w:p w14:paraId="13599CCC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3321CA24" w14:textId="583E46D5" w:rsidR="00E8205F" w:rsidRDefault="005A06CE" w:rsidP="005A06C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 w:rsidRPr="00504EAE">
        <w:rPr>
          <w:rFonts w:ascii="Times New Roman" w:hAnsi="Times New Roman"/>
          <w:snapToGrid w:val="0"/>
          <w:sz w:val="22"/>
          <w:szCs w:val="22"/>
        </w:rPr>
        <w:t>[</w:t>
      </w:r>
      <w:r w:rsidR="00A60814">
        <w:rPr>
          <w:rFonts w:ascii="Times New Roman" w:hAnsi="Times New Roman"/>
          <w:snapToGrid w:val="0"/>
          <w:sz w:val="22"/>
          <w:szCs w:val="22"/>
        </w:rPr>
        <w:t>1</w:t>
      </w:r>
      <w:r w:rsidRPr="00504EAE">
        <w:rPr>
          <w:rFonts w:ascii="Times New Roman" w:hAnsi="Times New Roman"/>
          <w:snapToGrid w:val="0"/>
          <w:sz w:val="22"/>
          <w:szCs w:val="22"/>
        </w:rPr>
        <w:t>]</w:t>
      </w:r>
      <w:r w:rsidRPr="00504EAE">
        <w:rPr>
          <w:rFonts w:ascii="Times New Roman" w:hAnsi="Times New Roman"/>
          <w:snapToGrid w:val="0"/>
          <w:sz w:val="22"/>
          <w:szCs w:val="22"/>
        </w:rPr>
        <w:tab/>
      </w:r>
      <w:r>
        <w:rPr>
          <w:rFonts w:ascii="Times New Roman" w:hAnsi="Times New Roman"/>
          <w:snapToGrid w:val="0"/>
          <w:sz w:val="22"/>
          <w:szCs w:val="22"/>
        </w:rPr>
        <w:t>3GPP RAN1#</w:t>
      </w:r>
      <w:r w:rsidR="00A60814">
        <w:rPr>
          <w:rFonts w:ascii="Times New Roman" w:hAnsi="Times New Roman"/>
          <w:snapToGrid w:val="0"/>
          <w:sz w:val="22"/>
          <w:szCs w:val="22"/>
        </w:rPr>
        <w:t>9</w:t>
      </w:r>
      <w:r w:rsidR="00E8205F">
        <w:rPr>
          <w:rFonts w:ascii="Times New Roman" w:hAnsi="Times New Roman"/>
          <w:snapToGrid w:val="0"/>
          <w:sz w:val="22"/>
          <w:szCs w:val="22"/>
        </w:rPr>
        <w:t>6</w:t>
      </w:r>
      <w:r w:rsidR="00C47A26">
        <w:rPr>
          <w:rFonts w:ascii="Times New Roman" w:hAnsi="Times New Roman"/>
          <w:snapToGrid w:val="0"/>
          <w:sz w:val="22"/>
          <w:szCs w:val="22"/>
        </w:rPr>
        <w:t>bis</w:t>
      </w:r>
      <w:r>
        <w:rPr>
          <w:rFonts w:ascii="Times New Roman" w:hAnsi="Times New Roman"/>
          <w:snapToGrid w:val="0"/>
          <w:sz w:val="22"/>
          <w:szCs w:val="22"/>
        </w:rPr>
        <w:t xml:space="preserve">, Chairman’s notes, </w:t>
      </w:r>
      <w:r w:rsidR="00A60814">
        <w:rPr>
          <w:rFonts w:ascii="Times New Roman" w:hAnsi="Times New Roman"/>
          <w:snapToGrid w:val="0"/>
          <w:sz w:val="22"/>
          <w:szCs w:val="22"/>
        </w:rPr>
        <w:t xml:space="preserve">November </w:t>
      </w:r>
      <w:r>
        <w:rPr>
          <w:rFonts w:ascii="Times New Roman" w:hAnsi="Times New Roman"/>
          <w:snapToGrid w:val="0"/>
          <w:sz w:val="22"/>
          <w:szCs w:val="22"/>
        </w:rPr>
        <w:t>2018</w:t>
      </w:r>
    </w:p>
    <w:p w14:paraId="71F5FD1D" w14:textId="61072C4A" w:rsidR="00E8205F" w:rsidRDefault="00E8205F" w:rsidP="005A06C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snapToGrid w:val="0"/>
          <w:sz w:val="22"/>
          <w:szCs w:val="22"/>
        </w:rPr>
      </w:pPr>
      <w:r>
        <w:rPr>
          <w:rFonts w:ascii="Times New Roman" w:hAnsi="Times New Roman"/>
          <w:snapToGrid w:val="0"/>
          <w:sz w:val="22"/>
          <w:szCs w:val="22"/>
        </w:rPr>
        <w:t>[2]</w:t>
      </w:r>
      <w:r>
        <w:rPr>
          <w:rFonts w:ascii="Times New Roman" w:hAnsi="Times New Roman"/>
          <w:snapToGrid w:val="0"/>
          <w:sz w:val="22"/>
          <w:szCs w:val="22"/>
        </w:rPr>
        <w:tab/>
      </w:r>
      <w:hyperlink r:id="rId10" w:history="1">
        <w:r w:rsidRPr="00E8205F">
          <w:rPr>
            <w:rFonts w:ascii="Times New Roman" w:hAnsi="Times New Roman"/>
            <w:snapToGrid w:val="0"/>
            <w:sz w:val="22"/>
            <w:szCs w:val="22"/>
          </w:rPr>
          <w:t>R1-1901960</w:t>
        </w:r>
      </w:hyperlink>
      <w:r>
        <w:rPr>
          <w:rFonts w:ascii="Times New Roman" w:hAnsi="Times New Roman"/>
          <w:snapToGrid w:val="0"/>
          <w:sz w:val="22"/>
          <w:szCs w:val="22"/>
        </w:rPr>
        <w:t>, “</w:t>
      </w:r>
      <w:r w:rsidRPr="00E8205F">
        <w:rPr>
          <w:rFonts w:ascii="Times New Roman" w:hAnsi="Times New Roman"/>
          <w:snapToGrid w:val="0"/>
          <w:sz w:val="22"/>
          <w:szCs w:val="22"/>
        </w:rPr>
        <w:t>Consideration on the usage of LTE control channel region</w:t>
      </w:r>
      <w:r>
        <w:rPr>
          <w:rFonts w:ascii="Times New Roman" w:hAnsi="Times New Roman"/>
          <w:snapToGrid w:val="0"/>
          <w:sz w:val="22"/>
          <w:szCs w:val="22"/>
        </w:rPr>
        <w:t xml:space="preserve">”, </w:t>
      </w:r>
      <w:r w:rsidRPr="00E8205F">
        <w:rPr>
          <w:rFonts w:ascii="Times New Roman" w:hAnsi="Times New Roman"/>
          <w:snapToGrid w:val="0"/>
          <w:sz w:val="22"/>
          <w:szCs w:val="22"/>
        </w:rPr>
        <w:t>Nokia, Nokia Shanghai Bell</w:t>
      </w:r>
    </w:p>
    <w:sectPr w:rsidR="00E8205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0EFEB" w14:textId="77777777" w:rsidR="007D5736" w:rsidRDefault="007D5736">
      <w:r>
        <w:separator/>
      </w:r>
    </w:p>
  </w:endnote>
  <w:endnote w:type="continuationSeparator" w:id="0">
    <w:p w14:paraId="52A856D3" w14:textId="77777777" w:rsidR="007D5736" w:rsidRDefault="007D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092E" w14:textId="77777777" w:rsidR="00A60814" w:rsidRDefault="00A608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804CF" w14:textId="77777777" w:rsidR="007D5736" w:rsidRDefault="007D5736">
      <w:r>
        <w:separator/>
      </w:r>
    </w:p>
  </w:footnote>
  <w:footnote w:type="continuationSeparator" w:id="0">
    <w:p w14:paraId="7512C806" w14:textId="77777777" w:rsidR="007D5736" w:rsidRDefault="007D5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4E675" w14:textId="77777777" w:rsidR="00A60814" w:rsidRDefault="00A608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976D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1152D18"/>
    <w:multiLevelType w:val="hybridMultilevel"/>
    <w:tmpl w:val="6E7AD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A7229C"/>
    <w:multiLevelType w:val="hybridMultilevel"/>
    <w:tmpl w:val="EAB0E71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4B3799E"/>
    <w:multiLevelType w:val="hybridMultilevel"/>
    <w:tmpl w:val="D7C05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5F3D85"/>
    <w:multiLevelType w:val="hybridMultilevel"/>
    <w:tmpl w:val="668EF4F2"/>
    <w:lvl w:ilvl="0" w:tplc="C428B1B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0626E5"/>
    <w:multiLevelType w:val="hybridMultilevel"/>
    <w:tmpl w:val="B7C0B0AA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0847F3"/>
    <w:multiLevelType w:val="hybridMultilevel"/>
    <w:tmpl w:val="06AA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4F1C0B"/>
    <w:multiLevelType w:val="hybridMultilevel"/>
    <w:tmpl w:val="286A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D16301"/>
    <w:multiLevelType w:val="hybridMultilevel"/>
    <w:tmpl w:val="E132EA90"/>
    <w:lvl w:ilvl="0" w:tplc="4A8061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3DA79E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AFE4CD8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B98684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3FEBB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3070C1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1B6612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19A05B7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D0EF03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5" w15:restartNumberingAfterBreak="0">
    <w:nsid w:val="33EA44FF"/>
    <w:multiLevelType w:val="hybridMultilevel"/>
    <w:tmpl w:val="E626CE42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49273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6F216AD"/>
    <w:multiLevelType w:val="hybridMultilevel"/>
    <w:tmpl w:val="559256A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F9F7B18"/>
    <w:multiLevelType w:val="hybridMultilevel"/>
    <w:tmpl w:val="98BE50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B54A37"/>
    <w:multiLevelType w:val="hybridMultilevel"/>
    <w:tmpl w:val="CEC28ECE"/>
    <w:lvl w:ilvl="0" w:tplc="4080FD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0F0543"/>
    <w:multiLevelType w:val="hybridMultilevel"/>
    <w:tmpl w:val="3448FF8A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7531583"/>
    <w:multiLevelType w:val="multilevel"/>
    <w:tmpl w:val="95FC84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8"/>
  </w:num>
  <w:num w:numId="4">
    <w:abstractNumId w:val="29"/>
  </w:num>
  <w:num w:numId="5">
    <w:abstractNumId w:val="22"/>
  </w:num>
  <w:num w:numId="6">
    <w:abstractNumId w:val="34"/>
  </w:num>
  <w:num w:numId="7">
    <w:abstractNumId w:val="39"/>
  </w:num>
  <w:num w:numId="8">
    <w:abstractNumId w:val="23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38"/>
  </w:num>
  <w:num w:numId="15">
    <w:abstractNumId w:val="30"/>
  </w:num>
  <w:num w:numId="16">
    <w:abstractNumId w:val="41"/>
  </w:num>
  <w:num w:numId="17">
    <w:abstractNumId w:val="16"/>
  </w:num>
  <w:num w:numId="18">
    <w:abstractNumId w:val="18"/>
  </w:num>
  <w:num w:numId="19">
    <w:abstractNumId w:val="11"/>
  </w:num>
  <w:num w:numId="20">
    <w:abstractNumId w:val="44"/>
  </w:num>
  <w:num w:numId="21">
    <w:abstractNumId w:val="25"/>
  </w:num>
  <w:num w:numId="22">
    <w:abstractNumId w:val="43"/>
  </w:num>
  <w:num w:numId="23">
    <w:abstractNumId w:val="17"/>
  </w:num>
  <w:num w:numId="24">
    <w:abstractNumId w:val="32"/>
  </w:num>
  <w:num w:numId="25">
    <w:abstractNumId w:val="45"/>
  </w:num>
  <w:num w:numId="26">
    <w:abstractNumId w:val="3"/>
  </w:num>
  <w:num w:numId="27">
    <w:abstractNumId w:val="14"/>
  </w:num>
  <w:num w:numId="28">
    <w:abstractNumId w:val="40"/>
  </w:num>
  <w:num w:numId="29">
    <w:abstractNumId w:val="8"/>
  </w:num>
  <w:num w:numId="30">
    <w:abstractNumId w:val="10"/>
  </w:num>
  <w:num w:numId="31">
    <w:abstractNumId w:val="37"/>
  </w:num>
  <w:num w:numId="32">
    <w:abstractNumId w:val="13"/>
  </w:num>
  <w:num w:numId="33">
    <w:abstractNumId w:val="33"/>
  </w:num>
  <w:num w:numId="34">
    <w:abstractNumId w:val="19"/>
  </w:num>
  <w:num w:numId="35">
    <w:abstractNumId w:val="12"/>
  </w:num>
  <w:num w:numId="36">
    <w:abstractNumId w:val="4"/>
  </w:num>
  <w:num w:numId="37">
    <w:abstractNumId w:val="27"/>
  </w:num>
  <w:num w:numId="38">
    <w:abstractNumId w:val="26"/>
  </w:num>
  <w:num w:numId="39">
    <w:abstractNumId w:val="42"/>
  </w:num>
  <w:num w:numId="40">
    <w:abstractNumId w:val="21"/>
  </w:num>
  <w:num w:numId="41">
    <w:abstractNumId w:val="6"/>
  </w:num>
  <w:num w:numId="42">
    <w:abstractNumId w:val="9"/>
  </w:num>
  <w:num w:numId="43">
    <w:abstractNumId w:val="35"/>
  </w:num>
  <w:num w:numId="44">
    <w:abstractNumId w:val="7"/>
  </w:num>
  <w:num w:numId="45">
    <w:abstractNumId w:val="24"/>
  </w:num>
  <w:num w:numId="46">
    <w:abstractNumId w:val="15"/>
  </w:num>
  <w:num w:numId="47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AB"/>
    <w:rsid w:val="000006E1"/>
    <w:rsid w:val="00002A37"/>
    <w:rsid w:val="000054C7"/>
    <w:rsid w:val="0000564C"/>
    <w:rsid w:val="00006446"/>
    <w:rsid w:val="00006896"/>
    <w:rsid w:val="00006C42"/>
    <w:rsid w:val="00007CDC"/>
    <w:rsid w:val="00011B28"/>
    <w:rsid w:val="00015D15"/>
    <w:rsid w:val="0002564D"/>
    <w:rsid w:val="00025ECA"/>
    <w:rsid w:val="000267C3"/>
    <w:rsid w:val="000325B8"/>
    <w:rsid w:val="00034C15"/>
    <w:rsid w:val="00036BA1"/>
    <w:rsid w:val="00037DC6"/>
    <w:rsid w:val="000422E2"/>
    <w:rsid w:val="00042F22"/>
    <w:rsid w:val="00043CB7"/>
    <w:rsid w:val="000444EF"/>
    <w:rsid w:val="00045FC2"/>
    <w:rsid w:val="00047A9F"/>
    <w:rsid w:val="00051CEA"/>
    <w:rsid w:val="00052A07"/>
    <w:rsid w:val="000534E3"/>
    <w:rsid w:val="0005606A"/>
    <w:rsid w:val="00057117"/>
    <w:rsid w:val="00061512"/>
    <w:rsid w:val="000616E7"/>
    <w:rsid w:val="00061A5C"/>
    <w:rsid w:val="0006487E"/>
    <w:rsid w:val="00065E1A"/>
    <w:rsid w:val="00073D3A"/>
    <w:rsid w:val="00076617"/>
    <w:rsid w:val="000774F0"/>
    <w:rsid w:val="00077E5F"/>
    <w:rsid w:val="0008036A"/>
    <w:rsid w:val="00081AE6"/>
    <w:rsid w:val="00083055"/>
    <w:rsid w:val="00084D3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37"/>
    <w:rsid w:val="000A1B7B"/>
    <w:rsid w:val="000A56F2"/>
    <w:rsid w:val="000B1E2F"/>
    <w:rsid w:val="000B2719"/>
    <w:rsid w:val="000B3A8F"/>
    <w:rsid w:val="000B4AB9"/>
    <w:rsid w:val="000B4C0A"/>
    <w:rsid w:val="000B58C3"/>
    <w:rsid w:val="000B61E9"/>
    <w:rsid w:val="000C165A"/>
    <w:rsid w:val="000C2E19"/>
    <w:rsid w:val="000C3CAE"/>
    <w:rsid w:val="000D0D07"/>
    <w:rsid w:val="000D4797"/>
    <w:rsid w:val="000D6251"/>
    <w:rsid w:val="000E0527"/>
    <w:rsid w:val="000E1E92"/>
    <w:rsid w:val="000E32C2"/>
    <w:rsid w:val="000E5728"/>
    <w:rsid w:val="000F06D6"/>
    <w:rsid w:val="000F0EB1"/>
    <w:rsid w:val="000F1106"/>
    <w:rsid w:val="000F360A"/>
    <w:rsid w:val="000F3BE9"/>
    <w:rsid w:val="000F3F6C"/>
    <w:rsid w:val="000F43F8"/>
    <w:rsid w:val="000F6DF3"/>
    <w:rsid w:val="001005FF"/>
    <w:rsid w:val="00104AC5"/>
    <w:rsid w:val="001062FB"/>
    <w:rsid w:val="001063E6"/>
    <w:rsid w:val="00113CF4"/>
    <w:rsid w:val="001153EA"/>
    <w:rsid w:val="00115643"/>
    <w:rsid w:val="00115A67"/>
    <w:rsid w:val="00116765"/>
    <w:rsid w:val="001219F5"/>
    <w:rsid w:val="00121A20"/>
    <w:rsid w:val="0012377F"/>
    <w:rsid w:val="00124314"/>
    <w:rsid w:val="00126B4A"/>
    <w:rsid w:val="00132EA6"/>
    <w:rsid w:val="00132FD0"/>
    <w:rsid w:val="001344C0"/>
    <w:rsid w:val="001346FA"/>
    <w:rsid w:val="00135252"/>
    <w:rsid w:val="00137AB5"/>
    <w:rsid w:val="00137F0B"/>
    <w:rsid w:val="0014423E"/>
    <w:rsid w:val="00144EF9"/>
    <w:rsid w:val="00151E23"/>
    <w:rsid w:val="001526E0"/>
    <w:rsid w:val="001551B5"/>
    <w:rsid w:val="00164B90"/>
    <w:rsid w:val="001659C1"/>
    <w:rsid w:val="001733C3"/>
    <w:rsid w:val="00173A8E"/>
    <w:rsid w:val="0017502C"/>
    <w:rsid w:val="0018143F"/>
    <w:rsid w:val="00181FF8"/>
    <w:rsid w:val="00183548"/>
    <w:rsid w:val="00190AC1"/>
    <w:rsid w:val="00192251"/>
    <w:rsid w:val="0019341A"/>
    <w:rsid w:val="00197DF9"/>
    <w:rsid w:val="001A1987"/>
    <w:rsid w:val="001A2564"/>
    <w:rsid w:val="001A2AF4"/>
    <w:rsid w:val="001A6173"/>
    <w:rsid w:val="001A6CBA"/>
    <w:rsid w:val="001B0D97"/>
    <w:rsid w:val="001B5A5D"/>
    <w:rsid w:val="001B7F7F"/>
    <w:rsid w:val="001C0423"/>
    <w:rsid w:val="001C1CE5"/>
    <w:rsid w:val="001C3D2A"/>
    <w:rsid w:val="001D3E9B"/>
    <w:rsid w:val="001D51BA"/>
    <w:rsid w:val="001D5298"/>
    <w:rsid w:val="001D53E7"/>
    <w:rsid w:val="001D6342"/>
    <w:rsid w:val="001D6CFA"/>
    <w:rsid w:val="001D6D53"/>
    <w:rsid w:val="001E58E2"/>
    <w:rsid w:val="001E7AED"/>
    <w:rsid w:val="001F3916"/>
    <w:rsid w:val="001F54C5"/>
    <w:rsid w:val="001F5ABC"/>
    <w:rsid w:val="001F662C"/>
    <w:rsid w:val="001F7074"/>
    <w:rsid w:val="00200490"/>
    <w:rsid w:val="00201F3A"/>
    <w:rsid w:val="002037A4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6E3"/>
    <w:rsid w:val="00225C54"/>
    <w:rsid w:val="002263DF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43C"/>
    <w:rsid w:val="00264228"/>
    <w:rsid w:val="00264334"/>
    <w:rsid w:val="0026473E"/>
    <w:rsid w:val="00266214"/>
    <w:rsid w:val="00267C83"/>
    <w:rsid w:val="0027100C"/>
    <w:rsid w:val="0027144F"/>
    <w:rsid w:val="00271813"/>
    <w:rsid w:val="00271F3A"/>
    <w:rsid w:val="00272F7E"/>
    <w:rsid w:val="00273278"/>
    <w:rsid w:val="002737F4"/>
    <w:rsid w:val="00274FE5"/>
    <w:rsid w:val="002801E1"/>
    <w:rsid w:val="002805F5"/>
    <w:rsid w:val="00280751"/>
    <w:rsid w:val="0028280A"/>
    <w:rsid w:val="00286ACD"/>
    <w:rsid w:val="00287838"/>
    <w:rsid w:val="002907B5"/>
    <w:rsid w:val="00292EB7"/>
    <w:rsid w:val="00295BA6"/>
    <w:rsid w:val="00296227"/>
    <w:rsid w:val="00296F44"/>
    <w:rsid w:val="0029777D"/>
    <w:rsid w:val="002A055E"/>
    <w:rsid w:val="002A1D4E"/>
    <w:rsid w:val="002A2869"/>
    <w:rsid w:val="002B24D6"/>
    <w:rsid w:val="002B6F1F"/>
    <w:rsid w:val="002B7627"/>
    <w:rsid w:val="002C14BD"/>
    <w:rsid w:val="002C41E6"/>
    <w:rsid w:val="002D071A"/>
    <w:rsid w:val="002D34B2"/>
    <w:rsid w:val="002D3C0D"/>
    <w:rsid w:val="002D4118"/>
    <w:rsid w:val="002D48B0"/>
    <w:rsid w:val="002D5B37"/>
    <w:rsid w:val="002D7637"/>
    <w:rsid w:val="002E1349"/>
    <w:rsid w:val="002E17F2"/>
    <w:rsid w:val="002E7CAE"/>
    <w:rsid w:val="002F2771"/>
    <w:rsid w:val="002F37A9"/>
    <w:rsid w:val="002F3FD5"/>
    <w:rsid w:val="00301CE6"/>
    <w:rsid w:val="0030256B"/>
    <w:rsid w:val="00303149"/>
    <w:rsid w:val="003048AE"/>
    <w:rsid w:val="0030501F"/>
    <w:rsid w:val="00305026"/>
    <w:rsid w:val="00307BA1"/>
    <w:rsid w:val="00311702"/>
    <w:rsid w:val="00311E82"/>
    <w:rsid w:val="0031351F"/>
    <w:rsid w:val="00313E12"/>
    <w:rsid w:val="00313FD6"/>
    <w:rsid w:val="003143BD"/>
    <w:rsid w:val="00315363"/>
    <w:rsid w:val="003203ED"/>
    <w:rsid w:val="00322C9F"/>
    <w:rsid w:val="00324D23"/>
    <w:rsid w:val="00331751"/>
    <w:rsid w:val="00333EB6"/>
    <w:rsid w:val="00334579"/>
    <w:rsid w:val="00335858"/>
    <w:rsid w:val="00336BDA"/>
    <w:rsid w:val="00342BD7"/>
    <w:rsid w:val="003448C6"/>
    <w:rsid w:val="00346DB5"/>
    <w:rsid w:val="00347712"/>
    <w:rsid w:val="003477B1"/>
    <w:rsid w:val="00357380"/>
    <w:rsid w:val="003602D9"/>
    <w:rsid w:val="003604CE"/>
    <w:rsid w:val="003623B1"/>
    <w:rsid w:val="00370E47"/>
    <w:rsid w:val="00372E27"/>
    <w:rsid w:val="003742AC"/>
    <w:rsid w:val="003752FC"/>
    <w:rsid w:val="00377CE1"/>
    <w:rsid w:val="00382F26"/>
    <w:rsid w:val="003836F2"/>
    <w:rsid w:val="00385785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7D"/>
    <w:rsid w:val="003B159C"/>
    <w:rsid w:val="003B369F"/>
    <w:rsid w:val="003B36A3"/>
    <w:rsid w:val="003B64BB"/>
    <w:rsid w:val="003B6FD1"/>
    <w:rsid w:val="003B7FE5"/>
    <w:rsid w:val="003C11C8"/>
    <w:rsid w:val="003C2702"/>
    <w:rsid w:val="003C3487"/>
    <w:rsid w:val="003C43C6"/>
    <w:rsid w:val="003C6BA0"/>
    <w:rsid w:val="003C7806"/>
    <w:rsid w:val="003C7A67"/>
    <w:rsid w:val="003D0B8C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06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2685"/>
    <w:rsid w:val="004431DC"/>
    <w:rsid w:val="004442D7"/>
    <w:rsid w:val="00444F56"/>
    <w:rsid w:val="00446488"/>
    <w:rsid w:val="00450020"/>
    <w:rsid w:val="004517AA"/>
    <w:rsid w:val="00452CAC"/>
    <w:rsid w:val="004533DC"/>
    <w:rsid w:val="00457565"/>
    <w:rsid w:val="00457B71"/>
    <w:rsid w:val="00461EA1"/>
    <w:rsid w:val="00463323"/>
    <w:rsid w:val="004669E2"/>
    <w:rsid w:val="00467CFE"/>
    <w:rsid w:val="00470C31"/>
    <w:rsid w:val="00471DE0"/>
    <w:rsid w:val="004734D0"/>
    <w:rsid w:val="0047556B"/>
    <w:rsid w:val="0047557E"/>
    <w:rsid w:val="00477768"/>
    <w:rsid w:val="00492BC5"/>
    <w:rsid w:val="004964F1"/>
    <w:rsid w:val="004A16BC"/>
    <w:rsid w:val="004A2B94"/>
    <w:rsid w:val="004B4892"/>
    <w:rsid w:val="004B621A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5D74"/>
    <w:rsid w:val="004E76F4"/>
    <w:rsid w:val="004F0B4E"/>
    <w:rsid w:val="004F0B6C"/>
    <w:rsid w:val="004F2078"/>
    <w:rsid w:val="004F2CF4"/>
    <w:rsid w:val="004F4DA3"/>
    <w:rsid w:val="004F4FD6"/>
    <w:rsid w:val="00504EAE"/>
    <w:rsid w:val="00506557"/>
    <w:rsid w:val="0050677A"/>
    <w:rsid w:val="005108D8"/>
    <w:rsid w:val="005116F9"/>
    <w:rsid w:val="005153A7"/>
    <w:rsid w:val="005219CF"/>
    <w:rsid w:val="00530FD5"/>
    <w:rsid w:val="00531C19"/>
    <w:rsid w:val="00534B59"/>
    <w:rsid w:val="00536759"/>
    <w:rsid w:val="00537C62"/>
    <w:rsid w:val="005416DD"/>
    <w:rsid w:val="00546970"/>
    <w:rsid w:val="00554E19"/>
    <w:rsid w:val="0056121F"/>
    <w:rsid w:val="00564BC3"/>
    <w:rsid w:val="00572505"/>
    <w:rsid w:val="00582809"/>
    <w:rsid w:val="0058798C"/>
    <w:rsid w:val="005900FA"/>
    <w:rsid w:val="00590847"/>
    <w:rsid w:val="00593081"/>
    <w:rsid w:val="005935A4"/>
    <w:rsid w:val="005948C2"/>
    <w:rsid w:val="00595DCA"/>
    <w:rsid w:val="0059779B"/>
    <w:rsid w:val="005A06CE"/>
    <w:rsid w:val="005A209A"/>
    <w:rsid w:val="005A240F"/>
    <w:rsid w:val="005A662D"/>
    <w:rsid w:val="005B0589"/>
    <w:rsid w:val="005B1409"/>
    <w:rsid w:val="005B35D7"/>
    <w:rsid w:val="005B392A"/>
    <w:rsid w:val="005B3AA3"/>
    <w:rsid w:val="005B41F1"/>
    <w:rsid w:val="005B6F83"/>
    <w:rsid w:val="005C74FB"/>
    <w:rsid w:val="005C7B25"/>
    <w:rsid w:val="005D1602"/>
    <w:rsid w:val="005E33E9"/>
    <w:rsid w:val="005E385F"/>
    <w:rsid w:val="005E3B24"/>
    <w:rsid w:val="005E5B81"/>
    <w:rsid w:val="005F04D3"/>
    <w:rsid w:val="005F2CB1"/>
    <w:rsid w:val="005F3025"/>
    <w:rsid w:val="005F618C"/>
    <w:rsid w:val="005F70BD"/>
    <w:rsid w:val="0060283C"/>
    <w:rsid w:val="0060351E"/>
    <w:rsid w:val="00604F14"/>
    <w:rsid w:val="00611B83"/>
    <w:rsid w:val="00613257"/>
    <w:rsid w:val="006167ED"/>
    <w:rsid w:val="00620A71"/>
    <w:rsid w:val="00620D80"/>
    <w:rsid w:val="006234A6"/>
    <w:rsid w:val="00630001"/>
    <w:rsid w:val="006311B3"/>
    <w:rsid w:val="0063284C"/>
    <w:rsid w:val="006349E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A5"/>
    <w:rsid w:val="00650AB9"/>
    <w:rsid w:val="00655733"/>
    <w:rsid w:val="00655ACD"/>
    <w:rsid w:val="00656A92"/>
    <w:rsid w:val="00656DDE"/>
    <w:rsid w:val="0066011D"/>
    <w:rsid w:val="006607C0"/>
    <w:rsid w:val="006613A6"/>
    <w:rsid w:val="00662586"/>
    <w:rsid w:val="006627A2"/>
    <w:rsid w:val="006633E1"/>
    <w:rsid w:val="006634E6"/>
    <w:rsid w:val="006655EE"/>
    <w:rsid w:val="00667EE7"/>
    <w:rsid w:val="00670922"/>
    <w:rsid w:val="00670BE1"/>
    <w:rsid w:val="00670DD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821"/>
    <w:rsid w:val="006917FB"/>
    <w:rsid w:val="00694A9F"/>
    <w:rsid w:val="00695FC2"/>
    <w:rsid w:val="00696949"/>
    <w:rsid w:val="00697052"/>
    <w:rsid w:val="00697876"/>
    <w:rsid w:val="00697EBC"/>
    <w:rsid w:val="006A46FB"/>
    <w:rsid w:val="006A5E28"/>
    <w:rsid w:val="006A697B"/>
    <w:rsid w:val="006A7AFF"/>
    <w:rsid w:val="006B1816"/>
    <w:rsid w:val="006B2099"/>
    <w:rsid w:val="006B50CF"/>
    <w:rsid w:val="006C03B8"/>
    <w:rsid w:val="006C5152"/>
    <w:rsid w:val="006C5AE5"/>
    <w:rsid w:val="006C5EC9"/>
    <w:rsid w:val="006C6059"/>
    <w:rsid w:val="006C7522"/>
    <w:rsid w:val="006D0F2A"/>
    <w:rsid w:val="006D6F08"/>
    <w:rsid w:val="006D79A7"/>
    <w:rsid w:val="006E062C"/>
    <w:rsid w:val="006E15EB"/>
    <w:rsid w:val="006E1C82"/>
    <w:rsid w:val="006E229F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BF3"/>
    <w:rsid w:val="00723BDE"/>
    <w:rsid w:val="007257D0"/>
    <w:rsid w:val="00726EA6"/>
    <w:rsid w:val="00727208"/>
    <w:rsid w:val="00727680"/>
    <w:rsid w:val="007311FE"/>
    <w:rsid w:val="007348B1"/>
    <w:rsid w:val="007362A6"/>
    <w:rsid w:val="00736D7D"/>
    <w:rsid w:val="00740E58"/>
    <w:rsid w:val="00744270"/>
    <w:rsid w:val="007445A0"/>
    <w:rsid w:val="00745140"/>
    <w:rsid w:val="0074524B"/>
    <w:rsid w:val="00747D8B"/>
    <w:rsid w:val="00751182"/>
    <w:rsid w:val="00751228"/>
    <w:rsid w:val="007571E1"/>
    <w:rsid w:val="007604B2"/>
    <w:rsid w:val="00765281"/>
    <w:rsid w:val="00766BAD"/>
    <w:rsid w:val="007729A2"/>
    <w:rsid w:val="00773A4B"/>
    <w:rsid w:val="007755F2"/>
    <w:rsid w:val="00776971"/>
    <w:rsid w:val="007800DC"/>
    <w:rsid w:val="00780A80"/>
    <w:rsid w:val="0078177E"/>
    <w:rsid w:val="0078304C"/>
    <w:rsid w:val="00783673"/>
    <w:rsid w:val="00785490"/>
    <w:rsid w:val="007861EB"/>
    <w:rsid w:val="007925EA"/>
    <w:rsid w:val="00793CD8"/>
    <w:rsid w:val="00795C92"/>
    <w:rsid w:val="00796231"/>
    <w:rsid w:val="00797B27"/>
    <w:rsid w:val="007A1CB3"/>
    <w:rsid w:val="007A306F"/>
    <w:rsid w:val="007A43A6"/>
    <w:rsid w:val="007A58A6"/>
    <w:rsid w:val="007A6B63"/>
    <w:rsid w:val="007B3D2D"/>
    <w:rsid w:val="007B50AE"/>
    <w:rsid w:val="007B51DF"/>
    <w:rsid w:val="007B7A4F"/>
    <w:rsid w:val="007B7EB2"/>
    <w:rsid w:val="007C05DD"/>
    <w:rsid w:val="007C0F35"/>
    <w:rsid w:val="007C3D18"/>
    <w:rsid w:val="007C4844"/>
    <w:rsid w:val="007C60BF"/>
    <w:rsid w:val="007C619A"/>
    <w:rsid w:val="007C6A07"/>
    <w:rsid w:val="007C75A1"/>
    <w:rsid w:val="007C77A5"/>
    <w:rsid w:val="007D04E5"/>
    <w:rsid w:val="007D18F8"/>
    <w:rsid w:val="007D5736"/>
    <w:rsid w:val="007D5901"/>
    <w:rsid w:val="007D7526"/>
    <w:rsid w:val="007E4610"/>
    <w:rsid w:val="007E4715"/>
    <w:rsid w:val="007E505B"/>
    <w:rsid w:val="007E7091"/>
    <w:rsid w:val="007F637A"/>
    <w:rsid w:val="007F7B75"/>
    <w:rsid w:val="00803FAE"/>
    <w:rsid w:val="0080605F"/>
    <w:rsid w:val="00807786"/>
    <w:rsid w:val="00811FCB"/>
    <w:rsid w:val="00813E86"/>
    <w:rsid w:val="008158D6"/>
    <w:rsid w:val="00817196"/>
    <w:rsid w:val="008235DB"/>
    <w:rsid w:val="00824AB4"/>
    <w:rsid w:val="00825C42"/>
    <w:rsid w:val="00825D25"/>
    <w:rsid w:val="00827D6F"/>
    <w:rsid w:val="008376AC"/>
    <w:rsid w:val="00837E70"/>
    <w:rsid w:val="008444E8"/>
    <w:rsid w:val="00844E80"/>
    <w:rsid w:val="00846FE7"/>
    <w:rsid w:val="0085512A"/>
    <w:rsid w:val="00856911"/>
    <w:rsid w:val="00863A5E"/>
    <w:rsid w:val="008677FD"/>
    <w:rsid w:val="008706D4"/>
    <w:rsid w:val="00870F8A"/>
    <w:rsid w:val="008719A4"/>
    <w:rsid w:val="00871D23"/>
    <w:rsid w:val="00874312"/>
    <w:rsid w:val="0087437C"/>
    <w:rsid w:val="008749E7"/>
    <w:rsid w:val="00875CD7"/>
    <w:rsid w:val="00876B4D"/>
    <w:rsid w:val="00877B6F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00A"/>
    <w:rsid w:val="008F33DC"/>
    <w:rsid w:val="008F477F"/>
    <w:rsid w:val="008F652C"/>
    <w:rsid w:val="00900302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154"/>
    <w:rsid w:val="00931BD9"/>
    <w:rsid w:val="00935F86"/>
    <w:rsid w:val="009368F3"/>
    <w:rsid w:val="00937364"/>
    <w:rsid w:val="00941636"/>
    <w:rsid w:val="00942F81"/>
    <w:rsid w:val="009431E4"/>
    <w:rsid w:val="00943742"/>
    <w:rsid w:val="00945C05"/>
    <w:rsid w:val="00946945"/>
    <w:rsid w:val="00947713"/>
    <w:rsid w:val="00950DE7"/>
    <w:rsid w:val="0095351C"/>
    <w:rsid w:val="00953920"/>
    <w:rsid w:val="00953D47"/>
    <w:rsid w:val="0095681E"/>
    <w:rsid w:val="009572D4"/>
    <w:rsid w:val="00961921"/>
    <w:rsid w:val="0096430A"/>
    <w:rsid w:val="00964A15"/>
    <w:rsid w:val="0096554B"/>
    <w:rsid w:val="0096584A"/>
    <w:rsid w:val="00971F08"/>
    <w:rsid w:val="0097603D"/>
    <w:rsid w:val="00976949"/>
    <w:rsid w:val="00980477"/>
    <w:rsid w:val="0098459E"/>
    <w:rsid w:val="00985253"/>
    <w:rsid w:val="009853B3"/>
    <w:rsid w:val="00990630"/>
    <w:rsid w:val="00991761"/>
    <w:rsid w:val="00994DCA"/>
    <w:rsid w:val="00995758"/>
    <w:rsid w:val="009960EC"/>
    <w:rsid w:val="0099654E"/>
    <w:rsid w:val="009970DD"/>
    <w:rsid w:val="009A0FBA"/>
    <w:rsid w:val="009A1601"/>
    <w:rsid w:val="009A39A1"/>
    <w:rsid w:val="009A3BB6"/>
    <w:rsid w:val="009A3CCF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251"/>
    <w:rsid w:val="009D3986"/>
    <w:rsid w:val="009D4FF0"/>
    <w:rsid w:val="009D703C"/>
    <w:rsid w:val="009D718F"/>
    <w:rsid w:val="009E068F"/>
    <w:rsid w:val="009E14E0"/>
    <w:rsid w:val="009E18AF"/>
    <w:rsid w:val="009E35DB"/>
    <w:rsid w:val="009E47A3"/>
    <w:rsid w:val="009E58E4"/>
    <w:rsid w:val="009E598E"/>
    <w:rsid w:val="009F0779"/>
    <w:rsid w:val="009F08F3"/>
    <w:rsid w:val="009F344F"/>
    <w:rsid w:val="00A031D8"/>
    <w:rsid w:val="00A048A8"/>
    <w:rsid w:val="00A04F49"/>
    <w:rsid w:val="00A13E54"/>
    <w:rsid w:val="00A158D5"/>
    <w:rsid w:val="00A17F63"/>
    <w:rsid w:val="00A21323"/>
    <w:rsid w:val="00A216EB"/>
    <w:rsid w:val="00A2193B"/>
    <w:rsid w:val="00A21C3E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D9B"/>
    <w:rsid w:val="00A52E1D"/>
    <w:rsid w:val="00A56AD4"/>
    <w:rsid w:val="00A56D68"/>
    <w:rsid w:val="00A60814"/>
    <w:rsid w:val="00A61499"/>
    <w:rsid w:val="00A62A77"/>
    <w:rsid w:val="00A63483"/>
    <w:rsid w:val="00A657D7"/>
    <w:rsid w:val="00A660AC"/>
    <w:rsid w:val="00A6689A"/>
    <w:rsid w:val="00A67E6C"/>
    <w:rsid w:val="00A71B99"/>
    <w:rsid w:val="00A72EC2"/>
    <w:rsid w:val="00A739D0"/>
    <w:rsid w:val="00A761D4"/>
    <w:rsid w:val="00A77EC4"/>
    <w:rsid w:val="00A81818"/>
    <w:rsid w:val="00A918B5"/>
    <w:rsid w:val="00A91D64"/>
    <w:rsid w:val="00A92879"/>
    <w:rsid w:val="00A9442A"/>
    <w:rsid w:val="00A95E67"/>
    <w:rsid w:val="00AA016F"/>
    <w:rsid w:val="00AA1ED6"/>
    <w:rsid w:val="00AA51D6"/>
    <w:rsid w:val="00AA5D36"/>
    <w:rsid w:val="00AB0BC8"/>
    <w:rsid w:val="00AB11CA"/>
    <w:rsid w:val="00AB14D9"/>
    <w:rsid w:val="00AB4372"/>
    <w:rsid w:val="00AB4AB8"/>
    <w:rsid w:val="00AB655E"/>
    <w:rsid w:val="00AB731D"/>
    <w:rsid w:val="00AC007F"/>
    <w:rsid w:val="00AC14AD"/>
    <w:rsid w:val="00AC2ECD"/>
    <w:rsid w:val="00AC3119"/>
    <w:rsid w:val="00AC4852"/>
    <w:rsid w:val="00AC49FB"/>
    <w:rsid w:val="00AC5A10"/>
    <w:rsid w:val="00AC7D49"/>
    <w:rsid w:val="00AD0AA3"/>
    <w:rsid w:val="00AD2ED0"/>
    <w:rsid w:val="00AD3F94"/>
    <w:rsid w:val="00AD3FE3"/>
    <w:rsid w:val="00AD43FB"/>
    <w:rsid w:val="00AD4A5A"/>
    <w:rsid w:val="00AE27AC"/>
    <w:rsid w:val="00AE40E0"/>
    <w:rsid w:val="00AE4DBA"/>
    <w:rsid w:val="00AE4F07"/>
    <w:rsid w:val="00AE5C8C"/>
    <w:rsid w:val="00AE60EC"/>
    <w:rsid w:val="00AF1C5D"/>
    <w:rsid w:val="00AF42D7"/>
    <w:rsid w:val="00B00159"/>
    <w:rsid w:val="00B006FE"/>
    <w:rsid w:val="00B007CB"/>
    <w:rsid w:val="00B02AA9"/>
    <w:rsid w:val="00B02FA3"/>
    <w:rsid w:val="00B041DD"/>
    <w:rsid w:val="00B04628"/>
    <w:rsid w:val="00B05084"/>
    <w:rsid w:val="00B12997"/>
    <w:rsid w:val="00B157F9"/>
    <w:rsid w:val="00B20256"/>
    <w:rsid w:val="00B20D09"/>
    <w:rsid w:val="00B2763F"/>
    <w:rsid w:val="00B27AAC"/>
    <w:rsid w:val="00B30929"/>
    <w:rsid w:val="00B342D0"/>
    <w:rsid w:val="00B372AA"/>
    <w:rsid w:val="00B40081"/>
    <w:rsid w:val="00B40445"/>
    <w:rsid w:val="00B409E0"/>
    <w:rsid w:val="00B412EB"/>
    <w:rsid w:val="00B41888"/>
    <w:rsid w:val="00B41DE5"/>
    <w:rsid w:val="00B43958"/>
    <w:rsid w:val="00B45A52"/>
    <w:rsid w:val="00B46175"/>
    <w:rsid w:val="00B509B4"/>
    <w:rsid w:val="00B548B7"/>
    <w:rsid w:val="00B61DD3"/>
    <w:rsid w:val="00B664C7"/>
    <w:rsid w:val="00B66B6E"/>
    <w:rsid w:val="00B739F6"/>
    <w:rsid w:val="00B74EBA"/>
    <w:rsid w:val="00B81A6C"/>
    <w:rsid w:val="00B82D26"/>
    <w:rsid w:val="00B85DE5"/>
    <w:rsid w:val="00B8750A"/>
    <w:rsid w:val="00B90F73"/>
    <w:rsid w:val="00B93B59"/>
    <w:rsid w:val="00B9406A"/>
    <w:rsid w:val="00BA2280"/>
    <w:rsid w:val="00BA2A08"/>
    <w:rsid w:val="00BA445D"/>
    <w:rsid w:val="00BA56D2"/>
    <w:rsid w:val="00BA6E5F"/>
    <w:rsid w:val="00BA76E0"/>
    <w:rsid w:val="00BB0390"/>
    <w:rsid w:val="00BB2A25"/>
    <w:rsid w:val="00BB51E9"/>
    <w:rsid w:val="00BB5E3F"/>
    <w:rsid w:val="00BB5FAB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7DD"/>
    <w:rsid w:val="00C14D4B"/>
    <w:rsid w:val="00C154BB"/>
    <w:rsid w:val="00C169DA"/>
    <w:rsid w:val="00C24A7B"/>
    <w:rsid w:val="00C2682C"/>
    <w:rsid w:val="00C279B5"/>
    <w:rsid w:val="00C27C45"/>
    <w:rsid w:val="00C3719D"/>
    <w:rsid w:val="00C37CB2"/>
    <w:rsid w:val="00C37F70"/>
    <w:rsid w:val="00C405AB"/>
    <w:rsid w:val="00C417E1"/>
    <w:rsid w:val="00C464AA"/>
    <w:rsid w:val="00C473A5"/>
    <w:rsid w:val="00C47A26"/>
    <w:rsid w:val="00C52930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218"/>
    <w:rsid w:val="00C81568"/>
    <w:rsid w:val="00C86030"/>
    <w:rsid w:val="00C873A7"/>
    <w:rsid w:val="00C87BEE"/>
    <w:rsid w:val="00C9027A"/>
    <w:rsid w:val="00C9068E"/>
    <w:rsid w:val="00C93814"/>
    <w:rsid w:val="00C93C4B"/>
    <w:rsid w:val="00C93F1E"/>
    <w:rsid w:val="00C944AB"/>
    <w:rsid w:val="00C95B40"/>
    <w:rsid w:val="00CA03EB"/>
    <w:rsid w:val="00CA1A04"/>
    <w:rsid w:val="00CA1ED8"/>
    <w:rsid w:val="00CA512D"/>
    <w:rsid w:val="00CB1F63"/>
    <w:rsid w:val="00CB5142"/>
    <w:rsid w:val="00CB5E40"/>
    <w:rsid w:val="00CB61F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A48"/>
    <w:rsid w:val="00CE0424"/>
    <w:rsid w:val="00CE179F"/>
    <w:rsid w:val="00CE3997"/>
    <w:rsid w:val="00CE7561"/>
    <w:rsid w:val="00CF1354"/>
    <w:rsid w:val="00CF3B1F"/>
    <w:rsid w:val="00CF3BF6"/>
    <w:rsid w:val="00CF3DB1"/>
    <w:rsid w:val="00CF625B"/>
    <w:rsid w:val="00CF687E"/>
    <w:rsid w:val="00D0349B"/>
    <w:rsid w:val="00D056D0"/>
    <w:rsid w:val="00D10249"/>
    <w:rsid w:val="00D115C3"/>
    <w:rsid w:val="00D11897"/>
    <w:rsid w:val="00D13135"/>
    <w:rsid w:val="00D13E4E"/>
    <w:rsid w:val="00D165E7"/>
    <w:rsid w:val="00D239A7"/>
    <w:rsid w:val="00D23F47"/>
    <w:rsid w:val="00D24F79"/>
    <w:rsid w:val="00D36E71"/>
    <w:rsid w:val="00D37D87"/>
    <w:rsid w:val="00D40B33"/>
    <w:rsid w:val="00D41AA9"/>
    <w:rsid w:val="00D4318F"/>
    <w:rsid w:val="00D438BF"/>
    <w:rsid w:val="00D440F8"/>
    <w:rsid w:val="00D4520A"/>
    <w:rsid w:val="00D50B47"/>
    <w:rsid w:val="00D5391C"/>
    <w:rsid w:val="00D54462"/>
    <w:rsid w:val="00D546FF"/>
    <w:rsid w:val="00D55AD5"/>
    <w:rsid w:val="00D576CA"/>
    <w:rsid w:val="00D61AF5"/>
    <w:rsid w:val="00D652B5"/>
    <w:rsid w:val="00D66155"/>
    <w:rsid w:val="00D676AC"/>
    <w:rsid w:val="00D70689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01"/>
    <w:rsid w:val="00DA5417"/>
    <w:rsid w:val="00DA549C"/>
    <w:rsid w:val="00DA56E8"/>
    <w:rsid w:val="00DA69F4"/>
    <w:rsid w:val="00DB0A9F"/>
    <w:rsid w:val="00DB377D"/>
    <w:rsid w:val="00DC2D36"/>
    <w:rsid w:val="00DC53EF"/>
    <w:rsid w:val="00DC71C8"/>
    <w:rsid w:val="00DD19EC"/>
    <w:rsid w:val="00DD2FF1"/>
    <w:rsid w:val="00DE1132"/>
    <w:rsid w:val="00DE5608"/>
    <w:rsid w:val="00DE58D0"/>
    <w:rsid w:val="00DE654F"/>
    <w:rsid w:val="00DE6862"/>
    <w:rsid w:val="00DF0B6E"/>
    <w:rsid w:val="00DF15E0"/>
    <w:rsid w:val="00DF37A0"/>
    <w:rsid w:val="00DF7AAF"/>
    <w:rsid w:val="00E00588"/>
    <w:rsid w:val="00E029CE"/>
    <w:rsid w:val="00E07B58"/>
    <w:rsid w:val="00E110E7"/>
    <w:rsid w:val="00E11B20"/>
    <w:rsid w:val="00E17FA2"/>
    <w:rsid w:val="00E22330"/>
    <w:rsid w:val="00E3041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3DF"/>
    <w:rsid w:val="00E422AA"/>
    <w:rsid w:val="00E446F1"/>
    <w:rsid w:val="00E464AF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05F"/>
    <w:rsid w:val="00E8234C"/>
    <w:rsid w:val="00E83AA9"/>
    <w:rsid w:val="00E85600"/>
    <w:rsid w:val="00E8580E"/>
    <w:rsid w:val="00E85928"/>
    <w:rsid w:val="00E87822"/>
    <w:rsid w:val="00E90395"/>
    <w:rsid w:val="00E90E49"/>
    <w:rsid w:val="00E91742"/>
    <w:rsid w:val="00E917F9"/>
    <w:rsid w:val="00E9291C"/>
    <w:rsid w:val="00E93FFE"/>
    <w:rsid w:val="00E94F8A"/>
    <w:rsid w:val="00EA0473"/>
    <w:rsid w:val="00EA5F9D"/>
    <w:rsid w:val="00EA7A41"/>
    <w:rsid w:val="00EB077B"/>
    <w:rsid w:val="00EB388E"/>
    <w:rsid w:val="00EB4EA2"/>
    <w:rsid w:val="00EC1D6E"/>
    <w:rsid w:val="00EC24D5"/>
    <w:rsid w:val="00EC27C6"/>
    <w:rsid w:val="00EC3B6F"/>
    <w:rsid w:val="00EC4207"/>
    <w:rsid w:val="00EC5653"/>
    <w:rsid w:val="00EC71CE"/>
    <w:rsid w:val="00ED1006"/>
    <w:rsid w:val="00ED4744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4E"/>
    <w:rsid w:val="00F30828"/>
    <w:rsid w:val="00F30DD6"/>
    <w:rsid w:val="00F313D6"/>
    <w:rsid w:val="00F33D50"/>
    <w:rsid w:val="00F37BC5"/>
    <w:rsid w:val="00F40F0C"/>
    <w:rsid w:val="00F44C12"/>
    <w:rsid w:val="00F4766C"/>
    <w:rsid w:val="00F5060E"/>
    <w:rsid w:val="00F507D1"/>
    <w:rsid w:val="00F519CE"/>
    <w:rsid w:val="00F51ADA"/>
    <w:rsid w:val="00F54278"/>
    <w:rsid w:val="00F60203"/>
    <w:rsid w:val="00F607C5"/>
    <w:rsid w:val="00F60DEA"/>
    <w:rsid w:val="00F6302A"/>
    <w:rsid w:val="00F63950"/>
    <w:rsid w:val="00F63EFF"/>
    <w:rsid w:val="00F64705"/>
    <w:rsid w:val="00F64C2B"/>
    <w:rsid w:val="00F651BE"/>
    <w:rsid w:val="00F676AC"/>
    <w:rsid w:val="00F67F53"/>
    <w:rsid w:val="00F703BE"/>
    <w:rsid w:val="00F71F69"/>
    <w:rsid w:val="00F72B72"/>
    <w:rsid w:val="00F74BB9"/>
    <w:rsid w:val="00F74F76"/>
    <w:rsid w:val="00F75582"/>
    <w:rsid w:val="00F76EFA"/>
    <w:rsid w:val="00F77BBD"/>
    <w:rsid w:val="00F804BE"/>
    <w:rsid w:val="00F812E2"/>
    <w:rsid w:val="00F817CE"/>
    <w:rsid w:val="00F8446A"/>
    <w:rsid w:val="00F8456C"/>
    <w:rsid w:val="00F859D8"/>
    <w:rsid w:val="00F868F5"/>
    <w:rsid w:val="00F86C84"/>
    <w:rsid w:val="00F9056A"/>
    <w:rsid w:val="00F90E38"/>
    <w:rsid w:val="00F90F8D"/>
    <w:rsid w:val="00F92782"/>
    <w:rsid w:val="00F93AA9"/>
    <w:rsid w:val="00F96985"/>
    <w:rsid w:val="00F97838"/>
    <w:rsid w:val="00FA0631"/>
    <w:rsid w:val="00FA1D0C"/>
    <w:rsid w:val="00FA2BB3"/>
    <w:rsid w:val="00FA5B81"/>
    <w:rsid w:val="00FA761F"/>
    <w:rsid w:val="00FB4C80"/>
    <w:rsid w:val="00FB6A6A"/>
    <w:rsid w:val="00FC7429"/>
    <w:rsid w:val="00FD07F6"/>
    <w:rsid w:val="00FD1EC8"/>
    <w:rsid w:val="00FD2B99"/>
    <w:rsid w:val="00FD3120"/>
    <w:rsid w:val="00FD3DDC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C8581"/>
  <w15:chartTrackingRefBased/>
  <w15:docId w15:val="{4171312B-E005-4050-8CA1-838B52E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0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C3487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2E1349"/>
    <w:rPr>
      <w:color w:val="808080"/>
    </w:rPr>
  </w:style>
  <w:style w:type="paragraph" w:customStyle="1" w:styleId="textintend2">
    <w:name w:val="text intend 2"/>
    <w:basedOn w:val="Normal"/>
    <w:rsid w:val="00A158D5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5930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GTdoc1">
    <w:name w:val="LGTdoc_제목1"/>
    <w:basedOn w:val="Normal"/>
    <w:rsid w:val="00FA0631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Heading1Char1">
    <w:name w:val="Heading 1 Char1"/>
    <w:rsid w:val="00F54278"/>
    <w:rPr>
      <w:rFonts w:ascii="Arial" w:hAnsi="Arial"/>
      <w:sz w:val="36"/>
      <w:lang w:val="en-GB" w:eastAsia="en-US"/>
    </w:rPr>
  </w:style>
  <w:style w:type="paragraph" w:styleId="NoSpacing">
    <w:name w:val="No Spacing"/>
    <w:uiPriority w:val="1"/>
    <w:qFormat/>
    <w:rsid w:val="00662586"/>
    <w:pPr>
      <w:ind w:left="720" w:hanging="360"/>
    </w:pPr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1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07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89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weichao\AppData\Local\Microsoft\Windows\Temporary%20Internet%20Files\Docs\R1-1901960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ermed\Documents\Desktop%20-%20Old%20EliteBook%20%5bFeb2015%5d\3GPP_StandardizationDelegate\RAN1_%2394_Gothenburg_2018\R1-xxxxxx%20Text_Proposal_211_sub-PRB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6AD37-E559-406A-A0CC-02D93E44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Text_Proposal_211_sub-PRB</Template>
  <TotalTime>1374</TotalTime>
  <Pages>4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weichao@qti.qualcomm.com</dc:creator>
  <cp:keywords>3GPP; Ericsson; TDoc</cp:keywords>
  <dc:description/>
  <cp:lastModifiedBy>Chao Wei</cp:lastModifiedBy>
  <cp:revision>15</cp:revision>
  <cp:lastPrinted>2008-01-31T07:09:00Z</cp:lastPrinted>
  <dcterms:created xsi:type="dcterms:W3CDTF">2018-11-02T04:48:00Z</dcterms:created>
  <dcterms:modified xsi:type="dcterms:W3CDTF">2019-05-03T16:16:00Z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