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1532BE" w:rsidRDefault="008C5657" w:rsidP="00001A01">
      <w:pPr>
        <w:pStyle w:val="Header"/>
        <w:tabs>
          <w:tab w:val="right" w:pos="9400"/>
          <w:tab w:val="right" w:pos="9781"/>
        </w:tabs>
        <w:ind w:right="-58"/>
        <w:rPr>
          <w:bCs w:val="0"/>
          <w:noProof w:val="0"/>
          <w:sz w:val="28"/>
          <w:szCs w:val="24"/>
          <w:lang w:eastAsia="zh-CN"/>
        </w:rPr>
      </w:pPr>
      <w:r w:rsidRPr="001532BE">
        <w:rPr>
          <w:rFonts w:eastAsia="Batang"/>
          <w:bCs w:val="0"/>
          <w:noProof w:val="0"/>
          <w:sz w:val="28"/>
          <w:szCs w:val="24"/>
        </w:rPr>
        <w:t>3GPP TSG RAN WG1 #9</w:t>
      </w:r>
      <w:r w:rsidR="001532BE" w:rsidRPr="001532BE">
        <w:rPr>
          <w:rFonts w:eastAsia="Batang"/>
          <w:bCs w:val="0"/>
          <w:noProof w:val="0"/>
          <w:sz w:val="28"/>
          <w:szCs w:val="24"/>
        </w:rPr>
        <w:t>7</w:t>
      </w:r>
      <w:r w:rsidR="00001A01" w:rsidRPr="001532BE">
        <w:rPr>
          <w:rFonts w:eastAsia="Batang"/>
          <w:bCs w:val="0"/>
          <w:noProof w:val="0"/>
          <w:sz w:val="28"/>
          <w:szCs w:val="24"/>
        </w:rPr>
        <w:tab/>
      </w:r>
      <w:r w:rsidR="001532BE" w:rsidRPr="001532BE">
        <w:rPr>
          <w:rFonts w:eastAsia="Batang"/>
          <w:bCs w:val="0"/>
          <w:noProof w:val="0"/>
          <w:sz w:val="28"/>
          <w:szCs w:val="24"/>
        </w:rPr>
        <w:t>R1-1906081</w:t>
      </w:r>
    </w:p>
    <w:p w:rsidR="001532BE" w:rsidRPr="001532BE" w:rsidRDefault="001532BE" w:rsidP="001532BE">
      <w:pPr>
        <w:tabs>
          <w:tab w:val="center" w:pos="4536"/>
          <w:tab w:val="right" w:pos="9072"/>
        </w:tabs>
        <w:spacing w:after="0" w:line="240" w:lineRule="auto"/>
        <w:rPr>
          <w:rFonts w:ascii="Arial" w:eastAsia="MS Mincho" w:hAnsi="Arial" w:cs="Arial" w:hint="eastAsia"/>
          <w:b/>
          <w:bCs/>
          <w:sz w:val="28"/>
          <w:szCs w:val="24"/>
          <w:lang w:eastAsia="ja-JP"/>
        </w:rPr>
      </w:pPr>
      <w:r w:rsidRPr="001532BE">
        <w:rPr>
          <w:rFonts w:ascii="Arial" w:eastAsia="MS Mincho" w:hAnsi="Arial" w:cs="Arial"/>
          <w:b/>
          <w:bCs/>
          <w:sz w:val="28"/>
          <w:szCs w:val="24"/>
          <w:lang w:eastAsia="ja-JP"/>
        </w:rPr>
        <w:t>Reno, USA, May 13</w:t>
      </w:r>
      <w:r w:rsidRPr="001532BE">
        <w:rPr>
          <w:rFonts w:ascii="Arial" w:eastAsia="MS Mincho" w:hAnsi="Arial" w:cs="Arial"/>
          <w:b/>
          <w:bCs/>
          <w:sz w:val="28"/>
          <w:szCs w:val="24"/>
          <w:vertAlign w:val="superscript"/>
          <w:lang w:eastAsia="ja-JP"/>
        </w:rPr>
        <w:t>th</w:t>
      </w:r>
      <w:r w:rsidRPr="001532BE">
        <w:rPr>
          <w:rFonts w:ascii="Arial" w:eastAsia="MS Mincho" w:hAnsi="Arial" w:cs="Arial"/>
          <w:b/>
          <w:bCs/>
          <w:sz w:val="28"/>
          <w:szCs w:val="24"/>
          <w:lang w:eastAsia="ja-JP"/>
        </w:rPr>
        <w:t xml:space="preserve"> – 17</w:t>
      </w:r>
      <w:r w:rsidRPr="001532BE">
        <w:rPr>
          <w:rFonts w:ascii="Arial" w:eastAsia="MS Mincho" w:hAnsi="Arial" w:cs="Arial"/>
          <w:b/>
          <w:bCs/>
          <w:sz w:val="28"/>
          <w:szCs w:val="24"/>
          <w:vertAlign w:val="superscript"/>
          <w:lang w:eastAsia="ja-JP"/>
        </w:rPr>
        <w:t>th</w:t>
      </w:r>
      <w:r w:rsidRPr="001532BE">
        <w:rPr>
          <w:rFonts w:ascii="Arial" w:eastAsia="MS Mincho" w:hAnsi="Arial" w:cs="Arial"/>
          <w:b/>
          <w:bCs/>
          <w:sz w:val="28"/>
          <w:szCs w:val="24"/>
          <w:lang w:eastAsia="ja-JP"/>
        </w:rPr>
        <w:t>, 2019</w:t>
      </w:r>
    </w:p>
    <w:p w:rsidR="000E00BF" w:rsidRDefault="000E00BF" w:rsidP="00653744">
      <w:pPr>
        <w:spacing w:after="0"/>
        <w:ind w:left="1988" w:hanging="1988"/>
        <w:rPr>
          <w:rFonts w:ascii="Arial" w:hAnsi="Arial" w:cs="Arial"/>
          <w:b/>
          <w:sz w:val="24"/>
          <w:lang w:val="en-US" w:eastAsia="zh-CN"/>
        </w:rPr>
      </w:pPr>
      <w:bookmarkStart w:id="0" w:name="_GoBack"/>
      <w:bookmarkEnd w:id="0"/>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471992" w:rsidRPr="00471992">
        <w:rPr>
          <w:rFonts w:ascii="Arial" w:hAnsi="Arial" w:cs="Arial"/>
          <w:b/>
          <w:sz w:val="24"/>
          <w:lang w:val="en-US"/>
        </w:rPr>
        <w:t>Discussion of Support of NR Uu configuring LTE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471992">
        <w:rPr>
          <w:rFonts w:ascii="Arial" w:hAnsi="Arial" w:cs="Arial"/>
          <w:b/>
          <w:sz w:val="24"/>
          <w:lang w:val="en-US" w:eastAsia="zh-CN"/>
        </w:rPr>
        <w:t>7</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616F3E"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xml:space="preserve">) was approved </w:t>
      </w:r>
      <w:r w:rsidR="00616F3E" w:rsidRPr="00616F3E">
        <w:rPr>
          <w:cs/>
          <w:lang w:val="en-US"/>
        </w:rPr>
        <w:t>‎</w:t>
      </w:r>
      <w:r w:rsidR="00616F3E" w:rsidRPr="00616F3E">
        <w:rPr>
          <w:lang w:val="en-US"/>
        </w:rPr>
        <w:t>[1]. One of the objectives deals with</w:t>
      </w:r>
      <w:r w:rsidR="00616F3E">
        <w:rPr>
          <w:lang w:val="en-US"/>
        </w:rPr>
        <w:t xml:space="preserve"> </w:t>
      </w:r>
      <w:r w:rsidR="00BB760F">
        <w:rPr>
          <w:lang w:val="en-US"/>
        </w:rPr>
        <w:t>the cross-RAT scenario of control of the LTE sidelink by NR Uu:</w:t>
      </w:r>
    </w:p>
    <w:p w:rsidR="00BB760F" w:rsidRDefault="00BB760F" w:rsidP="00D96B73">
      <w:pPr>
        <w:rPr>
          <w:lang w:val="en-US"/>
        </w:rPr>
      </w:pPr>
    </w:p>
    <w:tbl>
      <w:tblPr>
        <w:tblStyle w:val="TableGrid"/>
        <w:tblW w:w="0" w:type="auto"/>
        <w:tblLook w:val="04A0" w:firstRow="1" w:lastRow="0" w:firstColumn="1" w:lastColumn="0" w:noHBand="0" w:noVBand="1"/>
      </w:tblPr>
      <w:tblGrid>
        <w:gridCol w:w="9017"/>
      </w:tblGrid>
      <w:tr w:rsidR="00D135BC" w:rsidTr="00D135BC">
        <w:tc>
          <w:tcPr>
            <w:tcW w:w="9017" w:type="dxa"/>
          </w:tcPr>
          <w:p w:rsidR="00D135BC" w:rsidRPr="00D135BC" w:rsidRDefault="00D135BC" w:rsidP="00D135B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135BC">
              <w:rPr>
                <w:rFonts w:ascii="Times New Roman" w:eastAsia="Malgun Gothic" w:hAnsi="Times New Roman" w:cs="Times New Roman" w:hint="eastAsia"/>
                <w:sz w:val="20"/>
                <w:szCs w:val="20"/>
                <w:lang w:eastAsia="ko-KR"/>
              </w:rPr>
              <w:t>2.</w:t>
            </w:r>
            <w:r w:rsidRPr="00D135BC">
              <w:rPr>
                <w:rFonts w:ascii="Times New Roman" w:eastAsia="Malgun Gothic" w:hAnsi="Times New Roman" w:cs="Times New Roman"/>
                <w:sz w:val="20"/>
                <w:szCs w:val="20"/>
                <w:lang w:eastAsia="ko-KR"/>
              </w:rPr>
              <w:t xml:space="preserve"> Specify support for NR Uu to provide control for LTE sidelink </w:t>
            </w:r>
          </w:p>
          <w:p w:rsidR="00D135BC" w:rsidRPr="00D135BC" w:rsidRDefault="00D135BC" w:rsidP="00AA5FA7">
            <w:pPr>
              <w:numPr>
                <w:ilvl w:val="0"/>
                <w:numId w:val="14"/>
              </w:numPr>
              <w:overflowPunct w:val="0"/>
              <w:autoSpaceDE w:val="0"/>
              <w:autoSpaceDN w:val="0"/>
              <w:adjustRightInd w:val="0"/>
              <w:spacing w:after="180" w:line="240" w:lineRule="auto"/>
              <w:ind w:left="731" w:hanging="331"/>
              <w:textAlignment w:val="baseline"/>
              <w:rPr>
                <w:rFonts w:ascii="Times New Roman" w:eastAsia="Malgun Gothic" w:hAnsi="Times New Roman" w:cs="Times New Roman"/>
                <w:sz w:val="20"/>
                <w:szCs w:val="20"/>
                <w:lang w:val="en-US" w:eastAsia="ko-KR"/>
              </w:rPr>
            </w:pPr>
            <w:r w:rsidRPr="00D135BC">
              <w:rPr>
                <w:rFonts w:ascii="Times New Roman" w:eastAsia="Malgun Gothic" w:hAnsi="Times New Roman" w:cs="Times New Roman"/>
                <w:sz w:val="20"/>
                <w:szCs w:val="20"/>
                <w:lang w:val="en-US" w:eastAsia="ko-KR"/>
              </w:rPr>
              <w:t>Sidelink mode 4 as per the study outcome [RAN2, RAN1]; and</w:t>
            </w:r>
          </w:p>
          <w:p w:rsidR="00D135BC" w:rsidRPr="00D135BC" w:rsidRDefault="00D135BC" w:rsidP="00D135BC">
            <w:pPr>
              <w:numPr>
                <w:ilvl w:val="0"/>
                <w:numId w:val="14"/>
              </w:numPr>
              <w:overflowPunct w:val="0"/>
              <w:autoSpaceDE w:val="0"/>
              <w:autoSpaceDN w:val="0"/>
              <w:adjustRightInd w:val="0"/>
              <w:spacing w:after="180" w:line="240" w:lineRule="auto"/>
              <w:ind w:left="709" w:hanging="309"/>
              <w:textAlignment w:val="baseline"/>
              <w:rPr>
                <w:rFonts w:ascii="Times New Roman" w:eastAsia="Malgun Gothic" w:hAnsi="Times New Roman" w:cs="Times New Roman"/>
                <w:sz w:val="20"/>
                <w:szCs w:val="20"/>
                <w:lang w:val="en-US" w:eastAsia="ko-KR"/>
              </w:rPr>
            </w:pPr>
            <w:r w:rsidRPr="00D135BC">
              <w:rPr>
                <w:rFonts w:ascii="Times New Roman" w:eastAsia="Malgun Gothic" w:hAnsi="Times New Roman" w:cs="Times New Roman"/>
                <w:sz w:val="20"/>
                <w:szCs w:val="20"/>
                <w:lang w:val="en-US" w:eastAsia="ko-KR"/>
              </w:rPr>
              <w:t>Sidelink mode 3-like RRC-configured SPS scheduling with either RRC-based activation/deactivation as per the study outcome or DCI-based activation/deactivation [RAN1, RAN2].</w:t>
            </w:r>
          </w:p>
          <w:p w:rsidR="00D135BC" w:rsidRPr="00D135BC" w:rsidRDefault="00D135BC" w:rsidP="00D135BC">
            <w:pPr>
              <w:numPr>
                <w:ilvl w:val="1"/>
                <w:numId w:val="14"/>
              </w:numPr>
              <w:wordWrap w:val="0"/>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ko-KR"/>
              </w:rPr>
            </w:pPr>
            <w:r w:rsidRPr="00D135BC">
              <w:rPr>
                <w:rFonts w:ascii="Times New Roman" w:eastAsia="MS Mincho" w:hAnsi="Times New Roman" w:cs="Times New Roman"/>
                <w:sz w:val="20"/>
                <w:szCs w:val="20"/>
                <w:lang w:val="en-US" w:eastAsia="ko-KR"/>
              </w:rPr>
              <w:t>RAN1 to make a decision on which option is supported until RAN#84.</w:t>
            </w:r>
          </w:p>
          <w:p w:rsidR="00D135BC" w:rsidRDefault="00D135BC" w:rsidP="00231BB1">
            <w:pPr>
              <w:rPr>
                <w:lang w:val="en-US"/>
              </w:rPr>
            </w:pPr>
          </w:p>
        </w:tc>
      </w:tr>
    </w:tbl>
    <w:p w:rsidR="00C441D4" w:rsidRDefault="00C441D4" w:rsidP="00231BB1">
      <w:pPr>
        <w:rPr>
          <w:lang w:val="en-US"/>
        </w:rPr>
      </w:pPr>
    </w:p>
    <w:p w:rsidR="00D135BC" w:rsidRDefault="00D135BC" w:rsidP="00231BB1">
      <w:pPr>
        <w:rPr>
          <w:lang w:val="en-US"/>
        </w:rPr>
      </w:pPr>
    </w:p>
    <w:p w:rsidR="00231BB1" w:rsidRDefault="006A2127" w:rsidP="00231BB1">
      <w:pPr>
        <w:rPr>
          <w:lang w:val="en-US"/>
        </w:rPr>
      </w:pPr>
      <w:r>
        <w:rPr>
          <w:lang w:val="en-US"/>
        </w:rPr>
        <w:t>T</w:t>
      </w:r>
      <w:r w:rsidRPr="006A2127">
        <w:rPr>
          <w:lang w:val="en-US"/>
        </w:rPr>
        <w:t>he f</w:t>
      </w:r>
      <w:r>
        <w:rPr>
          <w:lang w:val="en-US"/>
        </w:rPr>
        <w:t xml:space="preserve">ollowing </w:t>
      </w:r>
      <w:r w:rsidR="00F61D94">
        <w:rPr>
          <w:lang w:val="en-US"/>
        </w:rPr>
        <w:t xml:space="preserve">relevant </w:t>
      </w:r>
      <w:r>
        <w:rPr>
          <w:lang w:val="en-US"/>
        </w:rPr>
        <w:t>agreements have been reached in previous meetings:</w:t>
      </w:r>
    </w:p>
    <w:p w:rsidR="006A2127" w:rsidRDefault="006A2127"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0669D7" w:rsidTr="0002084E">
        <w:trPr>
          <w:cantSplit/>
        </w:trPr>
        <w:tc>
          <w:tcPr>
            <w:tcW w:w="9026" w:type="dxa"/>
            <w:shd w:val="clear" w:color="auto" w:fill="auto"/>
          </w:tcPr>
          <w:p w:rsidR="000669D7" w:rsidRPr="001A4779" w:rsidRDefault="000669D7" w:rsidP="0002084E">
            <w:pPr>
              <w:rPr>
                <w:szCs w:val="20"/>
                <w:lang w:eastAsia="x-none"/>
              </w:rPr>
            </w:pPr>
            <w:r w:rsidRPr="001A4779">
              <w:rPr>
                <w:szCs w:val="20"/>
                <w:highlight w:val="green"/>
                <w:lang w:eastAsia="x-none"/>
              </w:rPr>
              <w:t>Agreements</w:t>
            </w:r>
            <w:r w:rsidRPr="001A4779">
              <w:rPr>
                <w:szCs w:val="20"/>
                <w:lang w:eastAsia="x-none"/>
              </w:rPr>
              <w:t>:</w:t>
            </w:r>
          </w:p>
          <w:p w:rsidR="000669D7" w:rsidRPr="001A4779" w:rsidRDefault="000669D7" w:rsidP="0002084E">
            <w:pPr>
              <w:pStyle w:val="bullet1"/>
              <w:rPr>
                <w:szCs w:val="20"/>
              </w:rPr>
            </w:pPr>
            <w:r w:rsidRPr="001A4779">
              <w:rPr>
                <w:szCs w:val="20"/>
              </w:rPr>
              <w:t xml:space="preserve">It </w:t>
            </w:r>
            <w:bookmarkStart w:id="1" w:name="_Hlk5109002"/>
            <w:r w:rsidRPr="001A4779">
              <w:rPr>
                <w:szCs w:val="20"/>
              </w:rPr>
              <w:t>is supported that NR Uu provides necessary semi-static configuration for mode-4 LTE SL communications</w:t>
            </w:r>
            <w:bookmarkEnd w:id="1"/>
          </w:p>
          <w:p w:rsidR="000669D7" w:rsidRPr="001A4779" w:rsidRDefault="000669D7" w:rsidP="0002084E">
            <w:pPr>
              <w:pStyle w:val="bullet2"/>
              <w:rPr>
                <w:szCs w:val="20"/>
              </w:rPr>
            </w:pPr>
            <w:r w:rsidRPr="001A4779">
              <w:rPr>
                <w:szCs w:val="20"/>
              </w:rPr>
              <w:t>From RAN1 perspective, signalling should be similar to LTE in terms of UE-specific or cell-specific</w:t>
            </w:r>
          </w:p>
          <w:p w:rsidR="000669D7" w:rsidRPr="001A4779" w:rsidRDefault="000669D7" w:rsidP="0002084E">
            <w:pPr>
              <w:pStyle w:val="bullet2"/>
              <w:rPr>
                <w:szCs w:val="20"/>
              </w:rPr>
            </w:pPr>
            <w:r w:rsidRPr="001A4779">
              <w:rPr>
                <w:szCs w:val="20"/>
              </w:rPr>
              <w:t>Signalling details up to RAN2</w:t>
            </w:r>
          </w:p>
          <w:p w:rsidR="000669D7" w:rsidRPr="001A4779" w:rsidRDefault="000669D7" w:rsidP="0002084E">
            <w:pPr>
              <w:pStyle w:val="bullet1"/>
              <w:rPr>
                <w:szCs w:val="20"/>
              </w:rPr>
            </w:pPr>
            <w:r w:rsidRPr="001A4779">
              <w:rPr>
                <w:szCs w:val="20"/>
              </w:rPr>
              <w:t xml:space="preserve">Further study feasibility, benefits (others than ones already identified for LTE) and impact of NR Uu managing LTE mode-3 SL communications. </w:t>
            </w:r>
          </w:p>
          <w:p w:rsidR="000669D7" w:rsidRDefault="000669D7" w:rsidP="0002084E"/>
        </w:tc>
      </w:tr>
    </w:tbl>
    <w:p w:rsidR="000669D7" w:rsidRDefault="000669D7"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D133D" w:rsidTr="0002084E">
        <w:trPr>
          <w:cantSplit/>
        </w:trPr>
        <w:tc>
          <w:tcPr>
            <w:tcW w:w="9026" w:type="dxa"/>
            <w:shd w:val="clear" w:color="auto" w:fill="auto"/>
          </w:tcPr>
          <w:p w:rsidR="008D133D" w:rsidRPr="00CE307A" w:rsidRDefault="008D133D" w:rsidP="0002084E">
            <w:pPr>
              <w:rPr>
                <w:szCs w:val="20"/>
                <w:lang w:eastAsia="x-none"/>
              </w:rPr>
            </w:pPr>
            <w:r w:rsidRPr="00CE307A">
              <w:rPr>
                <w:szCs w:val="20"/>
                <w:highlight w:val="green"/>
                <w:lang w:eastAsia="x-none"/>
              </w:rPr>
              <w:t>Agreements</w:t>
            </w:r>
            <w:r w:rsidRPr="00CE307A">
              <w:rPr>
                <w:szCs w:val="20"/>
                <w:lang w:eastAsia="x-none"/>
              </w:rPr>
              <w:t>:</w:t>
            </w:r>
          </w:p>
          <w:p w:rsidR="008D133D" w:rsidRPr="00CE307A" w:rsidRDefault="008D133D" w:rsidP="008D133D">
            <w:pPr>
              <w:numPr>
                <w:ilvl w:val="0"/>
                <w:numId w:val="18"/>
              </w:numPr>
              <w:spacing w:after="0" w:line="240" w:lineRule="auto"/>
              <w:rPr>
                <w:szCs w:val="20"/>
                <w:lang w:eastAsia="x-none"/>
              </w:rPr>
            </w:pPr>
            <w:r w:rsidRPr="00CE307A">
              <w:rPr>
                <w:szCs w:val="20"/>
                <w:lang w:eastAsia="x-none"/>
              </w:rPr>
              <w:t xml:space="preserve">In continuing evaluating </w:t>
            </w:r>
            <w:r w:rsidRPr="00CE307A">
              <w:rPr>
                <w:rFonts w:ascii="Times New Roman" w:hAnsi="Times New Roman"/>
                <w:szCs w:val="20"/>
              </w:rPr>
              <w:t>NR Uu scheduling of LTE sidelink mode-3</w:t>
            </w:r>
            <w:r w:rsidRPr="00CE307A">
              <w:rPr>
                <w:szCs w:val="20"/>
                <w:lang w:eastAsia="x-none"/>
              </w:rPr>
              <w:t>, consider at least:</w:t>
            </w:r>
          </w:p>
          <w:p w:rsidR="008D133D" w:rsidRPr="00CE307A" w:rsidRDefault="008D133D" w:rsidP="008D133D">
            <w:pPr>
              <w:pStyle w:val="ListParagraph"/>
              <w:numPr>
                <w:ilvl w:val="1"/>
                <w:numId w:val="17"/>
              </w:numPr>
              <w:spacing w:line="240" w:lineRule="auto"/>
              <w:jc w:val="both"/>
              <w:rPr>
                <w:rFonts w:ascii="Times New Roman" w:hAnsi="Times New Roman"/>
                <w:szCs w:val="20"/>
              </w:rPr>
            </w:pPr>
            <w:r w:rsidRPr="00CE307A">
              <w:rPr>
                <w:rFonts w:ascii="Times New Roman" w:hAnsi="Times New Roman"/>
                <w:szCs w:val="20"/>
              </w:rPr>
              <w:t xml:space="preserve">What will be required on the UE side to support such feature </w:t>
            </w:r>
          </w:p>
          <w:p w:rsidR="008D133D" w:rsidRPr="00CE307A" w:rsidRDefault="008D133D" w:rsidP="008D133D">
            <w:pPr>
              <w:pStyle w:val="ListParagraph"/>
              <w:numPr>
                <w:ilvl w:val="1"/>
                <w:numId w:val="17"/>
              </w:numPr>
              <w:spacing w:line="240" w:lineRule="auto"/>
              <w:jc w:val="both"/>
              <w:rPr>
                <w:rFonts w:ascii="Times New Roman" w:hAnsi="Times New Roman"/>
                <w:szCs w:val="20"/>
              </w:rPr>
            </w:pPr>
            <w:r w:rsidRPr="00CE307A">
              <w:rPr>
                <w:rFonts w:ascii="Times New Roman" w:hAnsi="Times New Roman"/>
                <w:szCs w:val="20"/>
              </w:rPr>
              <w:t>DCI design (e.g., whether DCI 5A can be reused)</w:t>
            </w:r>
          </w:p>
          <w:p w:rsidR="008D133D" w:rsidRPr="00CE307A" w:rsidRDefault="008D133D" w:rsidP="008D133D">
            <w:pPr>
              <w:pStyle w:val="ListParagraph"/>
              <w:numPr>
                <w:ilvl w:val="1"/>
                <w:numId w:val="17"/>
              </w:numPr>
              <w:spacing w:line="240" w:lineRule="auto"/>
              <w:jc w:val="both"/>
              <w:rPr>
                <w:rFonts w:ascii="Times New Roman" w:hAnsi="Times New Roman"/>
                <w:szCs w:val="20"/>
              </w:rPr>
            </w:pPr>
            <w:r w:rsidRPr="00CE307A">
              <w:rPr>
                <w:rFonts w:ascii="Times New Roman" w:hAnsi="Times New Roman"/>
                <w:szCs w:val="20"/>
              </w:rPr>
              <w:t>Deployment scenarios where it is beneficial</w:t>
            </w:r>
          </w:p>
          <w:p w:rsidR="008D133D" w:rsidRDefault="008D133D" w:rsidP="0002084E"/>
        </w:tc>
      </w:tr>
    </w:tbl>
    <w:p w:rsidR="008D133D" w:rsidRDefault="008D133D" w:rsidP="00231BB1">
      <w:pPr>
        <w:rPr>
          <w:lang w:val="en-US"/>
        </w:rPr>
      </w:pPr>
    </w:p>
    <w:p w:rsidR="000669D7" w:rsidRDefault="000669D7"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E57FB" w:rsidTr="0002084E">
        <w:trPr>
          <w:cantSplit/>
        </w:trPr>
        <w:tc>
          <w:tcPr>
            <w:tcW w:w="9026" w:type="dxa"/>
            <w:shd w:val="clear" w:color="auto" w:fill="auto"/>
          </w:tcPr>
          <w:p w:rsidR="009E57FB" w:rsidRPr="00226832" w:rsidRDefault="009E57FB" w:rsidP="0002084E">
            <w:pPr>
              <w:rPr>
                <w:szCs w:val="20"/>
                <w:lang w:eastAsia="x-none"/>
              </w:rPr>
            </w:pPr>
            <w:r w:rsidRPr="00226832">
              <w:rPr>
                <w:szCs w:val="20"/>
                <w:highlight w:val="green"/>
                <w:lang w:eastAsia="x-none"/>
              </w:rPr>
              <w:t>Agreements</w:t>
            </w:r>
            <w:r w:rsidRPr="00226832">
              <w:rPr>
                <w:szCs w:val="20"/>
                <w:lang w:eastAsia="x-none"/>
              </w:rPr>
              <w:t>:</w:t>
            </w:r>
          </w:p>
          <w:p w:rsidR="009E57FB" w:rsidRPr="00226832" w:rsidRDefault="009E57FB" w:rsidP="009E57FB">
            <w:pPr>
              <w:pStyle w:val="ListParagraph"/>
              <w:numPr>
                <w:ilvl w:val="0"/>
                <w:numId w:val="15"/>
              </w:numPr>
              <w:spacing w:after="160"/>
              <w:contextualSpacing/>
              <w:rPr>
                <w:szCs w:val="20"/>
              </w:rPr>
            </w:pPr>
            <w:r w:rsidRPr="00226832">
              <w:rPr>
                <w:szCs w:val="20"/>
              </w:rPr>
              <w:t>Scheduling by gNB using RRC for LTE sidelink scheduled mode is supported from RAN1 perspective under the premise that there is sufficient time for coordination between the NR and LTE modules. No DCI to activate/release</w:t>
            </w:r>
          </w:p>
          <w:p w:rsidR="009E57FB" w:rsidRPr="00226832" w:rsidRDefault="009E57FB" w:rsidP="009E57FB">
            <w:pPr>
              <w:pStyle w:val="ListParagraph"/>
              <w:numPr>
                <w:ilvl w:val="1"/>
                <w:numId w:val="15"/>
              </w:numPr>
              <w:spacing w:after="160"/>
              <w:contextualSpacing/>
              <w:rPr>
                <w:szCs w:val="20"/>
              </w:rPr>
            </w:pPr>
            <w:r w:rsidRPr="00226832">
              <w:rPr>
                <w:szCs w:val="20"/>
              </w:rPr>
              <w:t xml:space="preserve">RRC message delivers the SPS grant configuration and releases the SPS configuration. </w:t>
            </w:r>
          </w:p>
          <w:p w:rsidR="009E57FB" w:rsidRPr="00226832" w:rsidRDefault="009E57FB" w:rsidP="009E57FB">
            <w:pPr>
              <w:pStyle w:val="ListParagraph"/>
              <w:numPr>
                <w:ilvl w:val="1"/>
                <w:numId w:val="15"/>
              </w:numPr>
              <w:spacing w:after="160"/>
              <w:contextualSpacing/>
              <w:rPr>
                <w:szCs w:val="20"/>
              </w:rPr>
            </w:pPr>
            <w:r w:rsidRPr="00226832">
              <w:rPr>
                <w:szCs w:val="20"/>
              </w:rPr>
              <w:t>Support of this scheduling mode is subject to UE capability (may or may not have capability for both LTE &amp; NR)</w:t>
            </w:r>
          </w:p>
          <w:p w:rsidR="009E57FB" w:rsidRPr="00226832" w:rsidRDefault="009E57FB" w:rsidP="009E57FB">
            <w:pPr>
              <w:pStyle w:val="ListParagraph"/>
              <w:numPr>
                <w:ilvl w:val="1"/>
                <w:numId w:val="15"/>
              </w:numPr>
              <w:spacing w:after="160"/>
              <w:contextualSpacing/>
              <w:rPr>
                <w:szCs w:val="20"/>
              </w:rPr>
            </w:pPr>
            <w:r w:rsidRPr="00226832">
              <w:rPr>
                <w:szCs w:val="20"/>
              </w:rPr>
              <w:t>Note: some specification LTE change is needed to support the reception of a grant through RRC</w:t>
            </w:r>
          </w:p>
          <w:p w:rsidR="009E57FB" w:rsidRPr="00226832" w:rsidRDefault="009E57FB" w:rsidP="009E57FB">
            <w:pPr>
              <w:pStyle w:val="ListParagraph"/>
              <w:numPr>
                <w:ilvl w:val="2"/>
                <w:numId w:val="15"/>
              </w:numPr>
              <w:spacing w:after="160"/>
              <w:contextualSpacing/>
              <w:rPr>
                <w:szCs w:val="20"/>
              </w:rPr>
            </w:pPr>
            <w:r w:rsidRPr="00226832">
              <w:rPr>
                <w:szCs w:val="20"/>
              </w:rPr>
              <w:t>RRC message contains mode 3 grant content and timing</w:t>
            </w:r>
          </w:p>
          <w:p w:rsidR="009E57FB" w:rsidRPr="00226832" w:rsidRDefault="009E57FB" w:rsidP="009E57FB">
            <w:pPr>
              <w:pStyle w:val="ListParagraph"/>
              <w:numPr>
                <w:ilvl w:val="2"/>
                <w:numId w:val="15"/>
              </w:numPr>
              <w:spacing w:after="160"/>
              <w:contextualSpacing/>
              <w:rPr>
                <w:szCs w:val="20"/>
              </w:rPr>
            </w:pPr>
            <w:r w:rsidRPr="00226832">
              <w:rPr>
                <w:szCs w:val="20"/>
              </w:rPr>
              <w:t>Up to the Editor to capture it as mode 3 or new LTE sidelink mode</w:t>
            </w:r>
          </w:p>
          <w:p w:rsidR="009E57FB" w:rsidRPr="00226832" w:rsidRDefault="009E57FB" w:rsidP="009E57FB">
            <w:pPr>
              <w:pStyle w:val="ListParagraph"/>
              <w:numPr>
                <w:ilvl w:val="1"/>
                <w:numId w:val="15"/>
              </w:numPr>
              <w:spacing w:after="160"/>
              <w:contextualSpacing/>
              <w:rPr>
                <w:szCs w:val="20"/>
              </w:rPr>
            </w:pPr>
            <w:r w:rsidRPr="00226832">
              <w:rPr>
                <w:szCs w:val="20"/>
              </w:rPr>
              <w:t>No intention to have additional NR &amp; LTE specification change (other than those described above) for this function in Rel-16</w:t>
            </w:r>
          </w:p>
          <w:p w:rsidR="009E57FB" w:rsidRPr="00226832" w:rsidRDefault="009E57FB" w:rsidP="009E57FB">
            <w:pPr>
              <w:pStyle w:val="ListParagraph"/>
              <w:numPr>
                <w:ilvl w:val="0"/>
                <w:numId w:val="15"/>
              </w:numPr>
              <w:spacing w:after="160"/>
              <w:contextualSpacing/>
              <w:rPr>
                <w:szCs w:val="20"/>
              </w:rPr>
            </w:pPr>
            <w:r w:rsidRPr="00226832">
              <w:rPr>
                <w:szCs w:val="20"/>
              </w:rPr>
              <w:t>RAN1 studied the feasibility of SPS scheduling by gNB for LTE sidelink with DCI activation/release, but there is no consensus to support it</w:t>
            </w:r>
          </w:p>
          <w:p w:rsidR="009E57FB" w:rsidRDefault="009E57FB" w:rsidP="0002084E"/>
        </w:tc>
      </w:tr>
    </w:tbl>
    <w:p w:rsidR="009E57FB" w:rsidRDefault="009E57FB" w:rsidP="00231BB1">
      <w:pPr>
        <w:rPr>
          <w:lang w:val="en-US"/>
        </w:rPr>
      </w:pPr>
    </w:p>
    <w:p w:rsidR="00D15A03" w:rsidRDefault="00D15A03" w:rsidP="00C441D4">
      <w:pPr>
        <w:rPr>
          <w:lang w:val="en-US"/>
        </w:rPr>
      </w:pPr>
    </w:p>
    <w:tbl>
      <w:tblPr>
        <w:tblStyle w:val="TableGrid"/>
        <w:tblW w:w="0" w:type="auto"/>
        <w:tblLook w:val="04A0" w:firstRow="1" w:lastRow="0" w:firstColumn="1" w:lastColumn="0" w:noHBand="0" w:noVBand="1"/>
      </w:tblPr>
      <w:tblGrid>
        <w:gridCol w:w="9017"/>
      </w:tblGrid>
      <w:tr w:rsidR="00D15A03" w:rsidTr="00D15A03">
        <w:tc>
          <w:tcPr>
            <w:tcW w:w="9017" w:type="dxa"/>
          </w:tcPr>
          <w:p w:rsidR="00D15A03" w:rsidRPr="00D15A03" w:rsidRDefault="00D15A03" w:rsidP="00D15A03">
            <w:pPr>
              <w:spacing w:after="0" w:line="240" w:lineRule="auto"/>
              <w:rPr>
                <w:rFonts w:ascii="Times" w:eastAsia="Batang" w:hAnsi="Times" w:cs="Times New Roman"/>
                <w:b/>
                <w:sz w:val="20"/>
                <w:szCs w:val="20"/>
              </w:rPr>
            </w:pPr>
            <w:r w:rsidRPr="00D15A03">
              <w:rPr>
                <w:rFonts w:ascii="Times" w:eastAsia="Batang" w:hAnsi="Times" w:cs="Times New Roman"/>
                <w:sz w:val="20"/>
                <w:szCs w:val="20"/>
                <w:highlight w:val="green"/>
              </w:rPr>
              <w:t>Agreements</w:t>
            </w:r>
            <w:r w:rsidRPr="00D15A03">
              <w:rPr>
                <w:rFonts w:ascii="Times" w:eastAsia="Batang" w:hAnsi="Times" w:cs="Times New Roman"/>
                <w:b/>
                <w:sz w:val="20"/>
                <w:szCs w:val="20"/>
              </w:rPr>
              <w:t>:</w:t>
            </w:r>
          </w:p>
          <w:p w:rsidR="00D15A03" w:rsidRPr="00D15A03" w:rsidRDefault="00D15A03" w:rsidP="00D15A03">
            <w:pPr>
              <w:spacing w:after="0" w:line="240" w:lineRule="auto"/>
              <w:rPr>
                <w:rFonts w:ascii="Times" w:eastAsia="Batang" w:hAnsi="Times" w:cs="Times New Roman"/>
                <w:sz w:val="20"/>
                <w:szCs w:val="20"/>
              </w:rPr>
            </w:pPr>
            <w:r w:rsidRPr="00D15A03">
              <w:rPr>
                <w:rFonts w:ascii="Times" w:eastAsia="Batang" w:hAnsi="Times" w:cs="Times New Roman"/>
                <w:sz w:val="20"/>
                <w:szCs w:val="20"/>
              </w:rPr>
              <w:t xml:space="preserve">Regarding RRC-based versus DCI-based activation/release of LTE sidelink SPS, RAN1 agrees to make the choice </w:t>
            </w:r>
            <w:proofErr w:type="gramStart"/>
            <w:r w:rsidRPr="00D15A03">
              <w:rPr>
                <w:rFonts w:ascii="Times" w:eastAsia="Batang" w:hAnsi="Times" w:cs="Times New Roman"/>
                <w:sz w:val="20"/>
                <w:szCs w:val="20"/>
              </w:rPr>
              <w:t>on the basis of</w:t>
            </w:r>
            <w:proofErr w:type="gramEnd"/>
            <w:r w:rsidRPr="00D15A03">
              <w:rPr>
                <w:rFonts w:ascii="Times" w:eastAsia="Batang" w:hAnsi="Times" w:cs="Times New Roman"/>
                <w:sz w:val="20"/>
                <w:szCs w:val="20"/>
              </w:rPr>
              <w:t xml:space="preserve"> at least:</w:t>
            </w:r>
          </w:p>
          <w:p w:rsidR="00D15A03" w:rsidRPr="00D15A03" w:rsidRDefault="00D15A03" w:rsidP="00D15A03">
            <w:pPr>
              <w:numPr>
                <w:ilvl w:val="0"/>
                <w:numId w:val="20"/>
              </w:numPr>
              <w:spacing w:after="120" w:line="240" w:lineRule="auto"/>
              <w:rPr>
                <w:rFonts w:ascii="Times New Roman" w:eastAsia="Batang" w:hAnsi="Times New Roman" w:cs="Times New Roman"/>
                <w:sz w:val="20"/>
                <w:szCs w:val="20"/>
                <w:lang w:val="en-US" w:eastAsia="x-none"/>
              </w:rPr>
            </w:pPr>
            <w:r w:rsidRPr="00D15A03">
              <w:rPr>
                <w:rFonts w:ascii="Times New Roman" w:eastAsia="Batang" w:hAnsi="Times New Roman" w:cs="Times New Roman"/>
                <w:sz w:val="20"/>
                <w:szCs w:val="20"/>
                <w:lang w:val="en-US" w:eastAsia="x-none"/>
              </w:rPr>
              <w:t>Spec impact</w:t>
            </w:r>
          </w:p>
          <w:p w:rsidR="00D15A03" w:rsidRPr="00D15A03" w:rsidRDefault="00D15A03" w:rsidP="00D15A03">
            <w:pPr>
              <w:numPr>
                <w:ilvl w:val="0"/>
                <w:numId w:val="20"/>
              </w:numPr>
              <w:spacing w:after="120" w:line="240" w:lineRule="auto"/>
              <w:rPr>
                <w:rFonts w:ascii="Times New Roman" w:eastAsia="Batang" w:hAnsi="Times New Roman" w:cs="Times New Roman"/>
                <w:sz w:val="20"/>
                <w:szCs w:val="20"/>
                <w:lang w:val="en-US" w:eastAsia="x-none"/>
              </w:rPr>
            </w:pPr>
            <w:r w:rsidRPr="00D15A03">
              <w:rPr>
                <w:rFonts w:ascii="Times New Roman" w:eastAsia="Batang" w:hAnsi="Times New Roman" w:cs="Times New Roman"/>
                <w:sz w:val="20"/>
                <w:szCs w:val="20"/>
                <w:lang w:val="en-US" w:eastAsia="x-none"/>
              </w:rPr>
              <w:t>Flexibility</w:t>
            </w:r>
          </w:p>
          <w:p w:rsidR="00D15A03" w:rsidRPr="00D15A03" w:rsidRDefault="00D15A03" w:rsidP="00D15A03">
            <w:pPr>
              <w:numPr>
                <w:ilvl w:val="0"/>
                <w:numId w:val="20"/>
              </w:numPr>
              <w:spacing w:after="120" w:line="240" w:lineRule="auto"/>
              <w:rPr>
                <w:rFonts w:ascii="Times New Roman" w:eastAsia="Batang" w:hAnsi="Times New Roman" w:cs="Times New Roman"/>
                <w:sz w:val="20"/>
                <w:szCs w:val="20"/>
                <w:lang w:val="en-US" w:eastAsia="x-none"/>
              </w:rPr>
            </w:pPr>
            <w:r w:rsidRPr="00D15A03">
              <w:rPr>
                <w:rFonts w:ascii="Times New Roman" w:eastAsia="Batang" w:hAnsi="Times New Roman" w:cs="Times New Roman"/>
                <w:sz w:val="20"/>
                <w:szCs w:val="20"/>
                <w:lang w:val="en-US" w:eastAsia="x-none"/>
              </w:rPr>
              <w:t>Performance, including latency</w:t>
            </w:r>
          </w:p>
          <w:p w:rsidR="00D15A03" w:rsidRPr="00D15A03" w:rsidRDefault="00D15A03" w:rsidP="00D15A03">
            <w:pPr>
              <w:numPr>
                <w:ilvl w:val="0"/>
                <w:numId w:val="20"/>
              </w:numPr>
              <w:spacing w:after="120" w:line="240" w:lineRule="auto"/>
              <w:rPr>
                <w:rFonts w:ascii="Times New Roman" w:eastAsia="Batang" w:hAnsi="Times New Roman" w:cs="Times New Roman"/>
                <w:sz w:val="20"/>
                <w:szCs w:val="20"/>
                <w:lang w:val="en-US" w:eastAsia="x-none"/>
              </w:rPr>
            </w:pPr>
            <w:r w:rsidRPr="00D15A03">
              <w:rPr>
                <w:rFonts w:ascii="Times New Roman" w:eastAsia="Batang" w:hAnsi="Times New Roman" w:cs="Times New Roman"/>
                <w:sz w:val="20"/>
                <w:szCs w:val="20"/>
                <w:lang w:val="en-US" w:eastAsia="x-none"/>
              </w:rPr>
              <w:t>Implementation complexity</w:t>
            </w:r>
          </w:p>
          <w:p w:rsidR="00D15A03" w:rsidRPr="00D15A03" w:rsidRDefault="00D15A03" w:rsidP="00D15A03">
            <w:pPr>
              <w:numPr>
                <w:ilvl w:val="0"/>
                <w:numId w:val="20"/>
              </w:numPr>
              <w:spacing w:after="120" w:line="240" w:lineRule="auto"/>
              <w:rPr>
                <w:rFonts w:ascii="Times New Roman" w:eastAsia="Batang" w:hAnsi="Times New Roman" w:cs="Times New Roman"/>
                <w:sz w:val="20"/>
                <w:szCs w:val="20"/>
                <w:lang w:val="en-US" w:eastAsia="x-none"/>
              </w:rPr>
            </w:pPr>
            <w:r w:rsidRPr="00D15A03">
              <w:rPr>
                <w:rFonts w:ascii="Times New Roman" w:eastAsia="Batang" w:hAnsi="Times New Roman" w:cs="Times New Roman"/>
                <w:sz w:val="20"/>
                <w:szCs w:val="20"/>
                <w:lang w:val="en-US" w:eastAsia="x-none"/>
              </w:rPr>
              <w:t>Timing of the activation/deactivation</w:t>
            </w:r>
          </w:p>
          <w:p w:rsidR="00D15A03" w:rsidRDefault="00D15A03" w:rsidP="00C441D4">
            <w:pPr>
              <w:rPr>
                <w:lang w:val="en-US"/>
              </w:rPr>
            </w:pPr>
          </w:p>
        </w:tc>
      </w:tr>
    </w:tbl>
    <w:p w:rsidR="00D15A03" w:rsidRDefault="00D15A03" w:rsidP="00C441D4">
      <w:pPr>
        <w:rPr>
          <w:lang w:val="en-US"/>
        </w:rPr>
      </w:pPr>
    </w:p>
    <w:p w:rsidR="00D15A03" w:rsidRDefault="00D15A03" w:rsidP="00C441D4">
      <w:pPr>
        <w:rPr>
          <w:lang w:val="en-US"/>
        </w:rPr>
      </w:pPr>
    </w:p>
    <w:p w:rsidR="00C441D4" w:rsidRPr="008A36C3" w:rsidRDefault="00C441D4" w:rsidP="00C441D4">
      <w:pPr>
        <w:rPr>
          <w:rFonts w:eastAsia="MS Mincho"/>
          <w:lang w:eastAsia="ja-JP"/>
        </w:rPr>
      </w:pPr>
      <w:r>
        <w:rPr>
          <w:lang w:val="en-US"/>
        </w:rPr>
        <w:t xml:space="preserve">In this contribution we discuss </w:t>
      </w:r>
      <w:r w:rsidR="00523824">
        <w:rPr>
          <w:lang w:val="en-US"/>
        </w:rPr>
        <w:t>some aspects of NR Uu control of the LTE V2X sidelink.</w:t>
      </w: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52686B" w:rsidRDefault="002D30DE" w:rsidP="00F453A8">
      <w:pPr>
        <w:pStyle w:val="Heading2"/>
        <w:rPr>
          <w:lang w:val="en-US"/>
        </w:rPr>
      </w:pPr>
      <w:r>
        <w:rPr>
          <w:lang w:val="en-US"/>
        </w:rPr>
        <w:lastRenderedPageBreak/>
        <w:t>Configuration for</w:t>
      </w:r>
      <w:r w:rsidR="00F453A8">
        <w:rPr>
          <w:lang w:val="en-US"/>
        </w:rPr>
        <w:t xml:space="preserve"> LTE sidelink mode 4</w:t>
      </w:r>
    </w:p>
    <w:p w:rsidR="001426EA" w:rsidRDefault="001426EA" w:rsidP="00F453A8">
      <w:pPr>
        <w:rPr>
          <w:lang w:val="en-US" w:eastAsia="en-GB"/>
        </w:rPr>
      </w:pPr>
      <w:r>
        <w:rPr>
          <w:lang w:val="en-US" w:eastAsia="en-GB"/>
        </w:rPr>
        <w:t xml:space="preserve">RAN1 have already agreed that it </w:t>
      </w:r>
      <w:r w:rsidRPr="001426EA">
        <w:rPr>
          <w:lang w:val="en-US" w:eastAsia="en-GB"/>
        </w:rPr>
        <w:t>is supported that NR Uu provides necessary semi-static configuration for mode-4 LTE SL communications</w:t>
      </w:r>
      <w:r>
        <w:rPr>
          <w:lang w:val="en-US" w:eastAsia="en-GB"/>
        </w:rPr>
        <w:t xml:space="preserve"> and that the signalling details are up to RAN2. In our view, no further work is required in RAN1.</w:t>
      </w:r>
    </w:p>
    <w:p w:rsidR="001426EA" w:rsidRDefault="001426EA" w:rsidP="001426EA">
      <w:pPr>
        <w:rPr>
          <w:b/>
          <w:bCs/>
          <w:lang w:val="en-US" w:eastAsia="zh-CN"/>
        </w:rPr>
      </w:pPr>
      <w:r>
        <w:rPr>
          <w:lang w:val="en-US" w:eastAsia="zh-CN"/>
        </w:rPr>
        <w:br/>
      </w:r>
      <w:bookmarkStart w:id="2" w:name="Obs_Config"/>
      <w:r>
        <w:rPr>
          <w:b/>
          <w:bCs/>
          <w:lang w:val="en-US" w:eastAsia="zh-CN"/>
        </w:rPr>
        <w:t xml:space="preserve">Observation </w:t>
      </w:r>
      <w:r>
        <w:fldChar w:fldCharType="begin"/>
      </w:r>
      <w:r>
        <w:rPr>
          <w:b/>
          <w:bCs/>
          <w:lang w:val="en-US" w:eastAsia="zh-CN"/>
        </w:rPr>
        <w:instrText xml:space="preserve"> SEQ Observation \* Arabic </w:instrText>
      </w:r>
      <w:r>
        <w:fldChar w:fldCharType="separate"/>
      </w:r>
      <w:r w:rsidR="006C6E16">
        <w:rPr>
          <w:b/>
          <w:bCs/>
          <w:noProof/>
          <w:lang w:val="en-US" w:eastAsia="zh-CN"/>
        </w:rPr>
        <w:t>1</w:t>
      </w:r>
      <w:r>
        <w:fldChar w:fldCharType="end"/>
      </w:r>
      <w:r>
        <w:rPr>
          <w:b/>
          <w:bCs/>
          <w:lang w:val="en-US" w:eastAsia="zh-CN"/>
        </w:rPr>
        <w:t xml:space="preserve">: </w:t>
      </w:r>
      <w:r w:rsidR="00EE3CF8">
        <w:rPr>
          <w:b/>
          <w:bCs/>
          <w:lang w:val="en-US" w:eastAsia="zh-CN"/>
        </w:rPr>
        <w:t>No further RAN1 work on configuration for LTE sidelink mode 4 is needed.</w:t>
      </w:r>
    </w:p>
    <w:bookmarkEnd w:id="2"/>
    <w:p w:rsidR="001426EA" w:rsidRDefault="001426EA" w:rsidP="00F453A8">
      <w:pPr>
        <w:rPr>
          <w:lang w:val="en-US" w:eastAsia="en-GB"/>
        </w:rPr>
      </w:pPr>
    </w:p>
    <w:p w:rsidR="00F453A8" w:rsidRDefault="00F453A8" w:rsidP="00F453A8">
      <w:pPr>
        <w:pStyle w:val="Heading2"/>
        <w:rPr>
          <w:lang w:val="en-US"/>
        </w:rPr>
      </w:pPr>
      <w:r>
        <w:rPr>
          <w:lang w:val="en-US"/>
        </w:rPr>
        <w:t>Scheduling of LTE sidelink mode 3</w:t>
      </w:r>
      <w:r w:rsidR="00232EEF">
        <w:rPr>
          <w:lang w:val="en-US"/>
        </w:rPr>
        <w:t xml:space="preserve"> (SPS)</w:t>
      </w:r>
    </w:p>
    <w:p w:rsidR="00F453A8" w:rsidRDefault="0046445D" w:rsidP="00F453A8">
      <w:pPr>
        <w:rPr>
          <w:lang w:val="en-US" w:eastAsia="en-GB"/>
        </w:rPr>
      </w:pPr>
      <w:r>
        <w:rPr>
          <w:lang w:val="en-US" w:eastAsia="en-GB"/>
        </w:rPr>
        <w:t xml:space="preserve">Here the WID scope goes beyond the earlier RAN1 agreement; while RAN1 had agreed to support cross-RAT SPS of LTE sidelink mode 3 by NR Uu without DCI for activation/release, the WID </w:t>
      </w:r>
      <w:r w:rsidR="00054281">
        <w:rPr>
          <w:lang w:val="en-US" w:eastAsia="en-GB"/>
        </w:rPr>
        <w:t xml:space="preserve">on the other hand </w:t>
      </w:r>
      <w:r>
        <w:rPr>
          <w:lang w:val="en-US" w:eastAsia="en-GB"/>
        </w:rPr>
        <w:t>tasks RAN1 with selecting one of the following two alternatives:</w:t>
      </w:r>
    </w:p>
    <w:p w:rsidR="0046445D" w:rsidRPr="0046445D" w:rsidRDefault="0046445D" w:rsidP="0046445D">
      <w:pPr>
        <w:pStyle w:val="ListParagraph"/>
        <w:numPr>
          <w:ilvl w:val="0"/>
          <w:numId w:val="19"/>
        </w:numPr>
        <w:rPr>
          <w:lang w:val="en-US" w:eastAsia="en-GB"/>
        </w:rPr>
      </w:pPr>
      <w:r w:rsidRPr="0046445D">
        <w:rPr>
          <w:lang w:val="en-US" w:eastAsia="en-GB"/>
        </w:rPr>
        <w:t xml:space="preserve">RRC-based activation/release </w:t>
      </w:r>
    </w:p>
    <w:p w:rsidR="0046445D" w:rsidRPr="0046445D" w:rsidRDefault="0046445D" w:rsidP="0046445D">
      <w:pPr>
        <w:pStyle w:val="ListParagraph"/>
        <w:numPr>
          <w:ilvl w:val="0"/>
          <w:numId w:val="19"/>
        </w:numPr>
        <w:rPr>
          <w:lang w:val="en-US" w:eastAsia="en-GB"/>
        </w:rPr>
      </w:pPr>
      <w:r w:rsidRPr="0046445D">
        <w:rPr>
          <w:lang w:val="en-US" w:eastAsia="en-GB"/>
        </w:rPr>
        <w:t xml:space="preserve">DCI-based activation/release </w:t>
      </w:r>
    </w:p>
    <w:p w:rsidR="0046445D" w:rsidRDefault="0046445D" w:rsidP="0046445D">
      <w:pPr>
        <w:rPr>
          <w:lang w:val="en-US" w:eastAsia="en-GB"/>
        </w:rPr>
      </w:pPr>
    </w:p>
    <w:p w:rsidR="0046445D" w:rsidRDefault="00523824" w:rsidP="0046445D">
      <w:pPr>
        <w:rPr>
          <w:lang w:val="en-US" w:eastAsia="en-GB"/>
        </w:rPr>
      </w:pPr>
      <w:r>
        <w:rPr>
          <w:lang w:val="en-US" w:eastAsia="en-GB"/>
        </w:rPr>
        <w:t xml:space="preserve">RAN1 is to select one of these two alternatives until RAN#84, hence </w:t>
      </w:r>
      <w:r w:rsidR="004452A9">
        <w:rPr>
          <w:lang w:val="en-US" w:eastAsia="en-GB"/>
        </w:rPr>
        <w:t>RAN1 must make its selection in</w:t>
      </w:r>
      <w:r>
        <w:rPr>
          <w:lang w:val="en-US" w:eastAsia="en-GB"/>
        </w:rPr>
        <w:t xml:space="preserve"> </w:t>
      </w:r>
      <w:r w:rsidR="00951767">
        <w:rPr>
          <w:lang w:val="en-US" w:eastAsia="en-GB"/>
        </w:rPr>
        <w:t>the present</w:t>
      </w:r>
      <w:r>
        <w:rPr>
          <w:lang w:val="en-US" w:eastAsia="en-GB"/>
        </w:rPr>
        <w:t xml:space="preserve"> meeting </w:t>
      </w:r>
      <w:r w:rsidR="00951767">
        <w:rPr>
          <w:lang w:val="en-US" w:eastAsia="en-GB"/>
        </w:rPr>
        <w:t>(</w:t>
      </w:r>
      <w:r>
        <w:rPr>
          <w:lang w:val="en-US" w:eastAsia="en-GB"/>
        </w:rPr>
        <w:t>RAN1#97</w:t>
      </w:r>
      <w:r w:rsidR="00951767">
        <w:rPr>
          <w:lang w:val="en-US" w:eastAsia="en-GB"/>
        </w:rPr>
        <w:t>)</w:t>
      </w:r>
      <w:r>
        <w:rPr>
          <w:lang w:val="en-US" w:eastAsia="en-GB"/>
        </w:rPr>
        <w:t xml:space="preserve">. </w:t>
      </w:r>
      <w:r w:rsidR="007B79A8">
        <w:rPr>
          <w:lang w:val="en-US" w:eastAsia="en-GB"/>
        </w:rPr>
        <w:t>So let us look at the advantages and disadvantages of the two methods for activation/release of LTE V2X sidelink SPS.</w:t>
      </w:r>
    </w:p>
    <w:p w:rsidR="00E37AFE" w:rsidRDefault="00E37AFE" w:rsidP="0046445D">
      <w:pPr>
        <w:rPr>
          <w:lang w:val="en-US" w:eastAsia="en-GB"/>
        </w:rPr>
      </w:pPr>
      <w:r>
        <w:rPr>
          <w:lang w:val="en-US" w:eastAsia="en-GB"/>
        </w:rPr>
        <w:t xml:space="preserve">Ignoring for the time being the specific issues in the cross-RAT scenario, the advantage of DCI-based activation/release is that it is a faster and more efficient mechanism in the cases where semi-static configuration (using RRC signalling) and activation/release are separated in time; e.g. when SPS configuration takes place once and the SPS is subsequently activated and released multiple times, because e.g. the service generating the traffic is used intermittently. </w:t>
      </w:r>
      <w:r w:rsidR="007E2D10">
        <w:rPr>
          <w:lang w:val="en-US" w:eastAsia="en-GB"/>
        </w:rPr>
        <w:t>The drawbacks are that configuring and activating SPS requires two downlink messages (RRC and DCI) instead of one, and that it may be less reliable because the UE might miss the DCI</w:t>
      </w:r>
      <w:r w:rsidR="00D06785">
        <w:rPr>
          <w:lang w:val="en-US" w:eastAsia="en-GB"/>
        </w:rPr>
        <w:t xml:space="preserve"> (the RRC message uses RLC acknowledged mode and can hence be assumed to be reliable). </w:t>
      </w:r>
    </w:p>
    <w:p w:rsidR="00E37AFE" w:rsidRDefault="00E37AFE" w:rsidP="0046445D">
      <w:pPr>
        <w:rPr>
          <w:lang w:val="en-US" w:eastAsia="en-GB"/>
        </w:rPr>
      </w:pPr>
      <w:r>
        <w:rPr>
          <w:lang w:val="en-US" w:eastAsia="en-GB"/>
        </w:rPr>
        <w:t>The advantage of RRC-based activation/release is that it is a simpler and more reliable mechanism when semi-static configuration and activation of SPS should occur at the same time: It is simpler in that only an RRC message needs to be sent rathe</w:t>
      </w:r>
      <w:r w:rsidR="007E2D10">
        <w:rPr>
          <w:lang w:val="en-US" w:eastAsia="en-GB"/>
        </w:rPr>
        <w:t>r than an RRC message and a DCI. F</w:t>
      </w:r>
      <w:r>
        <w:rPr>
          <w:lang w:val="en-US" w:eastAsia="en-GB"/>
        </w:rPr>
        <w:t xml:space="preserve">or the same reason it is more reliable, </w:t>
      </w:r>
      <w:r w:rsidR="007E2D10">
        <w:rPr>
          <w:lang w:val="en-US" w:eastAsia="en-GB"/>
        </w:rPr>
        <w:t xml:space="preserve">since the RRC message is transmitted using RLC acknowledged mode and </w:t>
      </w:r>
      <w:r>
        <w:rPr>
          <w:lang w:val="en-US" w:eastAsia="en-GB"/>
        </w:rPr>
        <w:t>there is no risk that the DCI for activation/release</w:t>
      </w:r>
      <w:r w:rsidR="007E2D10">
        <w:rPr>
          <w:lang w:val="en-US" w:eastAsia="en-GB"/>
        </w:rPr>
        <w:t>, for which there is no acknowledgement,</w:t>
      </w:r>
      <w:r>
        <w:rPr>
          <w:lang w:val="en-US" w:eastAsia="en-GB"/>
        </w:rPr>
        <w:t xml:space="preserve"> is</w:t>
      </w:r>
      <w:r w:rsidR="007E2D10">
        <w:rPr>
          <w:lang w:val="en-US" w:eastAsia="en-GB"/>
        </w:rPr>
        <w:t xml:space="preserve"> accidentally missed by the UE.</w:t>
      </w:r>
    </w:p>
    <w:p w:rsidR="006017ED" w:rsidRDefault="007E2D10" w:rsidP="0046445D">
      <w:pPr>
        <w:rPr>
          <w:lang w:val="en-US" w:eastAsia="en-GB"/>
        </w:rPr>
      </w:pPr>
      <w:r>
        <w:rPr>
          <w:lang w:val="en-US" w:eastAsia="en-GB"/>
        </w:rPr>
        <w:t xml:space="preserve">In the cross-RAT scenario there is an additional consideration: Any signalling received over NR Uu must be forwarded from the NR module to the LTE module. The importance of this aspect will depend on the </w:t>
      </w:r>
      <w:r w:rsidR="00A915D3">
        <w:rPr>
          <w:lang w:val="en-US" w:eastAsia="en-GB"/>
        </w:rPr>
        <w:t xml:space="preserve">UE </w:t>
      </w:r>
      <w:r>
        <w:rPr>
          <w:lang w:val="en-US" w:eastAsia="en-GB"/>
        </w:rPr>
        <w:t xml:space="preserve">implementation, but it seems likely that forwarding two types of signalling, namely both RRC and DCI, will add more complexity than forwarding just one type of signalling (RRC). Moreover, this forwarding may </w:t>
      </w:r>
      <w:r w:rsidR="006D45D7">
        <w:rPr>
          <w:lang w:val="en-US" w:eastAsia="en-GB"/>
        </w:rPr>
        <w:t>lead</w:t>
      </w:r>
      <w:r>
        <w:rPr>
          <w:lang w:val="en-US" w:eastAsia="en-GB"/>
        </w:rPr>
        <w:t xml:space="preserve"> to additional delay, which in turn </w:t>
      </w:r>
      <w:r w:rsidR="00F24DD7">
        <w:rPr>
          <w:lang w:val="en-US" w:eastAsia="en-GB"/>
        </w:rPr>
        <w:t>would</w:t>
      </w:r>
      <w:r>
        <w:rPr>
          <w:lang w:val="en-US" w:eastAsia="en-GB"/>
        </w:rPr>
        <w:t xml:space="preserve"> negate one of the potential benefits of DCI-based activation/release.</w:t>
      </w:r>
      <w:r w:rsidR="006017ED">
        <w:rPr>
          <w:lang w:val="en-US" w:eastAsia="en-GB"/>
        </w:rPr>
        <w:t xml:space="preserve"> On the other hand, a current LTE </w:t>
      </w:r>
      <w:r w:rsidR="00FF1C03">
        <w:rPr>
          <w:lang w:val="en-US" w:eastAsia="en-GB"/>
        </w:rPr>
        <w:t xml:space="preserve">UE </w:t>
      </w:r>
      <w:r w:rsidR="006017ED">
        <w:rPr>
          <w:lang w:val="en-US" w:eastAsia="en-GB"/>
        </w:rPr>
        <w:t xml:space="preserve">implementation expects activation/release of sidelink SPS by DCI, hence DCI-based activation/release might require fewer modifications to the existing LTE </w:t>
      </w:r>
      <w:r w:rsidR="00FF1C03">
        <w:rPr>
          <w:lang w:val="en-US" w:eastAsia="en-GB"/>
        </w:rPr>
        <w:t xml:space="preserve">UE </w:t>
      </w:r>
      <w:r w:rsidR="006017ED">
        <w:rPr>
          <w:lang w:val="en-US" w:eastAsia="en-GB"/>
        </w:rPr>
        <w:t xml:space="preserve">implementation. </w:t>
      </w:r>
    </w:p>
    <w:p w:rsidR="009024FB" w:rsidRDefault="009024FB" w:rsidP="0046445D">
      <w:pPr>
        <w:rPr>
          <w:lang w:val="en-US" w:eastAsia="en-GB"/>
        </w:rPr>
      </w:pPr>
      <w:r>
        <w:rPr>
          <w:lang w:val="en-US" w:eastAsia="en-GB"/>
        </w:rPr>
        <w:t>From the specification point of view, RRC-based activation/release is less effort for RAN1 (no new DCI required</w:t>
      </w:r>
      <w:r w:rsidR="006017ED">
        <w:rPr>
          <w:lang w:val="en-US" w:eastAsia="en-GB"/>
        </w:rPr>
        <w:t xml:space="preserve"> in the NR specification</w:t>
      </w:r>
      <w:r>
        <w:rPr>
          <w:lang w:val="en-US" w:eastAsia="en-GB"/>
        </w:rPr>
        <w:t xml:space="preserve">), but more effort for RAN2 (RRC-based activation/release </w:t>
      </w:r>
      <w:r w:rsidR="004B0A05">
        <w:rPr>
          <w:lang w:val="en-US" w:eastAsia="en-GB"/>
        </w:rPr>
        <w:t xml:space="preserve">of V2X </w:t>
      </w:r>
      <w:r w:rsidR="004B0A05">
        <w:rPr>
          <w:lang w:val="en-US" w:eastAsia="en-GB"/>
        </w:rPr>
        <w:lastRenderedPageBreak/>
        <w:t xml:space="preserve">sidelink SPS </w:t>
      </w:r>
      <w:r>
        <w:rPr>
          <w:lang w:val="en-US" w:eastAsia="en-GB"/>
        </w:rPr>
        <w:t>is not currently supported in LTE layer 2 specifications</w:t>
      </w:r>
      <w:r w:rsidR="00D06785">
        <w:rPr>
          <w:lang w:val="en-US" w:eastAsia="en-GB"/>
        </w:rPr>
        <w:t>, hence it is not possible to reuse an existing LTE RRC structure as container</w:t>
      </w:r>
      <w:r>
        <w:rPr>
          <w:lang w:val="en-US" w:eastAsia="en-GB"/>
        </w:rPr>
        <w:t xml:space="preserve">). </w:t>
      </w:r>
      <w:r w:rsidR="00D06785">
        <w:rPr>
          <w:lang w:val="en-US" w:eastAsia="en-GB"/>
        </w:rPr>
        <w:t>However, adding the capability to activate/release SPS to an RRC message is less specification effort than creating a new DCI (which involves considerations such as message size alignment and blind decoding effort).</w:t>
      </w:r>
    </w:p>
    <w:p w:rsidR="0046445D" w:rsidRPr="00F453A8" w:rsidRDefault="00EE3CF8" w:rsidP="00F453A8">
      <w:pPr>
        <w:rPr>
          <w:lang w:val="en-US" w:eastAsia="en-GB"/>
        </w:rPr>
      </w:pPr>
      <w:r>
        <w:rPr>
          <w:lang w:val="en-US" w:eastAsia="en-GB"/>
        </w:rPr>
        <w:t>In summary, from this comparison of RRC-based and DCI-based activation/release of sidelink SPS,</w:t>
      </w:r>
      <w:r w:rsidR="00D06785">
        <w:rPr>
          <w:lang w:val="en-US" w:eastAsia="en-GB"/>
        </w:rPr>
        <w:t xml:space="preserve"> a slight preference for RRC-based activation/deactivation emerges.</w:t>
      </w:r>
    </w:p>
    <w:p w:rsidR="00C441D4" w:rsidRDefault="00C441D4" w:rsidP="000D33B2">
      <w:pPr>
        <w:rPr>
          <w:b/>
          <w:bCs/>
          <w:lang w:val="en-US" w:eastAsia="zh-CN"/>
        </w:rPr>
      </w:pPr>
    </w:p>
    <w:p w:rsidR="00CE59D8" w:rsidRPr="005867B5" w:rsidRDefault="00283C34" w:rsidP="000D33B2">
      <w:pPr>
        <w:rPr>
          <w:lang w:val="en-US" w:eastAsia="zh-CN"/>
        </w:rPr>
      </w:pPr>
      <w:bookmarkStart w:id="3" w:name="P_TODO"/>
      <w:bookmarkStart w:id="4" w:name="P_DCI_vs_RRC"/>
      <w:r w:rsidRPr="00283C34">
        <w:rPr>
          <w:b/>
          <w:bCs/>
          <w:lang w:val="en-US" w:eastAsia="zh-CN"/>
        </w:rPr>
        <w:t>Proposal</w:t>
      </w:r>
      <w:r w:rsidR="005570E4">
        <w:rPr>
          <w:b/>
          <w:bCs/>
          <w:lang w:val="en-US" w:eastAsia="zh-CN"/>
        </w:rPr>
        <w:t xml:space="preserve"> </w:t>
      </w:r>
      <w:bookmarkStart w:id="5" w:name="_Hlk5129169"/>
      <w:r w:rsidR="009B06F7">
        <w:rPr>
          <w:b/>
          <w:bCs/>
          <w:lang w:val="en-US" w:eastAsia="zh-CN"/>
        </w:rPr>
        <w:fldChar w:fldCharType="begin"/>
      </w:r>
      <w:r w:rsidR="009B06F7">
        <w:rPr>
          <w:b/>
          <w:bCs/>
          <w:lang w:val="en-US" w:eastAsia="zh-CN"/>
        </w:rPr>
        <w:instrText xml:space="preserve"> SEQ Proposal \* Arabic </w:instrText>
      </w:r>
      <w:r w:rsidR="009B06F7">
        <w:rPr>
          <w:b/>
          <w:bCs/>
          <w:lang w:val="en-US" w:eastAsia="zh-CN"/>
        </w:rPr>
        <w:fldChar w:fldCharType="separate"/>
      </w:r>
      <w:r w:rsidR="006C6E16">
        <w:rPr>
          <w:b/>
          <w:bCs/>
          <w:noProof/>
          <w:lang w:val="en-US" w:eastAsia="zh-CN"/>
        </w:rPr>
        <w:t>1</w:t>
      </w:r>
      <w:r w:rsidR="009B06F7">
        <w:rPr>
          <w:b/>
          <w:bCs/>
          <w:lang w:val="en-US" w:eastAsia="zh-CN"/>
        </w:rPr>
        <w:fldChar w:fldCharType="end"/>
      </w:r>
      <w:bookmarkEnd w:id="5"/>
      <w:r w:rsidRPr="00283C34">
        <w:rPr>
          <w:b/>
          <w:bCs/>
          <w:lang w:val="en-US" w:eastAsia="zh-CN"/>
        </w:rPr>
        <w:t xml:space="preserve">: </w:t>
      </w:r>
      <w:bookmarkEnd w:id="3"/>
      <w:r w:rsidR="00D06785">
        <w:rPr>
          <w:b/>
          <w:bCs/>
          <w:lang w:val="en-US" w:eastAsia="zh-CN"/>
        </w:rPr>
        <w:t>Support</w:t>
      </w:r>
      <w:r w:rsidR="009D39B9">
        <w:rPr>
          <w:b/>
          <w:bCs/>
          <w:lang w:val="en-US" w:eastAsia="zh-CN"/>
        </w:rPr>
        <w:t xml:space="preserve"> RRC-based activation/release of LTE sidelink SPS</w:t>
      </w:r>
      <w:bookmarkEnd w:id="4"/>
      <w:r w:rsidR="00D06785">
        <w:rPr>
          <w:b/>
          <w:bCs/>
          <w:lang w:val="en-US" w:eastAsia="zh-CN"/>
        </w:rPr>
        <w:t>.</w:t>
      </w:r>
      <w:r w:rsidR="001B0001">
        <w:rPr>
          <w:b/>
          <w:bCs/>
          <w:lang w:val="en-US" w:eastAsia="zh-CN"/>
        </w:rPr>
        <w:br/>
      </w:r>
    </w:p>
    <w:p w:rsidR="00D65420" w:rsidRDefault="00D65420" w:rsidP="001562FD">
      <w:pPr>
        <w:rPr>
          <w:lang w:val="en-US" w:eastAsia="zh-CN"/>
        </w:rPr>
      </w:pPr>
    </w:p>
    <w:p w:rsidR="0037523A" w:rsidRDefault="0037523A" w:rsidP="00FC58B1">
      <w:pPr>
        <w:rPr>
          <w:lang w:val="en-US" w:eastAsia="zh-CN"/>
        </w:rPr>
      </w:pPr>
    </w:p>
    <w:p w:rsidR="0037523A" w:rsidRDefault="0037523A"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BC513D">
        <w:rPr>
          <w:lang w:val="en-US"/>
        </w:rPr>
        <w:t>some aspects of NR Uu control of the LTE V2X sidelink</w:t>
      </w:r>
      <w:r w:rsidR="00BC513D" w:rsidRPr="00FA2471">
        <w:rPr>
          <w:lang w:val="en-US"/>
        </w:rPr>
        <w:t xml:space="preserve"> </w:t>
      </w:r>
      <w:r w:rsidR="00FA2471" w:rsidRPr="00FA2471">
        <w:rPr>
          <w:lang w:val="en-US"/>
        </w:rPr>
        <w:t>and make the following observations and proposals:</w:t>
      </w:r>
    </w:p>
    <w:p w:rsidR="006C6E16" w:rsidRDefault="00BC513D" w:rsidP="001426EA">
      <w:pPr>
        <w:rPr>
          <w:b/>
          <w:bCs/>
          <w:lang w:val="en-US" w:eastAsia="zh-CN"/>
        </w:rPr>
      </w:pPr>
      <w:r>
        <w:rPr>
          <w:lang w:val="en-US"/>
        </w:rPr>
        <w:fldChar w:fldCharType="begin"/>
      </w:r>
      <w:r>
        <w:rPr>
          <w:lang w:val="en-US"/>
        </w:rPr>
        <w:instrText xml:space="preserve"> REF Obs_Config \h </w:instrText>
      </w:r>
      <w:r>
        <w:rPr>
          <w:lang w:val="en-US"/>
        </w:rPr>
      </w:r>
      <w:r>
        <w:rPr>
          <w:lang w:val="en-US"/>
        </w:rPr>
        <w:fldChar w:fldCharType="separate"/>
      </w:r>
      <w:r w:rsidR="006C6E16">
        <w:rPr>
          <w:b/>
          <w:bCs/>
          <w:lang w:val="en-US" w:eastAsia="zh-CN"/>
        </w:rPr>
        <w:t xml:space="preserve">Observation </w:t>
      </w:r>
      <w:r w:rsidR="006C6E16">
        <w:rPr>
          <w:b/>
          <w:bCs/>
          <w:noProof/>
          <w:lang w:val="en-US" w:eastAsia="zh-CN"/>
        </w:rPr>
        <w:t>1</w:t>
      </w:r>
      <w:r w:rsidR="006C6E16">
        <w:rPr>
          <w:b/>
          <w:bCs/>
          <w:lang w:val="en-US" w:eastAsia="zh-CN"/>
        </w:rPr>
        <w:t>: No further RAN1 work on configuration for LTE sidelink mode 4 is needed.</w:t>
      </w:r>
    </w:p>
    <w:p w:rsidR="00BC513D" w:rsidRDefault="00BC513D" w:rsidP="0023738D">
      <w:pPr>
        <w:rPr>
          <w:lang w:val="en-US"/>
        </w:rPr>
      </w:pPr>
      <w:r>
        <w:rPr>
          <w:lang w:val="en-US"/>
        </w:rPr>
        <w:fldChar w:fldCharType="end"/>
      </w:r>
    </w:p>
    <w:p w:rsidR="00C65D4C" w:rsidRDefault="00BC513D" w:rsidP="00C65D4C">
      <w:pPr>
        <w:rPr>
          <w:lang w:val="en-US"/>
        </w:rPr>
      </w:pPr>
      <w:r>
        <w:rPr>
          <w:lang w:val="en-US"/>
        </w:rPr>
        <w:fldChar w:fldCharType="begin"/>
      </w:r>
      <w:r>
        <w:rPr>
          <w:lang w:val="en-US"/>
        </w:rPr>
        <w:instrText xml:space="preserve"> REF P_DCI_vs_RRC \h </w:instrText>
      </w:r>
      <w:r>
        <w:rPr>
          <w:lang w:val="en-US"/>
        </w:rPr>
      </w:r>
      <w:r>
        <w:rPr>
          <w:lang w:val="en-US"/>
        </w:rPr>
        <w:fldChar w:fldCharType="separate"/>
      </w:r>
      <w:r w:rsidR="006C6E16" w:rsidRPr="00283C34">
        <w:rPr>
          <w:b/>
          <w:bCs/>
          <w:lang w:val="en-US" w:eastAsia="zh-CN"/>
        </w:rPr>
        <w:t>Proposal</w:t>
      </w:r>
      <w:r w:rsidR="006C6E16">
        <w:rPr>
          <w:b/>
          <w:bCs/>
          <w:lang w:val="en-US" w:eastAsia="zh-CN"/>
        </w:rPr>
        <w:t xml:space="preserve"> </w:t>
      </w:r>
      <w:r w:rsidR="006C6E16">
        <w:rPr>
          <w:b/>
          <w:bCs/>
          <w:noProof/>
          <w:lang w:val="en-US" w:eastAsia="zh-CN"/>
        </w:rPr>
        <w:t>1</w:t>
      </w:r>
      <w:r w:rsidR="006C6E16" w:rsidRPr="00283C34">
        <w:rPr>
          <w:b/>
          <w:bCs/>
          <w:lang w:val="en-US" w:eastAsia="zh-CN"/>
        </w:rPr>
        <w:t xml:space="preserve">: </w:t>
      </w:r>
      <w:r w:rsidR="006C6E16">
        <w:rPr>
          <w:b/>
          <w:bCs/>
          <w:lang w:val="en-US" w:eastAsia="zh-CN"/>
        </w:rPr>
        <w:t>Support RRC-based activation/release of LTE sidelink SPS</w:t>
      </w:r>
      <w:r>
        <w:rPr>
          <w:lang w:val="en-US"/>
        </w:rPr>
        <w:fldChar w:fldCharType="end"/>
      </w:r>
      <w:r w:rsidR="00C65D4C">
        <w:rPr>
          <w:lang w:val="en-US"/>
        </w:rPr>
        <w:t>.</w:t>
      </w:r>
    </w:p>
    <w:p w:rsidR="00BC513D" w:rsidRDefault="00BC513D" w:rsidP="0023738D">
      <w:pPr>
        <w:rPr>
          <w:lang w:val="en-US"/>
        </w:rPr>
      </w:pPr>
    </w:p>
    <w:p w:rsidR="00FA2471" w:rsidRDefault="00FA2471" w:rsidP="00ED066E">
      <w:pPr>
        <w:jc w:val="both"/>
        <w:rPr>
          <w:lang w:val="en-US"/>
        </w:rPr>
      </w:pP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615A9" w:rsidP="00D615A9">
      <w:pPr>
        <w:widowControl w:val="0"/>
        <w:numPr>
          <w:ilvl w:val="0"/>
          <w:numId w:val="2"/>
        </w:numPr>
        <w:tabs>
          <w:tab w:val="num" w:pos="708"/>
        </w:tabs>
        <w:spacing w:after="120"/>
        <w:jc w:val="both"/>
        <w:rPr>
          <w:lang w:val="en-US" w:eastAsia="zh-CN"/>
        </w:rPr>
      </w:pPr>
      <w:bookmarkStart w:id="6" w:name="_Ref513823147"/>
      <w:r w:rsidRPr="00D615A9">
        <w:rPr>
          <w:lang w:val="en-US" w:eastAsia="zh-CN"/>
        </w:rPr>
        <w:t>RP-190766</w:t>
      </w:r>
      <w:r w:rsidR="00A65F11">
        <w:rPr>
          <w:lang w:val="en-US" w:eastAsia="zh-CN"/>
        </w:rPr>
        <w:t>, “</w:t>
      </w:r>
      <w:bookmarkEnd w:id="6"/>
      <w:r w:rsidRPr="00D615A9">
        <w:rPr>
          <w:lang w:val="en-US" w:eastAsia="zh-CN"/>
        </w:rPr>
        <w:t>New WID on 5G V2X with NR sidelink</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D170EF" w:rsidRDefault="00D170EF" w:rsidP="00D170EF">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01A" w:rsidRDefault="0069001A">
      <w:r>
        <w:separator/>
      </w:r>
    </w:p>
  </w:endnote>
  <w:endnote w:type="continuationSeparator" w:id="0">
    <w:p w:rsidR="0069001A" w:rsidRDefault="0069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01A" w:rsidRDefault="0069001A">
      <w:r>
        <w:separator/>
      </w:r>
    </w:p>
  </w:footnote>
  <w:footnote w:type="continuationSeparator" w:id="0">
    <w:p w:rsidR="0069001A" w:rsidRDefault="00690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2"/>
  </w:num>
  <w:num w:numId="6">
    <w:abstractNumId w:val="1"/>
  </w:num>
  <w:num w:numId="7">
    <w:abstractNumId w:val="15"/>
  </w:num>
  <w:num w:numId="8">
    <w:abstractNumId w:val="5"/>
  </w:num>
  <w:num w:numId="9">
    <w:abstractNumId w:val="6"/>
  </w:num>
  <w:num w:numId="10">
    <w:abstractNumId w:val="11"/>
  </w:num>
  <w:num w:numId="11">
    <w:abstractNumId w:val="18"/>
  </w:num>
  <w:num w:numId="12">
    <w:abstractNumId w:val="20"/>
  </w:num>
  <w:num w:numId="13">
    <w:abstractNumId w:val="13"/>
  </w:num>
  <w:num w:numId="14">
    <w:abstractNumId w:val="19"/>
  </w:num>
  <w:num w:numId="15">
    <w:abstractNumId w:val="14"/>
  </w:num>
  <w:num w:numId="16">
    <w:abstractNumId w:val="17"/>
  </w:num>
  <w:num w:numId="17">
    <w:abstractNumId w:val="9"/>
  </w:num>
  <w:num w:numId="18">
    <w:abstractNumId w:val="16"/>
  </w:num>
  <w:num w:numId="19">
    <w:abstractNumId w:val="8"/>
  </w:num>
  <w:num w:numId="2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2BE"/>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804"/>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2CD9"/>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2A9"/>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01A"/>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16"/>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67"/>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D4C"/>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785"/>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03"/>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55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D5E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2B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1532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2BE"/>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B0893-AE13-4983-9768-84B80899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2019-04-03T04:31:00Z</dcterms:created>
  <dcterms:modified xsi:type="dcterms:W3CDTF">2019-05-04T05:48:00Z</dcterms:modified>
</cp:coreProperties>
</file>