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109DA0DC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E937FE">
        <w:rPr>
          <w:rFonts w:ascii="Arial" w:eastAsia="ＭＳ 明朝" w:hAnsi="Arial" w:cs="Arial" w:hint="eastAsia"/>
          <w:b/>
          <w:bCs/>
          <w:sz w:val="28"/>
          <w:lang w:eastAsia="ja-JP"/>
        </w:rPr>
        <w:t>#96</w:t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E937FE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FE0A6A" w:rsidRPr="00FE0A6A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1902167</w:t>
      </w:r>
    </w:p>
    <w:p w14:paraId="7C19ABDC" w14:textId="239E936C" w:rsidR="002D6DCB" w:rsidRPr="002D6DCB" w:rsidRDefault="00E937FE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Athens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Greece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25</w:t>
      </w:r>
      <w:r w:rsidRPr="00E937FE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 w:hint="eastAsia"/>
          <w:b/>
          <w:bCs/>
          <w:sz w:val="28"/>
          <w:lang w:eastAsia="ja-JP"/>
        </w:rPr>
        <w:t xml:space="preserve"> February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1</w:t>
      </w:r>
      <w:r w:rsidRPr="00E937FE">
        <w:rPr>
          <w:rFonts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cs="Arial" w:hint="eastAsia"/>
          <w:b/>
          <w:bCs/>
          <w:sz w:val="28"/>
          <w:lang w:eastAsia="ja-JP"/>
        </w:rPr>
        <w:t xml:space="preserve"> March</w:t>
      </w:r>
      <w:r w:rsidR="00A64B1F">
        <w:rPr>
          <w:rFonts w:cs="Arial"/>
          <w:b/>
          <w:bCs/>
          <w:sz w:val="28"/>
          <w:lang w:eastAsia="ja-JP"/>
        </w:rPr>
        <w:t>, 201</w:t>
      </w:r>
      <w:r w:rsidR="003D798B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E937FE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411BD705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C73E7DE" w:rsidR="00842220" w:rsidRPr="004C098F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9D018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I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nitial access 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signals and channels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4C098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5C8B1" w14:textId="1052DE18" w:rsidR="0039253D" w:rsidRDefault="00BC5837" w:rsidP="00D66F82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>
        <w:rPr>
          <w:rFonts w:eastAsia="ＭＳ 明朝" w:cs="Times" w:hint="eastAsia"/>
          <w:lang w:eastAsia="ja-JP"/>
        </w:rPr>
        <w:t>RAN</w:t>
      </w:r>
      <w:r w:rsidR="00E937FE">
        <w:rPr>
          <w:rFonts w:eastAsia="ＭＳ 明朝" w:cs="Times" w:hint="eastAsia"/>
          <w:lang w:eastAsia="ja-JP"/>
        </w:rPr>
        <w:t xml:space="preserve">1 </w:t>
      </w:r>
      <w:r w:rsidR="00503921">
        <w:rPr>
          <w:rFonts w:eastAsia="ＭＳ 明朝" w:cs="Times" w:hint="eastAsia"/>
          <w:lang w:eastAsia="ja-JP"/>
        </w:rPr>
        <w:t>NR-</w:t>
      </w:r>
      <w:r w:rsidR="00E937FE">
        <w:rPr>
          <w:rFonts w:eastAsia="ＭＳ 明朝" w:cs="Times" w:hint="eastAsia"/>
          <w:lang w:eastAsia="ja-JP"/>
        </w:rPr>
        <w:t xml:space="preserve">AH1901 </w:t>
      </w:r>
      <w:r>
        <w:rPr>
          <w:rFonts w:eastAsia="ＭＳ 明朝" w:cs="Times" w:hint="eastAsia"/>
          <w:lang w:eastAsia="ja-JP"/>
        </w:rPr>
        <w:t>meeting</w:t>
      </w:r>
      <w:r w:rsidR="00E937FE">
        <w:rPr>
          <w:rFonts w:eastAsia="ＭＳ 明朝" w:cs="Times" w:hint="eastAsia"/>
          <w:lang w:eastAsia="ja-JP"/>
        </w:rPr>
        <w:t xml:space="preserve"> [1]</w:t>
      </w:r>
      <w:r>
        <w:rPr>
          <w:rFonts w:eastAsia="ＭＳ 明朝" w:cs="Times" w:hint="eastAsia"/>
          <w:lang w:eastAsia="ja-JP"/>
        </w:rPr>
        <w:t xml:space="preserve">, the following </w:t>
      </w:r>
      <w:r w:rsidR="00E937FE">
        <w:rPr>
          <w:rFonts w:eastAsia="ＭＳ 明朝" w:cs="Times" w:hint="eastAsia"/>
          <w:lang w:eastAsia="ja-JP"/>
        </w:rPr>
        <w:t xml:space="preserve">agreement and conclusion </w:t>
      </w:r>
      <w:r>
        <w:rPr>
          <w:rFonts w:eastAsia="ＭＳ 明朝" w:cs="Times" w:hint="eastAsia"/>
          <w:lang w:eastAsia="ja-JP"/>
        </w:rPr>
        <w:t xml:space="preserve">related to initial access </w:t>
      </w:r>
      <w:r w:rsidR="00E937FE">
        <w:rPr>
          <w:rFonts w:eastAsia="ＭＳ 明朝" w:cs="Times" w:hint="eastAsia"/>
          <w:lang w:eastAsia="ja-JP"/>
        </w:rPr>
        <w:t>signals and channels were made</w:t>
      </w:r>
      <w:r>
        <w:rPr>
          <w:rFonts w:eastAsia="ＭＳ 明朝" w:cs="Times" w:hint="eastAsia"/>
          <w:lang w:eastAsia="ja-JP"/>
        </w:rPr>
        <w:t>.</w:t>
      </w:r>
    </w:p>
    <w:p w14:paraId="3EB1826E" w14:textId="77777777" w:rsidR="00E937FE" w:rsidRDefault="00E937FE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F01B3DD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highlight w:val="green"/>
          <w:lang w:eastAsia="x-none"/>
        </w:rPr>
        <w:t>Agreement:</w:t>
      </w:r>
      <w:r w:rsidRPr="001243DE">
        <w:rPr>
          <w:rFonts w:cs="Times"/>
          <w:szCs w:val="20"/>
          <w:lang w:eastAsia="x-none"/>
        </w:rPr>
        <w:t xml:space="preserve"> </w:t>
      </w:r>
    </w:p>
    <w:p w14:paraId="2F5E07BE" w14:textId="77777777" w:rsidR="00E937FE" w:rsidRPr="001243DE" w:rsidRDefault="00E937FE" w:rsidP="00E937FE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UE assumes 30KHz SCS for SS/PBCH block for 5GHz band and 6GHz band if the SCS is not indicated by higher layers.</w:t>
      </w:r>
    </w:p>
    <w:p w14:paraId="455BD16D" w14:textId="77777777" w:rsidR="00E937FE" w:rsidRPr="001243DE" w:rsidRDefault="00E937FE" w:rsidP="00E937FE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Support configuration by higher layers of 15KHz or 30KHz SCS for SS/PBCH block</w:t>
      </w:r>
    </w:p>
    <w:p w14:paraId="6E7E0E6C" w14:textId="77777777" w:rsidR="00E937FE" w:rsidRPr="001243DE" w:rsidRDefault="00E937FE" w:rsidP="00E937FE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 xml:space="preserve">Include this agreement in a LS to RAN4 (cc RAN2) for inclusion in specs managed by RAN4 </w:t>
      </w:r>
    </w:p>
    <w:p w14:paraId="74FC3E8A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</w:p>
    <w:p w14:paraId="0BF83756" w14:textId="77777777" w:rsidR="00E937FE" w:rsidRPr="001243DE" w:rsidRDefault="00E937FE" w:rsidP="00E937FE">
      <w:pPr>
        <w:rPr>
          <w:rFonts w:cs="Times"/>
          <w:szCs w:val="20"/>
          <w:u w:val="single"/>
          <w:lang w:eastAsia="x-none"/>
        </w:rPr>
      </w:pPr>
      <w:r w:rsidRPr="001243DE">
        <w:rPr>
          <w:rFonts w:cs="Times"/>
          <w:szCs w:val="20"/>
          <w:u w:val="single"/>
          <w:lang w:eastAsia="x-none"/>
        </w:rPr>
        <w:t>Conclusion:</w:t>
      </w:r>
    </w:p>
    <w:p w14:paraId="4C6F93D1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No changes are required to the time and frequency position of the PSS/SSS/PBCH relative to each other in one PSS/SSS/PBCH block.</w:t>
      </w:r>
    </w:p>
    <w:p w14:paraId="0F84A6DA" w14:textId="77777777" w:rsidR="00E937FE" w:rsidRDefault="00E937FE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74F67847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highlight w:val="green"/>
          <w:lang w:eastAsia="x-none"/>
        </w:rPr>
        <w:t>Agreement:</w:t>
      </w:r>
    </w:p>
    <w:p w14:paraId="2E712931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The Type0-PDCCH monitoring configuration for NR-U should satisfy at least the following properties:</w:t>
      </w:r>
    </w:p>
    <w:p w14:paraId="4645F7C5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TDM of Type0-PDCCH and SSB similar to existing pattern 1 (already agreed)</w:t>
      </w:r>
    </w:p>
    <w:p w14:paraId="053F1889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Support the monitoring of Type0 PDCCH of the 2</w:t>
      </w:r>
      <w:r w:rsidRPr="001243DE">
        <w:rPr>
          <w:rFonts w:cs="Times"/>
          <w:szCs w:val="20"/>
          <w:vertAlign w:val="superscript"/>
          <w:lang w:eastAsia="x-none"/>
        </w:rPr>
        <w:t>nd</w:t>
      </w:r>
      <w:r w:rsidRPr="001243DE">
        <w:rPr>
          <w:rFonts w:cs="Times"/>
          <w:szCs w:val="20"/>
          <w:lang w:eastAsia="x-none"/>
        </w:rPr>
        <w:t xml:space="preserve"> SSB position in a slot in the gap between 1</w:t>
      </w:r>
      <w:r w:rsidRPr="001243DE">
        <w:rPr>
          <w:rFonts w:cs="Times"/>
          <w:szCs w:val="20"/>
          <w:vertAlign w:val="superscript"/>
          <w:lang w:eastAsia="x-none"/>
        </w:rPr>
        <w:t>st</w:t>
      </w:r>
      <w:r w:rsidRPr="001243DE">
        <w:rPr>
          <w:rFonts w:cs="Times"/>
          <w:szCs w:val="20"/>
          <w:lang w:eastAsia="x-none"/>
        </w:rPr>
        <w:t xml:space="preserve"> and 2</w:t>
      </w:r>
      <w:r w:rsidRPr="001243DE">
        <w:rPr>
          <w:rFonts w:cs="Times"/>
          <w:szCs w:val="20"/>
          <w:vertAlign w:val="superscript"/>
          <w:lang w:eastAsia="x-none"/>
        </w:rPr>
        <w:t>nd</w:t>
      </w:r>
      <w:r w:rsidRPr="001243DE">
        <w:rPr>
          <w:rFonts w:cs="Times"/>
          <w:szCs w:val="20"/>
          <w:lang w:eastAsia="x-none"/>
        </w:rPr>
        <w:t xml:space="preserve"> SSB within the slot</w:t>
      </w:r>
    </w:p>
    <w:p w14:paraId="609CFCAF" w14:textId="77777777" w:rsidR="00E937FE" w:rsidRPr="001243DE" w:rsidRDefault="00E937FE" w:rsidP="00E937F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 start at symbol #6 of #7 or both</w:t>
      </w:r>
    </w:p>
    <w:p w14:paraId="0196B945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FFS: The Type0-PDCCH candidates associated with an SSB are confined within a slot carrying the associated SSB (with the same QCL assumptions)</w:t>
      </w:r>
    </w:p>
    <w:p w14:paraId="3AE589A8" w14:textId="77777777" w:rsidR="00E937FE" w:rsidRDefault="00E937FE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35FB5379" w:rsidR="00F12021" w:rsidRPr="003C3569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E937FE">
        <w:rPr>
          <w:rFonts w:eastAsia="ＭＳ 明朝" w:hint="eastAsia"/>
          <w:color w:val="000000" w:themeColor="text1"/>
          <w:lang w:eastAsia="ja-JP"/>
        </w:rPr>
        <w:t>signals and channels design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</w:p>
    <w:p w14:paraId="151D5E46" w14:textId="77777777" w:rsidR="00D406BC" w:rsidRPr="00E937FE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4D3B8B0B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</w:t>
      </w:r>
      <w:r w:rsidR="00E937FE">
        <w:rPr>
          <w:rFonts w:eastAsia="ＭＳ 明朝" w:hint="eastAsia"/>
          <w:lang w:eastAsia="ja-JP"/>
        </w:rPr>
        <w:t>design</w:t>
      </w:r>
    </w:p>
    <w:p w14:paraId="741D1AF3" w14:textId="39C309E6" w:rsidR="00DA0324" w:rsidRPr="00FB2206" w:rsidRDefault="00DA0324" w:rsidP="00EE377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</w:t>
      </w:r>
      <w:r>
        <w:rPr>
          <w:rFonts w:eastAsia="ＭＳ 明朝" w:hint="eastAsia"/>
          <w:lang w:eastAsia="ja-JP"/>
        </w:rPr>
        <w:t xml:space="preserve">or DRS with 15 kHz SCS, case A should be applied because only case A is defined. </w:t>
      </w:r>
      <w:r>
        <w:rPr>
          <w:rFonts w:eastAsia="ＭＳ 明朝"/>
          <w:lang w:eastAsia="ja-JP"/>
        </w:rPr>
        <w:t>F</w:t>
      </w:r>
      <w:r>
        <w:rPr>
          <w:rFonts w:eastAsia="ＭＳ 明朝" w:hint="eastAsia"/>
          <w:lang w:eastAsia="ja-JP"/>
        </w:rPr>
        <w:t xml:space="preserve">or DRS with 30 kHz SCS, there are 2 </w:t>
      </w:r>
      <w:r w:rsidR="008C2718">
        <w:rPr>
          <w:rFonts w:eastAsia="ＭＳ 明朝" w:hint="eastAsia"/>
          <w:lang w:eastAsia="ja-JP"/>
        </w:rPr>
        <w:t xml:space="preserve">mapping type </w:t>
      </w:r>
      <w:r>
        <w:rPr>
          <w:rFonts w:eastAsia="ＭＳ 明朝" w:hint="eastAsia"/>
          <w:lang w:eastAsia="ja-JP"/>
        </w:rPr>
        <w:t>defined in Rel-15 NR [2].</w:t>
      </w:r>
      <w:r w:rsidR="00A62783">
        <w:rPr>
          <w:rFonts w:eastAsia="ＭＳ 明朝" w:hint="eastAsia"/>
          <w:lang w:eastAsia="ja-JP"/>
        </w:rPr>
        <w:t xml:space="preserve"> </w:t>
      </w:r>
      <w:r w:rsidR="00B843A6">
        <w:rPr>
          <w:rFonts w:eastAsia="ＭＳ 明朝"/>
          <w:lang w:eastAsia="ja-JP"/>
        </w:rPr>
        <w:t>Two</w:t>
      </w:r>
      <w:r w:rsidR="00B843A6">
        <w:rPr>
          <w:rFonts w:eastAsia="ＭＳ 明朝" w:hint="eastAsia"/>
          <w:lang w:eastAsia="ja-JP"/>
        </w:rPr>
        <w:t xml:space="preserve"> </w:t>
      </w:r>
      <w:r w:rsidR="00A62783">
        <w:rPr>
          <w:rFonts w:eastAsia="ＭＳ 明朝" w:hint="eastAsia"/>
          <w:lang w:eastAsia="ja-JP"/>
        </w:rPr>
        <w:t xml:space="preserve">SSBs are </w:t>
      </w:r>
      <w:r w:rsidR="00A62783">
        <w:rPr>
          <w:rFonts w:eastAsia="ＭＳ 明朝"/>
          <w:lang w:eastAsia="ja-JP"/>
        </w:rPr>
        <w:t>consecutive</w:t>
      </w:r>
      <w:r w:rsidR="00A62783">
        <w:rPr>
          <w:rFonts w:eastAsia="ＭＳ 明朝" w:hint="eastAsia"/>
          <w:lang w:eastAsia="ja-JP"/>
        </w:rPr>
        <w:t xml:space="preserve"> located within a slot in the </w:t>
      </w:r>
      <w:r w:rsidR="007C26CB">
        <w:rPr>
          <w:rFonts w:eastAsia="ＭＳ 明朝" w:hint="eastAsia"/>
          <w:lang w:eastAsia="ja-JP"/>
        </w:rPr>
        <w:t>C</w:t>
      </w:r>
      <w:r w:rsidR="00A62783">
        <w:rPr>
          <w:rFonts w:eastAsia="ＭＳ 明朝" w:hint="eastAsia"/>
          <w:lang w:eastAsia="ja-JP"/>
        </w:rPr>
        <w:t>ase B, while there is a 2 sym</w:t>
      </w:r>
      <w:r w:rsidR="007C26CB">
        <w:rPr>
          <w:rFonts w:eastAsia="ＭＳ 明朝" w:hint="eastAsia"/>
          <w:lang w:eastAsia="ja-JP"/>
        </w:rPr>
        <w:t xml:space="preserve">bol gap between 2 SSBs in a slot in the Case C. If Case B is applied, Type0 PDCCH </w:t>
      </w:r>
      <w:r w:rsidR="00B843A6">
        <w:rPr>
          <w:rFonts w:eastAsia="ＭＳ 明朝" w:hint="eastAsia"/>
          <w:lang w:eastAsia="ja-JP"/>
        </w:rPr>
        <w:t>c</w:t>
      </w:r>
      <w:r w:rsidR="00B843A6">
        <w:rPr>
          <w:rFonts w:eastAsia="ＭＳ 明朝"/>
          <w:lang w:eastAsia="ja-JP"/>
        </w:rPr>
        <w:t>an</w:t>
      </w:r>
      <w:r w:rsidR="007C26CB">
        <w:rPr>
          <w:rFonts w:eastAsia="ＭＳ 明朝" w:hint="eastAsia"/>
          <w:lang w:eastAsia="ja-JP"/>
        </w:rPr>
        <w:t>not be allocated between 2 SSB position</w:t>
      </w:r>
      <w:r w:rsidR="00B843A6">
        <w:rPr>
          <w:rFonts w:eastAsia="ＭＳ 明朝"/>
          <w:lang w:eastAsia="ja-JP"/>
        </w:rPr>
        <w:t>s</w:t>
      </w:r>
      <w:r w:rsidR="007C26CB">
        <w:rPr>
          <w:rFonts w:eastAsia="ＭＳ 明朝" w:hint="eastAsia"/>
          <w:lang w:eastAsia="ja-JP"/>
        </w:rPr>
        <w:t xml:space="preserve"> </w:t>
      </w:r>
      <w:r w:rsidR="007C26CB">
        <w:rPr>
          <w:rFonts w:eastAsia="ＭＳ 明朝"/>
          <w:lang w:eastAsia="ja-JP"/>
        </w:rPr>
        <w:t xml:space="preserve">in a slot. </w:t>
      </w:r>
      <w:r w:rsidR="00217508">
        <w:rPr>
          <w:rFonts w:eastAsia="ＭＳ 明朝" w:hint="eastAsia"/>
          <w:lang w:eastAsia="ja-JP"/>
        </w:rPr>
        <w:t>T</w:t>
      </w:r>
      <w:r w:rsidR="00217508">
        <w:rPr>
          <w:rFonts w:eastAsia="ＭＳ 明朝"/>
          <w:lang w:eastAsia="ja-JP"/>
        </w:rPr>
        <w:t>herefore</w:t>
      </w:r>
      <w:r w:rsidR="007C26CB">
        <w:rPr>
          <w:rFonts w:eastAsia="ＭＳ 明朝" w:hint="eastAsia"/>
          <w:lang w:eastAsia="ja-JP"/>
        </w:rPr>
        <w:t xml:space="preserve">, </w:t>
      </w:r>
      <w:r w:rsidR="00217508">
        <w:rPr>
          <w:rFonts w:eastAsia="ＭＳ 明朝" w:hint="eastAsia"/>
          <w:lang w:eastAsia="ja-JP"/>
        </w:rPr>
        <w:t xml:space="preserve">for standalone cell where RMSI is transmitted, </w:t>
      </w:r>
      <w:r w:rsidR="007C26CB">
        <w:rPr>
          <w:rFonts w:eastAsia="ＭＳ 明朝" w:hint="eastAsia"/>
          <w:lang w:eastAsia="ja-JP"/>
        </w:rPr>
        <w:t>Case C should be applied.</w:t>
      </w:r>
    </w:p>
    <w:p w14:paraId="6455C6D2" w14:textId="233CDD28" w:rsidR="00EE3775" w:rsidRPr="00EE3775" w:rsidRDefault="00BB7604" w:rsidP="00EE3775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Proposal </w:t>
      </w:r>
      <w:r w:rsidR="00CA53AD">
        <w:rPr>
          <w:rFonts w:eastAsia="ＭＳ 明朝" w:hint="eastAsia"/>
          <w:b/>
          <w:lang w:eastAsia="ja-JP"/>
        </w:rPr>
        <w:t>1</w:t>
      </w:r>
      <w:r w:rsidR="00137BEA">
        <w:rPr>
          <w:rFonts w:eastAsia="ＭＳ 明朝" w:hint="eastAsia"/>
          <w:b/>
          <w:lang w:eastAsia="ja-JP"/>
        </w:rPr>
        <w:t xml:space="preserve">: </w:t>
      </w:r>
      <w:r w:rsidR="00137BEA" w:rsidRPr="00E22420">
        <w:rPr>
          <w:rFonts w:eastAsia="ＭＳ 明朝"/>
          <w:i/>
          <w:lang w:eastAsia="ja-JP"/>
        </w:rPr>
        <w:t xml:space="preserve">Candidate SSB positions within a slot should reuse Rel-15 SSB </w:t>
      </w:r>
      <w:r w:rsidR="00D65360" w:rsidRPr="00E22420">
        <w:rPr>
          <w:rFonts w:eastAsia="ＭＳ 明朝"/>
          <w:i/>
          <w:lang w:eastAsia="ja-JP"/>
        </w:rPr>
        <w:t>location</w:t>
      </w:r>
      <w:r w:rsidR="00634EB0" w:rsidRPr="00E22420">
        <w:rPr>
          <w:rFonts w:eastAsia="ＭＳ 明朝"/>
          <w:i/>
          <w:lang w:eastAsia="ja-JP"/>
        </w:rPr>
        <w:t>s</w:t>
      </w:r>
      <w:r w:rsidR="00137BEA" w:rsidRPr="00E22420">
        <w:rPr>
          <w:rFonts w:eastAsia="ＭＳ 明朝"/>
          <w:i/>
          <w:lang w:eastAsia="ja-JP"/>
        </w:rPr>
        <w:t>.</w:t>
      </w:r>
    </w:p>
    <w:p w14:paraId="5A716D12" w14:textId="4C7228F9" w:rsidR="00D3147B" w:rsidRDefault="00D3147B" w:rsidP="00E937FE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 15 kHz SCS, Case A should be applied.</w:t>
      </w:r>
    </w:p>
    <w:p w14:paraId="3EC5B772" w14:textId="169F5DCA" w:rsidR="00E937FE" w:rsidRPr="00E937FE" w:rsidRDefault="00217508" w:rsidP="00E937FE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</w:t>
      </w:r>
      <w:r w:rsidR="00D3147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30 kHz SCS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D3147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on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standalone cell, </w:t>
      </w:r>
      <w:r w:rsidR="00E937FE" w:rsidRPr="00E937F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Case C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should be applied.</w:t>
      </w:r>
    </w:p>
    <w:p w14:paraId="07D2B9E4" w14:textId="77777777" w:rsidR="00A15144" w:rsidRPr="00217508" w:rsidRDefault="00A15144" w:rsidP="00DA0324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DB13766" w14:textId="32BA8BC7" w:rsidR="00DA0324" w:rsidRDefault="00B843A6" w:rsidP="00DA0324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Rel-15 NR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work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RAN1 had discussed how many bits DMRS sequence of PBCH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ha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capability to carry. Through a lot of discussion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using simulation evaluation 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[3][4][5], in the RAN1 NR-AH2 meeting held in June 2017 [6], RAN1 concluded </w:t>
      </w:r>
      <w:r w:rsidR="00DA0324" w:rsidRP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up to 3 bits can be c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arried by DMRS sequence of PBCH</w:t>
      </w:r>
      <w:r w:rsidR="007C26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taking cross-correlation performance into account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Even in NR-U, it should be considered that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more than 3 bits can be carried by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PBCH, otherwise a lot of discussion time will be consumed to redesign DMRS sequence of PBCH.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discussed in [7], in NR-U, some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enhancement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timing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acquisition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required. Like SSB index indication on FR2, additional bits for timing acquisition other than 3 bits should be carried by PBCH payload.</w:t>
      </w:r>
    </w:p>
    <w:p w14:paraId="7447B2E4" w14:textId="38919B39" w:rsidR="00AB1C04" w:rsidRDefault="00AB1C04" w:rsidP="00E937FE">
      <w:pPr>
        <w:rPr>
          <w:rFonts w:eastAsia="ＭＳ 明朝"/>
          <w:color w:val="000000" w:themeColor="text1"/>
          <w:lang w:eastAsia="ja-JP"/>
        </w:rPr>
      </w:pPr>
      <w:r w:rsidRPr="00AB1C04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 w:rsidR="00CA53AD">
        <w:rPr>
          <w:rFonts w:eastAsia="ＭＳ 明朝" w:hint="eastAsia"/>
          <w:b/>
          <w:color w:val="000000" w:themeColor="text1"/>
          <w:lang w:eastAsia="ja-JP"/>
        </w:rPr>
        <w:t>2</w:t>
      </w:r>
      <w:r w:rsidRPr="00AB1C04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DMRS sequence </w:t>
      </w:r>
      <w:r w:rsidR="004F2571">
        <w:rPr>
          <w:rFonts w:eastAsia="ＭＳ 明朝" w:hint="eastAsia"/>
          <w:i/>
          <w:color w:val="000000" w:themeColor="text1"/>
          <w:lang w:eastAsia="ja-JP"/>
        </w:rPr>
        <w:t xml:space="preserve">of PBCH </w:t>
      </w:r>
      <w:r w:rsidR="00FE0A6A">
        <w:rPr>
          <w:rFonts w:eastAsia="ＭＳ 明朝" w:hint="eastAsia"/>
          <w:i/>
          <w:color w:val="000000" w:themeColor="text1"/>
          <w:lang w:eastAsia="ja-JP"/>
        </w:rPr>
        <w:t xml:space="preserve">in DRS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should not be </w:t>
      </w:r>
      <w:r w:rsidR="00DA0324">
        <w:rPr>
          <w:rFonts w:eastAsia="ＭＳ 明朝" w:hint="eastAsia"/>
          <w:i/>
          <w:color w:val="000000" w:themeColor="text1"/>
          <w:lang w:eastAsia="ja-JP"/>
        </w:rPr>
        <w:t xml:space="preserve">changed </w:t>
      </w:r>
      <w:r w:rsidRPr="00AB1C04">
        <w:rPr>
          <w:rFonts w:eastAsia="ＭＳ 明朝" w:hint="eastAsia"/>
          <w:i/>
          <w:color w:val="000000" w:themeColor="text1"/>
          <w:lang w:eastAsia="ja-JP"/>
        </w:rPr>
        <w:t>from Rel-15 NR.</w:t>
      </w:r>
    </w:p>
    <w:p w14:paraId="4E39CC22" w14:textId="0321EF92" w:rsidR="00290F7F" w:rsidRPr="00C604E3" w:rsidRDefault="00C604E3" w:rsidP="00290F7F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DMRS of PBCH carries up to 3 bits.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52079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Additional </w:t>
      </w:r>
      <w:r w:rsidR="00626ACE" w:rsidRPr="00C604E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bits</w:t>
      </w:r>
      <w:r w:rsidR="00626ACE"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52079B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 timing acquisition</w:t>
      </w:r>
      <w:r w:rsidR="00290F7F"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should be carried by PBCH payload.</w:t>
      </w:r>
    </w:p>
    <w:p w14:paraId="7DA6D9BF" w14:textId="735B42BC" w:rsidR="00AB1C04" w:rsidRDefault="00AB1C04" w:rsidP="00E937FE">
      <w:pPr>
        <w:rPr>
          <w:rFonts w:eastAsia="ＭＳ 明朝"/>
          <w:color w:val="000000" w:themeColor="text1"/>
          <w:lang w:eastAsia="ja-JP"/>
        </w:rPr>
      </w:pPr>
    </w:p>
    <w:p w14:paraId="3A3205E4" w14:textId="5D953F08" w:rsidR="00A15144" w:rsidRPr="00C604E3" w:rsidRDefault="00212E5A" w:rsidP="00E937FE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In Rel-15 NR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, to realize flexible </w:t>
      </w:r>
      <w:r w:rsidR="00C604E3">
        <w:rPr>
          <w:rFonts w:eastAsia="ＭＳ 明朝"/>
          <w:color w:val="000000" w:themeColor="text1"/>
          <w:lang w:eastAsia="ja-JP"/>
        </w:rPr>
        <w:t>scheduling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 xml:space="preserve">of RMSI 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in </w:t>
      </w:r>
      <w:r w:rsidR="00B843A6">
        <w:rPr>
          <w:rFonts w:eastAsia="ＭＳ 明朝"/>
          <w:color w:val="000000" w:themeColor="text1"/>
          <w:lang w:eastAsia="ja-JP"/>
        </w:rPr>
        <w:t xml:space="preserve">the 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time domain, </w:t>
      </w:r>
      <w:r>
        <w:rPr>
          <w:rFonts w:eastAsia="ＭＳ 明朝" w:hint="eastAsia"/>
          <w:color w:val="000000" w:themeColor="text1"/>
          <w:lang w:eastAsia="ja-JP"/>
        </w:rPr>
        <w:t xml:space="preserve">it is allowed that RMSI </w:t>
      </w:r>
      <w:r w:rsidR="00B843A6">
        <w:rPr>
          <w:rFonts w:eastAsia="ＭＳ 明朝" w:hint="eastAsia"/>
          <w:color w:val="000000" w:themeColor="text1"/>
          <w:lang w:eastAsia="ja-JP"/>
        </w:rPr>
        <w:t>c</w:t>
      </w:r>
      <w:r w:rsidR="00B843A6">
        <w:rPr>
          <w:rFonts w:eastAsia="ＭＳ 明朝"/>
          <w:color w:val="000000" w:themeColor="text1"/>
          <w:lang w:eastAsia="ja-JP"/>
        </w:rPr>
        <w:t>an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>be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scheduled</w:t>
      </w:r>
      <w:r>
        <w:rPr>
          <w:rFonts w:eastAsia="ＭＳ 明朝" w:hint="eastAsia"/>
          <w:color w:val="000000" w:themeColor="text1"/>
          <w:lang w:eastAsia="ja-JP"/>
        </w:rPr>
        <w:t xml:space="preserve"> in a</w:t>
      </w:r>
      <w:r w:rsidR="00B843A6" w:rsidRP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B843A6">
        <w:rPr>
          <w:rFonts w:eastAsia="ＭＳ 明朝" w:hint="eastAsia"/>
          <w:color w:val="000000" w:themeColor="text1"/>
          <w:lang w:eastAsia="ja-JP"/>
        </w:rPr>
        <w:t>different</w:t>
      </w:r>
      <w:r>
        <w:rPr>
          <w:rFonts w:eastAsia="ＭＳ 明朝" w:hint="eastAsia"/>
          <w:color w:val="000000" w:themeColor="text1"/>
          <w:lang w:eastAsia="ja-JP"/>
        </w:rPr>
        <w:t xml:space="preserve"> slot </w:t>
      </w:r>
      <w:r w:rsidR="00B843A6">
        <w:rPr>
          <w:rFonts w:eastAsia="ＭＳ 明朝"/>
          <w:color w:val="000000" w:themeColor="text1"/>
          <w:lang w:eastAsia="ja-JP"/>
        </w:rPr>
        <w:t>to that in which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the</w:t>
      </w:r>
      <w:r>
        <w:rPr>
          <w:rFonts w:eastAsia="ＭＳ 明朝" w:hint="eastAsia"/>
          <w:color w:val="000000" w:themeColor="text1"/>
          <w:lang w:eastAsia="ja-JP"/>
        </w:rPr>
        <w:t xml:space="preserve"> associated SSB is transmitted. However, </w:t>
      </w:r>
      <w:r>
        <w:rPr>
          <w:rFonts w:eastAsia="ＭＳ 明朝"/>
          <w:color w:val="000000" w:themeColor="text1"/>
          <w:lang w:eastAsia="ja-JP"/>
        </w:rPr>
        <w:t xml:space="preserve">in NR-U, </w:t>
      </w:r>
      <w:r>
        <w:rPr>
          <w:rFonts w:eastAsia="ＭＳ 明朝" w:hint="eastAsia"/>
          <w:color w:val="000000" w:themeColor="text1"/>
          <w:lang w:eastAsia="ja-JP"/>
        </w:rPr>
        <w:t xml:space="preserve">if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SSB </w:t>
      </w:r>
      <w:r w:rsidR="00217508">
        <w:rPr>
          <w:rFonts w:eastAsia="ＭＳ 明朝"/>
          <w:color w:val="000000" w:themeColor="text1"/>
          <w:lang w:eastAsia="ja-JP"/>
        </w:rPr>
        <w:t>and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RMSI </w:t>
      </w:r>
      <w:r w:rsidR="00B843A6">
        <w:rPr>
          <w:rFonts w:eastAsia="ＭＳ 明朝"/>
          <w:color w:val="000000" w:themeColor="text1"/>
          <w:lang w:eastAsia="ja-JP"/>
        </w:rPr>
        <w:t>are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transmitted using separated slots, gNB </w:t>
      </w:r>
      <w:r w:rsidR="00B843A6">
        <w:rPr>
          <w:rFonts w:eastAsia="ＭＳ 明朝"/>
          <w:color w:val="000000" w:themeColor="text1"/>
          <w:lang w:eastAsia="ja-JP"/>
        </w:rPr>
        <w:t xml:space="preserve">may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sometimes </w:t>
      </w:r>
      <w:r w:rsidR="00B843A6">
        <w:rPr>
          <w:rFonts w:eastAsia="ＭＳ 明朝" w:hint="eastAsia"/>
          <w:color w:val="000000" w:themeColor="text1"/>
          <w:lang w:eastAsia="ja-JP"/>
        </w:rPr>
        <w:t>ha</w:t>
      </w:r>
      <w:r w:rsidR="00B843A6">
        <w:rPr>
          <w:rFonts w:eastAsia="ＭＳ 明朝"/>
          <w:color w:val="000000" w:themeColor="text1"/>
          <w:lang w:eastAsia="ja-JP"/>
        </w:rPr>
        <w:t>ve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to attempt LBT </w:t>
      </w:r>
      <w:r w:rsidR="00B843A6">
        <w:rPr>
          <w:rFonts w:eastAsia="ＭＳ 明朝"/>
          <w:color w:val="000000" w:themeColor="text1"/>
          <w:lang w:eastAsia="ja-JP"/>
        </w:rPr>
        <w:t>twice before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transmit</w:t>
      </w:r>
      <w:r w:rsidR="00B843A6">
        <w:rPr>
          <w:rFonts w:eastAsia="ＭＳ 明朝"/>
          <w:color w:val="000000" w:themeColor="text1"/>
          <w:lang w:eastAsia="ja-JP"/>
        </w:rPr>
        <w:t>ting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DRS, which tends to </w:t>
      </w:r>
      <w:r w:rsidR="00B843A6">
        <w:rPr>
          <w:rFonts w:eastAsia="ＭＳ 明朝"/>
          <w:color w:val="000000" w:themeColor="text1"/>
          <w:lang w:eastAsia="ja-JP"/>
        </w:rPr>
        <w:t>reduce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</w:t>
      </w:r>
      <w:bookmarkStart w:id="0" w:name="_GoBack"/>
      <w:r w:rsidR="00DE1230">
        <w:rPr>
          <w:rFonts w:eastAsia="ＭＳ 明朝"/>
          <w:color w:val="000000" w:themeColor="text1"/>
          <w:lang w:eastAsia="ja-JP"/>
        </w:rPr>
        <w:t xml:space="preserve">the </w:t>
      </w:r>
      <w:bookmarkEnd w:id="0"/>
      <w:r w:rsidR="00217508">
        <w:rPr>
          <w:rFonts w:eastAsia="ＭＳ 明朝"/>
          <w:color w:val="000000" w:themeColor="text1"/>
          <w:lang w:eastAsia="ja-JP"/>
        </w:rPr>
        <w:t>transmission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/>
          <w:color w:val="000000" w:themeColor="text1"/>
          <w:lang w:eastAsia="ja-JP"/>
        </w:rPr>
        <w:t>opportunity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of DRS. </w:t>
      </w:r>
      <w:r w:rsidR="00217508">
        <w:rPr>
          <w:rFonts w:eastAsia="ＭＳ 明朝"/>
          <w:color w:val="000000" w:themeColor="text1"/>
          <w:lang w:eastAsia="ja-JP"/>
        </w:rPr>
        <w:t>W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e </w:t>
      </w:r>
      <w:r w:rsidR="00217508">
        <w:rPr>
          <w:rFonts w:eastAsia="ＭＳ 明朝"/>
          <w:color w:val="000000" w:themeColor="text1"/>
          <w:lang w:eastAsia="ja-JP"/>
        </w:rPr>
        <w:t>don’t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see the motivation to transmit RMSI in </w:t>
      </w:r>
      <w:r w:rsidR="00217508">
        <w:rPr>
          <w:rFonts w:eastAsia="ＭＳ 明朝"/>
          <w:color w:val="000000" w:themeColor="text1"/>
          <w:lang w:eastAsia="ja-JP"/>
        </w:rPr>
        <w:t>different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slot from the associated SSB.</w:t>
      </w:r>
    </w:p>
    <w:p w14:paraId="79FD5E81" w14:textId="29874150" w:rsidR="00BB7604" w:rsidRPr="004F2571" w:rsidRDefault="00EE28E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CA53AD"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C604E3"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="004F2571"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="004F2571"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="004F2571"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4F4060DA" w14:textId="77777777" w:rsidR="006C6E19" w:rsidRPr="00CA53AD" w:rsidRDefault="006C6E1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18849F5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="00D332D6">
        <w:rPr>
          <w:rFonts w:eastAsia="ＭＳ 明朝" w:hint="eastAsia"/>
          <w:lang w:eastAsia="ja-JP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38FDA374" w14:textId="77777777" w:rsidR="006B5EBA" w:rsidRPr="00EE3775" w:rsidRDefault="006B5EBA" w:rsidP="006B5EBA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rFonts w:eastAsia="ＭＳ 明朝"/>
          <w:i/>
          <w:lang w:eastAsia="ja-JP"/>
        </w:rPr>
        <w:t>Candidate SSB positions within a slot should reuse Rel-15 SSB locations.</w:t>
      </w:r>
    </w:p>
    <w:p w14:paraId="75746CAF" w14:textId="77777777" w:rsidR="006B5EBA" w:rsidRDefault="006B5EBA" w:rsidP="006B5EBA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 15 kHz SCS, Case A should be applied.</w:t>
      </w:r>
    </w:p>
    <w:p w14:paraId="0E7A63B9" w14:textId="77777777" w:rsidR="006B5EBA" w:rsidRPr="00E937FE" w:rsidRDefault="006B5EBA" w:rsidP="006B5EBA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For 30 kHz SCS on standalone cell, </w:t>
      </w:r>
      <w:r w:rsidRPr="00E937F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Case C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should be applied.</w:t>
      </w:r>
    </w:p>
    <w:p w14:paraId="38FE1D2E" w14:textId="77777777" w:rsidR="00AD65C5" w:rsidRDefault="00AD65C5" w:rsidP="00AD65C5">
      <w:pPr>
        <w:rPr>
          <w:rFonts w:eastAsia="ＭＳ 明朝"/>
          <w:color w:val="000000" w:themeColor="text1"/>
          <w:lang w:eastAsia="ja-JP"/>
        </w:rPr>
      </w:pPr>
      <w:r w:rsidRPr="00AB1C04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>
        <w:rPr>
          <w:rFonts w:eastAsia="ＭＳ 明朝" w:hint="eastAsia"/>
          <w:b/>
          <w:color w:val="000000" w:themeColor="text1"/>
          <w:lang w:eastAsia="ja-JP"/>
        </w:rPr>
        <w:t>2</w:t>
      </w:r>
      <w:r w:rsidRPr="00AB1C04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DMRS sequence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of PBCH in DRS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should not be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changed </w:t>
      </w:r>
      <w:r w:rsidRPr="00AB1C04">
        <w:rPr>
          <w:rFonts w:eastAsia="ＭＳ 明朝" w:hint="eastAsia"/>
          <w:i/>
          <w:color w:val="000000" w:themeColor="text1"/>
          <w:lang w:eastAsia="ja-JP"/>
        </w:rPr>
        <w:t>from Rel-15 NR.</w:t>
      </w:r>
    </w:p>
    <w:p w14:paraId="07B22EE7" w14:textId="67A33DCB" w:rsidR="00AD65C5" w:rsidRPr="0052079B" w:rsidRDefault="0052079B" w:rsidP="0052079B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DMRS of PBCH carries up to 3 bits.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Additional </w:t>
      </w:r>
      <w:r w:rsidRPr="00C604E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bits</w:t>
      </w: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 timing acquisition</w:t>
      </w: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should be carried by PBCH payload.</w:t>
      </w:r>
    </w:p>
    <w:p w14:paraId="63FF5345" w14:textId="77777777" w:rsidR="00AD65C5" w:rsidRPr="004F2571" w:rsidRDefault="00AD65C5" w:rsidP="00AD65C5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3: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2865D6D2" w14:textId="77777777" w:rsidR="00AD65C5" w:rsidRPr="00AD65C5" w:rsidRDefault="00AD65C5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13823C35" w14:textId="44A405AE" w:rsidR="000B2174" w:rsidRPr="00E22420" w:rsidRDefault="000B2174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 xml:space="preserve">Chairman’s Notes, RAN1 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AH1901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January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9</w:t>
      </w:r>
      <w:r w:rsidRPr="006714C3">
        <w:rPr>
          <w:rFonts w:ascii="Times New Roman" w:hAnsi="Times New Roman" w:cs="Times New Roman"/>
          <w:sz w:val="22"/>
          <w:szCs w:val="22"/>
        </w:rPr>
        <w:t>.</w:t>
      </w:r>
    </w:p>
    <w:p w14:paraId="1B3AF4D1" w14:textId="44122FB3" w:rsidR="00B06E82" w:rsidRPr="00DA0324" w:rsidRDefault="00DA0324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TS 38.213</w:t>
      </w:r>
    </w:p>
    <w:p w14:paraId="773AF584" w14:textId="77777777" w:rsidR="00E76E29" w:rsidRPr="006548FD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R1-1711946, Samsung,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WF on DMRS indication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NR-AH2 meeting, June 2017.</w:t>
      </w:r>
    </w:p>
    <w:p w14:paraId="2BE9BFB7" w14:textId="77777777" w:rsidR="00E76E29" w:rsidRPr="006548FD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ZTE,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Timing information indicated by DMRS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NR-AH2 meeting, June 2017.</w:t>
      </w:r>
    </w:p>
    <w:p w14:paraId="416CA593" w14:textId="77777777" w:rsidR="00E76E29" w:rsidRPr="00E22420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R1-1711952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Qualcomm,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Performance evaluation of interference randomization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RAN1 NR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AH2 meeting, June 2017.</w:t>
      </w:r>
    </w:p>
    <w:p w14:paraId="0018C6EE" w14:textId="77777777" w:rsidR="00E76E29" w:rsidRPr="0052079B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 NR-AH2 meeting, June 2017.</w:t>
      </w:r>
    </w:p>
    <w:p w14:paraId="23FB851A" w14:textId="1511CA14" w:rsidR="0052079B" w:rsidRPr="00092C77" w:rsidRDefault="0052079B" w:rsidP="0052079B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Pr="0052079B">
        <w:rPr>
          <w:rFonts w:ascii="Times New Roman" w:eastAsia="ＭＳ 明朝" w:hAnsi="Times New Roman" w:cs="Times New Roman"/>
          <w:sz w:val="22"/>
          <w:szCs w:val="22"/>
          <w:lang w:eastAsia="ja-JP"/>
        </w:rPr>
        <w:t>1902170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52079B">
        <w:rPr>
          <w:rFonts w:ascii="Times New Roman" w:eastAsia="ＭＳ 明朝" w:hAnsi="Times New Roman" w:cs="Times New Roman"/>
          <w:sz w:val="22"/>
          <w:szCs w:val="22"/>
          <w:lang w:eastAsia="ja-JP"/>
        </w:rPr>
        <w:t>Enhancements to initial access procedures for NR-U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BB68E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D9FD7" w16cid:durableId="1FE2375E"/>
  <w16cid:commentId w16cid:paraId="19555FD4" w16cid:durableId="1FE238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B6002" w14:textId="77777777" w:rsidR="0021753D" w:rsidRDefault="0021753D">
      <w:r>
        <w:separator/>
      </w:r>
    </w:p>
  </w:endnote>
  <w:endnote w:type="continuationSeparator" w:id="0">
    <w:p w14:paraId="062D6B8D" w14:textId="77777777" w:rsidR="0021753D" w:rsidRDefault="0021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1B46E" w14:textId="77777777" w:rsidR="0021753D" w:rsidRDefault="0021753D">
      <w:r>
        <w:separator/>
      </w:r>
    </w:p>
  </w:footnote>
  <w:footnote w:type="continuationSeparator" w:id="0">
    <w:p w14:paraId="0BDF4B3C" w14:textId="77777777" w:rsidR="0021753D" w:rsidRDefault="00217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9BD1465"/>
    <w:multiLevelType w:val="hybridMultilevel"/>
    <w:tmpl w:val="EA427DC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4"/>
  </w:num>
  <w:num w:numId="4">
    <w:abstractNumId w:val="30"/>
  </w:num>
  <w:num w:numId="5">
    <w:abstractNumId w:val="38"/>
  </w:num>
  <w:num w:numId="6">
    <w:abstractNumId w:val="23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5"/>
  </w:num>
  <w:num w:numId="11">
    <w:abstractNumId w:val="11"/>
  </w:num>
  <w:num w:numId="12">
    <w:abstractNumId w:val="13"/>
  </w:num>
  <w:num w:numId="13">
    <w:abstractNumId w:val="2"/>
  </w:num>
  <w:num w:numId="14">
    <w:abstractNumId w:val="26"/>
  </w:num>
  <w:num w:numId="15">
    <w:abstractNumId w:val="25"/>
  </w:num>
  <w:num w:numId="16">
    <w:abstractNumId w:val="3"/>
  </w:num>
  <w:num w:numId="17">
    <w:abstractNumId w:val="21"/>
  </w:num>
  <w:num w:numId="18">
    <w:abstractNumId w:val="16"/>
  </w:num>
  <w:num w:numId="19">
    <w:abstractNumId w:val="31"/>
  </w:num>
  <w:num w:numId="20">
    <w:abstractNumId w:val="35"/>
  </w:num>
  <w:num w:numId="21">
    <w:abstractNumId w:val="36"/>
  </w:num>
  <w:num w:numId="22">
    <w:abstractNumId w:val="12"/>
  </w:num>
  <w:num w:numId="23">
    <w:abstractNumId w:val="24"/>
  </w:num>
  <w:num w:numId="24">
    <w:abstractNumId w:val="14"/>
  </w:num>
  <w:num w:numId="25">
    <w:abstractNumId w:val="10"/>
  </w:num>
  <w:num w:numId="26">
    <w:abstractNumId w:val="17"/>
  </w:num>
  <w:num w:numId="27">
    <w:abstractNumId w:val="1"/>
  </w:num>
  <w:num w:numId="28">
    <w:abstractNumId w:val="27"/>
  </w:num>
  <w:num w:numId="29">
    <w:abstractNumId w:val="32"/>
  </w:num>
  <w:num w:numId="30">
    <w:abstractNumId w:val="28"/>
  </w:num>
  <w:num w:numId="31">
    <w:abstractNumId w:val="15"/>
  </w:num>
  <w:num w:numId="32">
    <w:abstractNumId w:val="29"/>
  </w:num>
  <w:num w:numId="33">
    <w:abstractNumId w:val="42"/>
  </w:num>
  <w:num w:numId="34">
    <w:abstractNumId w:val="39"/>
  </w:num>
  <w:num w:numId="35">
    <w:abstractNumId w:val="19"/>
  </w:num>
  <w:num w:numId="36">
    <w:abstractNumId w:val="34"/>
  </w:num>
  <w:num w:numId="37">
    <w:abstractNumId w:val="0"/>
  </w:num>
  <w:num w:numId="38">
    <w:abstractNumId w:val="33"/>
  </w:num>
  <w:num w:numId="39">
    <w:abstractNumId w:val="4"/>
  </w:num>
  <w:num w:numId="40">
    <w:abstractNumId w:val="41"/>
  </w:num>
  <w:num w:numId="41">
    <w:abstractNumId w:val="37"/>
  </w:num>
  <w:num w:numId="42">
    <w:abstractNumId w:val="8"/>
  </w:num>
  <w:num w:numId="43">
    <w:abstractNumId w:val="7"/>
  </w:num>
  <w:num w:numId="44">
    <w:abstractNumId w:val="9"/>
  </w:num>
  <w:num w:numId="45">
    <w:abstractNumId w:val="40"/>
  </w:num>
  <w:num w:numId="46">
    <w:abstractNumId w:val="4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3E2E"/>
    <w:rsid w:val="00094650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259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E16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2E5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508"/>
    <w:rsid w:val="0021753D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0F7F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3569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8F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571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921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79B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48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6E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CE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7443"/>
    <w:rsid w:val="0067769A"/>
    <w:rsid w:val="006806A3"/>
    <w:rsid w:val="006806A6"/>
    <w:rsid w:val="006811F9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EB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19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048"/>
    <w:rsid w:val="0078781A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0E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26CB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8D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718"/>
    <w:rsid w:val="008C2A3A"/>
    <w:rsid w:val="008C3379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B22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18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A8D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144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783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04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5C5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3A6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604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4E3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0DDC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3AD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35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47B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32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1230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6E29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37F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28E6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5B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2AF2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A6A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6FD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89F8C16-FCC9-49A2-9973-43D3DEC0F7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1209C-8405-4261-9F35-CB2BC690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5</cp:revision>
  <cp:lastPrinted>2017-08-08T10:03:00Z</cp:lastPrinted>
  <dcterms:created xsi:type="dcterms:W3CDTF">2019-02-15T12:47:00Z</dcterms:created>
  <dcterms:modified xsi:type="dcterms:W3CDTF">2019-02-15T15:14:00Z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