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6960AC91" w:rsidR="00584ABE" w:rsidRPr="00C536F2" w:rsidRDefault="00E03DCD" w:rsidP="005923F4">
      <w:pPr>
        <w:pStyle w:val="3GPPHeader"/>
        <w:spacing w:after="60"/>
        <w:rPr>
          <w:rFonts w:ascii="Arial" w:hAnsi="Arial" w:cs="Arial"/>
        </w:rPr>
      </w:pPr>
      <w:bookmarkStart w:id="0" w:name="_Ref462817227"/>
      <w:bookmarkStart w:id="1" w:name="_GoBack"/>
      <w:bookmarkEnd w:id="1"/>
      <w:r>
        <w:t>3GPP</w:t>
      </w:r>
      <w:r w:rsidR="00BB6996">
        <w:t xml:space="preserve"> TSG-RAN WG1 #96</w:t>
      </w:r>
      <w:r w:rsidR="00B548DA" w:rsidRPr="00C536F2">
        <w:rPr>
          <w:rFonts w:ascii="Arial" w:hAnsi="Arial" w:cs="Arial"/>
        </w:rPr>
        <w:tab/>
      </w:r>
      <w:r w:rsidR="00783800">
        <w:rPr>
          <w:rFonts w:ascii="Arial" w:hAnsi="Arial" w:cs="Arial"/>
        </w:rPr>
        <w:t>R1</w:t>
      </w:r>
      <w:r w:rsidR="008E1D88">
        <w:rPr>
          <w:rFonts w:ascii="Arial" w:hAnsi="Arial" w:cs="Arial"/>
        </w:rPr>
        <w:t>-</w:t>
      </w:r>
      <w:r w:rsidR="00BB6996">
        <w:rPr>
          <w:rFonts w:ascii="Arial" w:hAnsi="Arial" w:cs="Arial"/>
        </w:rPr>
        <w:t>190</w:t>
      </w:r>
      <w:r w:rsidR="005E5C6F">
        <w:rPr>
          <w:rFonts w:ascii="Arial" w:hAnsi="Arial" w:cs="Arial"/>
        </w:rPr>
        <w:t>2033</w:t>
      </w:r>
      <w:r w:rsidR="005A147F" w:rsidDel="005A147F">
        <w:rPr>
          <w:rFonts w:ascii="Arial" w:hAnsi="Arial" w:cs="Arial"/>
        </w:rPr>
        <w:t xml:space="preserve"> </w:t>
      </w:r>
    </w:p>
    <w:p w14:paraId="7A9879CD" w14:textId="13DCA562" w:rsidR="00584ABE" w:rsidRPr="007A3FE1" w:rsidRDefault="00BB6996" w:rsidP="005923F4">
      <w:pPr>
        <w:pStyle w:val="3GPPHeader"/>
        <w:spacing w:after="60"/>
        <w:rPr>
          <w:rFonts w:ascii="Arial" w:hAnsi="Arial" w:cs="Arial"/>
          <w:b w:val="0"/>
          <w:noProof/>
        </w:rPr>
      </w:pPr>
      <w:r>
        <w:t>Athens, Greece</w:t>
      </w:r>
      <w:r w:rsidR="00F66DDF">
        <w:t xml:space="preserve">, </w:t>
      </w:r>
      <w:r>
        <w:t>25</w:t>
      </w:r>
      <w:r w:rsidRPr="00BB6996">
        <w:rPr>
          <w:vertAlign w:val="superscript"/>
        </w:rPr>
        <w:t>th</w:t>
      </w:r>
      <w:r>
        <w:t xml:space="preserve"> February</w:t>
      </w:r>
      <w:r w:rsidR="00E03DCD">
        <w:t xml:space="preserve"> – </w:t>
      </w:r>
      <w:r>
        <w:t>1</w:t>
      </w:r>
      <w:r w:rsidRPr="00BB6996">
        <w:rPr>
          <w:vertAlign w:val="superscript"/>
        </w:rPr>
        <w:t>st</w:t>
      </w:r>
      <w:r>
        <w:t xml:space="preserve"> March</w:t>
      </w:r>
      <w:r w:rsidR="00E03DCD">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6B535E8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r w:rsidR="00E03DCD">
        <w:rPr>
          <w:rFonts w:ascii="Arial" w:hAnsi="Arial" w:cs="Arial"/>
          <w:sz w:val="22"/>
        </w:rPr>
        <w:t>.5</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3A1265A4" w14:textId="4606F3F7" w:rsidR="00327044" w:rsidRDefault="003B7851"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 the last RAN 1 meeting (AH 1901)</w:t>
      </w:r>
      <w:r w:rsidR="00587BD2">
        <w:rPr>
          <w:rFonts w:ascii="Times New Roman" w:hAnsi="Times New Roman" w:cs="Times New Roman"/>
          <w:b w:val="0"/>
          <w:bCs w:val="0"/>
          <w:sz w:val="20"/>
          <w:szCs w:val="20"/>
          <w:lang w:eastAsia="en-US"/>
        </w:rPr>
        <w:t xml:space="preserve">, </w:t>
      </w:r>
      <w:r>
        <w:rPr>
          <w:rFonts w:ascii="Times New Roman" w:hAnsi="Times New Roman" w:cs="Times New Roman"/>
          <w:b w:val="0"/>
          <w:bCs w:val="0"/>
          <w:sz w:val="20"/>
          <w:szCs w:val="20"/>
          <w:lang w:eastAsia="en-US"/>
        </w:rPr>
        <w:t>some progress has been made for the wideband operation, especially for the DL, as captured in the following agreements.</w:t>
      </w:r>
    </w:p>
    <w:p w14:paraId="13A0CA53" w14:textId="77777777" w:rsidR="003B7851" w:rsidRPr="003B7851" w:rsidRDefault="003B7851" w:rsidP="003B7851">
      <w:pPr>
        <w:spacing w:after="0" w:line="240" w:lineRule="auto"/>
        <w:rPr>
          <w:rFonts w:ascii="Times" w:eastAsia="Batang" w:hAnsi="Times" w:cs="Times"/>
          <w:sz w:val="20"/>
          <w:szCs w:val="20"/>
          <w:lang w:eastAsia="x-none"/>
        </w:rPr>
      </w:pPr>
      <w:r w:rsidRPr="003B7851">
        <w:rPr>
          <w:rFonts w:ascii="Times" w:eastAsia="Batang" w:hAnsi="Times" w:cs="Times"/>
          <w:sz w:val="20"/>
          <w:szCs w:val="20"/>
          <w:highlight w:val="green"/>
          <w:lang w:eastAsia="x-none"/>
        </w:rPr>
        <w:t>Agreement:</w:t>
      </w:r>
    </w:p>
    <w:p w14:paraId="1A7E9F8E" w14:textId="77777777" w:rsidR="003B7851" w:rsidRPr="003B7851" w:rsidRDefault="003B7851" w:rsidP="00911127">
      <w:pPr>
        <w:numPr>
          <w:ilvl w:val="0"/>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 xml:space="preserve">For wideband operation in DL with a single serving cell operation </w:t>
      </w:r>
      <w:r w:rsidRPr="003B7851">
        <w:rPr>
          <w:rFonts w:ascii="Times" w:eastAsia="Batang" w:hAnsi="Times" w:cs="Times"/>
          <w:sz w:val="20"/>
          <w:szCs w:val="20"/>
          <w:lang w:eastAsia="x-none"/>
        </w:rPr>
        <w:t>within a carrier with bandwidth larger than 20 MHz</w:t>
      </w:r>
    </w:p>
    <w:p w14:paraId="06BBD66B" w14:textId="77777777" w:rsidR="003B7851" w:rsidRPr="003B7851" w:rsidRDefault="003B7851" w:rsidP="00911127">
      <w:pPr>
        <w:numPr>
          <w:ilvl w:val="1"/>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Multiple BWPs can be configured, single BWP activated, gNB may transmit PDSCH on parts or whole of single active BWP where CCA is successful at gNB (i.e., option 2 and 3 from previous agreement)</w:t>
      </w:r>
    </w:p>
    <w:p w14:paraId="6F1D7373" w14:textId="77777777" w:rsidR="003B7851" w:rsidRPr="003B7851" w:rsidRDefault="003B7851" w:rsidP="00911127">
      <w:pPr>
        <w:numPr>
          <w:ilvl w:val="2"/>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 xml:space="preserve">FFS: Restrictions on supportable gaps and combinations of gaps between discontiguous blocks where </w:t>
      </w:r>
    </w:p>
    <w:p w14:paraId="57E305E7" w14:textId="77777777" w:rsidR="003B7851" w:rsidRPr="003B7851" w:rsidRDefault="003B7851" w:rsidP="00911127">
      <w:pPr>
        <w:numPr>
          <w:ilvl w:val="3"/>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each block spans contiguous (one or) multiple successful LBT sub-bands</w:t>
      </w:r>
    </w:p>
    <w:p w14:paraId="3B6643F6" w14:textId="77777777" w:rsidR="003B7851" w:rsidRPr="003B7851" w:rsidRDefault="003B7851" w:rsidP="00911127">
      <w:pPr>
        <w:numPr>
          <w:ilvl w:val="3"/>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each gap spans one or multiple contiguous unsuccessful LBT sub-bands</w:t>
      </w:r>
    </w:p>
    <w:p w14:paraId="5D4A146C" w14:textId="77777777" w:rsidR="003B7851" w:rsidRPr="003B7851" w:rsidRDefault="003B7851" w:rsidP="00911127">
      <w:pPr>
        <w:numPr>
          <w:ilvl w:val="2"/>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7DFE6E30" w14:textId="77777777" w:rsidR="003B7851" w:rsidRPr="003B7851" w:rsidRDefault="003B7851" w:rsidP="00911127">
      <w:pPr>
        <w:numPr>
          <w:ilvl w:val="2"/>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FFS: Limit on the occupied LBT sub-bands due to regulation and coexistence considerations (not intended to imply that regulation and coexistence considerations will not be addressed)</w:t>
      </w:r>
    </w:p>
    <w:p w14:paraId="24D62A6A" w14:textId="77777777" w:rsidR="003B7851" w:rsidRPr="003B7851" w:rsidRDefault="003B7851" w:rsidP="00911127">
      <w:pPr>
        <w:numPr>
          <w:ilvl w:val="2"/>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FFS: Whether/how to indicate gNB’s transmitted LBT sub-bands</w:t>
      </w:r>
    </w:p>
    <w:p w14:paraId="4725EB77" w14:textId="77777777" w:rsidR="003B7851" w:rsidRPr="003B7851" w:rsidRDefault="003B7851" w:rsidP="00911127">
      <w:pPr>
        <w:numPr>
          <w:ilvl w:val="2"/>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FFS: Enhancements to PDCCH/PDSCH configuration/transmission for the parts of BWP where gNB does not transmit due to CCA failure</w:t>
      </w:r>
    </w:p>
    <w:p w14:paraId="14C70E99" w14:textId="77777777" w:rsidR="003B7851" w:rsidRPr="003B7851" w:rsidRDefault="003B7851" w:rsidP="00911127">
      <w:pPr>
        <w:numPr>
          <w:ilvl w:val="0"/>
          <w:numId w:val="13"/>
        </w:num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Send LS to RAN4 to inform above decision with the description that RAN1 requires RAN4’s feedback on the first three FFS parts in addition to what was requested in earlier LSs.</w:t>
      </w:r>
    </w:p>
    <w:p w14:paraId="3387B94F" w14:textId="77777777" w:rsidR="003B7851" w:rsidRPr="003B7851" w:rsidRDefault="003B7851" w:rsidP="003B7851">
      <w:pPr>
        <w:spacing w:after="0" w:line="240" w:lineRule="auto"/>
        <w:rPr>
          <w:rFonts w:ascii="Times" w:eastAsia="Batang" w:hAnsi="Times" w:cs="Times"/>
          <w:sz w:val="20"/>
          <w:szCs w:val="20"/>
          <w:lang w:val="en-US" w:eastAsia="x-none"/>
        </w:rPr>
      </w:pPr>
    </w:p>
    <w:p w14:paraId="78DCC83D" w14:textId="77777777" w:rsidR="003B7851" w:rsidRPr="003B7851" w:rsidRDefault="003B7851" w:rsidP="003B7851">
      <w:pPr>
        <w:spacing w:after="0" w:line="240" w:lineRule="auto"/>
        <w:rPr>
          <w:rFonts w:ascii="Times" w:eastAsia="Batang" w:hAnsi="Times" w:cs="Times"/>
          <w:sz w:val="20"/>
          <w:szCs w:val="20"/>
          <w:lang w:eastAsia="x-none"/>
        </w:rPr>
      </w:pPr>
    </w:p>
    <w:p w14:paraId="0CDC3E7E" w14:textId="33EAC408" w:rsidR="003B7851" w:rsidRPr="003B7851" w:rsidRDefault="003B7851" w:rsidP="003B7851">
      <w:pPr>
        <w:spacing w:after="0" w:line="240" w:lineRule="auto"/>
        <w:rPr>
          <w:rFonts w:ascii="Times" w:eastAsia="Batang" w:hAnsi="Times" w:cs="Times"/>
          <w:sz w:val="20"/>
          <w:szCs w:val="20"/>
          <w:lang w:val="en-US" w:eastAsia="x-none"/>
        </w:rPr>
      </w:pPr>
      <w:r w:rsidRPr="003B7851">
        <w:rPr>
          <w:rFonts w:ascii="Times" w:eastAsia="Batang" w:hAnsi="Times" w:cs="Times"/>
          <w:sz w:val="20"/>
          <w:szCs w:val="20"/>
          <w:lang w:val="en-US" w:eastAsia="x-none"/>
        </w:rPr>
        <w:t xml:space="preserve">In addition, </w:t>
      </w:r>
      <w:r>
        <w:rPr>
          <w:rFonts w:ascii="Times" w:eastAsia="Batang" w:hAnsi="Times" w:cs="Times"/>
          <w:sz w:val="20"/>
          <w:szCs w:val="20"/>
          <w:lang w:val="en-US" w:eastAsia="x-none"/>
        </w:rPr>
        <w:t xml:space="preserve">for the UL, RAN1 has concluded that operation with multiple active BWPs for a carrier on unlicensed bands is </w:t>
      </w:r>
      <w:r w:rsidRPr="00911127">
        <w:rPr>
          <w:rFonts w:ascii="Times" w:eastAsia="Batang" w:hAnsi="Times" w:cs="Times"/>
          <w:sz w:val="20"/>
          <w:szCs w:val="20"/>
          <w:u w:val="single"/>
          <w:lang w:val="en-US" w:eastAsia="x-none"/>
        </w:rPr>
        <w:t>not support</w:t>
      </w:r>
      <w:r>
        <w:rPr>
          <w:rFonts w:ascii="Times" w:eastAsia="Batang" w:hAnsi="Times" w:cs="Times"/>
          <w:sz w:val="20"/>
          <w:szCs w:val="20"/>
          <w:lang w:val="en-US" w:eastAsia="x-none"/>
        </w:rPr>
        <w:t xml:space="preserve"> (which is the same for DL). </w:t>
      </w:r>
      <w:r w:rsidR="00911127">
        <w:rPr>
          <w:rFonts w:ascii="Times" w:eastAsia="Batang" w:hAnsi="Times" w:cs="Times"/>
          <w:sz w:val="20"/>
          <w:szCs w:val="20"/>
          <w:lang w:val="en-US" w:eastAsia="x-none"/>
        </w:rPr>
        <w:t>Basically, it means option 1a and option 1b identified in the study item phase would not be considered any more. The options left are</w:t>
      </w:r>
      <w:r>
        <w:rPr>
          <w:rFonts w:ascii="Times" w:eastAsia="Batang" w:hAnsi="Times" w:cs="Times"/>
          <w:sz w:val="20"/>
          <w:szCs w:val="20"/>
          <w:lang w:val="en-US" w:eastAsia="x-none"/>
        </w:rPr>
        <w:t xml:space="preserve"> </w:t>
      </w:r>
    </w:p>
    <w:p w14:paraId="76572AF1" w14:textId="77777777" w:rsidR="003B7851" w:rsidRDefault="003B7851" w:rsidP="003B7851">
      <w:pPr>
        <w:spacing w:after="0" w:line="240" w:lineRule="auto"/>
        <w:rPr>
          <w:rFonts w:ascii="Times" w:eastAsia="Batang" w:hAnsi="Times" w:cs="Times"/>
          <w:sz w:val="20"/>
          <w:szCs w:val="20"/>
          <w:highlight w:val="green"/>
          <w:lang w:eastAsia="x-none"/>
        </w:rPr>
      </w:pPr>
    </w:p>
    <w:p w14:paraId="542011FE" w14:textId="77777777" w:rsidR="00E03DCD" w:rsidRPr="00C0286B" w:rsidRDefault="00E03DCD" w:rsidP="00E03DCD">
      <w:pPr>
        <w:pStyle w:val="B1"/>
        <w:rPr>
          <w:rFonts w:ascii="Times New Roman" w:hAnsi="Times New Roman" w:cs="Times New Roman"/>
          <w:sz w:val="20"/>
          <w:szCs w:val="20"/>
          <w:lang w:val="en-US"/>
        </w:rPr>
      </w:pPr>
      <w:r w:rsidRPr="00057276">
        <w:rPr>
          <w:rFonts w:ascii="Times New Roman" w:hAnsi="Times New Roman" w:cs="Times New Roman"/>
          <w:i/>
          <w:sz w:val="20"/>
          <w:szCs w:val="20"/>
          <w:lang w:val="en-US"/>
        </w:rPr>
        <w:t>-</w:t>
      </w:r>
      <w:r w:rsidRPr="00057276">
        <w:rPr>
          <w:rFonts w:ascii="Times New Roman" w:hAnsi="Times New Roman" w:cs="Times New Roman"/>
          <w:i/>
          <w:sz w:val="20"/>
          <w:szCs w:val="20"/>
          <w:lang w:val="en-US"/>
        </w:rPr>
        <w:tab/>
      </w:r>
      <w:r w:rsidRPr="00C0286B">
        <w:rPr>
          <w:rFonts w:ascii="Times" w:eastAsia="Batang" w:hAnsi="Times" w:cs="Times"/>
          <w:sz w:val="20"/>
          <w:szCs w:val="20"/>
          <w:lang w:val="en-US" w:eastAsia="x-none"/>
        </w:rPr>
        <w:t>Option 2: Multiple BWPs can be configured, single BWP activated, UE transmits PUSCH on a single BWP if CCA is successful at UE for the whole BWP</w:t>
      </w:r>
    </w:p>
    <w:p w14:paraId="6D5F2A4B" w14:textId="77777777" w:rsidR="00E03DCD" w:rsidRPr="00C0286B" w:rsidRDefault="00E03DCD" w:rsidP="00E03DCD">
      <w:pPr>
        <w:pStyle w:val="B1"/>
        <w:rPr>
          <w:rFonts w:ascii="Times New Roman" w:hAnsi="Times New Roman" w:cs="Times New Roman"/>
          <w:sz w:val="20"/>
          <w:szCs w:val="20"/>
          <w:lang w:val="en-US"/>
        </w:rPr>
      </w:pPr>
      <w:r w:rsidRPr="00C0286B">
        <w:rPr>
          <w:rFonts w:ascii="Times New Roman" w:hAnsi="Times New Roman" w:cs="Times New Roman"/>
          <w:sz w:val="20"/>
          <w:szCs w:val="20"/>
          <w:lang w:val="en-US"/>
        </w:rPr>
        <w:t>-</w:t>
      </w:r>
      <w:r w:rsidRPr="00C0286B">
        <w:rPr>
          <w:rFonts w:ascii="Times New Roman" w:hAnsi="Times New Roman" w:cs="Times New Roman"/>
          <w:sz w:val="20"/>
          <w:szCs w:val="20"/>
          <w:lang w:val="en-US"/>
        </w:rPr>
        <w:tab/>
        <w:t>Option 3</w:t>
      </w:r>
      <w:r w:rsidRPr="00C0286B">
        <w:rPr>
          <w:rFonts w:ascii="Times" w:eastAsia="Batang" w:hAnsi="Times" w:cs="Times"/>
          <w:sz w:val="20"/>
          <w:szCs w:val="20"/>
          <w:lang w:val="en-US" w:eastAsia="x-none"/>
        </w:rPr>
        <w:t>: Multiple BWPs can be configured, single BWP activated, UE transmits PUSCH on parts or whole of single BWP where CCA is successful</w:t>
      </w:r>
      <w:r w:rsidRPr="00C0286B">
        <w:rPr>
          <w:rFonts w:ascii="Times New Roman" w:hAnsi="Times New Roman" w:cs="Times New Roman"/>
          <w:sz w:val="20"/>
          <w:szCs w:val="20"/>
          <w:lang w:val="en-US"/>
        </w:rPr>
        <w:t xml:space="preserve"> at UE</w:t>
      </w:r>
    </w:p>
    <w:p w14:paraId="0B9B01C5" w14:textId="6403F6ED" w:rsidR="006B5727" w:rsidRDefault="00911127"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 this contribution, we provide our views on these options</w:t>
      </w:r>
      <w:r w:rsidR="00D35F56">
        <w:rPr>
          <w:rFonts w:ascii="Times New Roman" w:hAnsi="Times New Roman" w:cs="Times New Roman"/>
          <w:b w:val="0"/>
          <w:bCs w:val="0"/>
          <w:sz w:val="20"/>
          <w:szCs w:val="20"/>
          <w:lang w:eastAsia="en-US"/>
        </w:rPr>
        <w:t>.</w:t>
      </w:r>
    </w:p>
    <w:p w14:paraId="7392FC4E" w14:textId="77777777" w:rsidR="00A35130" w:rsidRPr="00633833" w:rsidRDefault="00A35130" w:rsidP="001F718F">
      <w:pPr>
        <w:pStyle w:val="Proposal"/>
        <w:numPr>
          <w:ilvl w:val="0"/>
          <w:numId w:val="0"/>
        </w:numPr>
        <w:rPr>
          <w:rFonts w:ascii="Times New Roman" w:hAnsi="Times New Roman" w:cs="Times New Roman"/>
          <w:sz w:val="20"/>
          <w:szCs w:val="20"/>
          <w:lang w:eastAsia="en-US"/>
        </w:rPr>
      </w:pPr>
      <w:bookmarkStart w:id="2" w:name="_Ref462918989"/>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6292E2B0" w14:textId="6B0A897E" w:rsidR="000F153F" w:rsidRDefault="000F153F"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The UL transmission can happen within or outside gNB’s acquired channel occupancy time (COT). Since the CCA requirements are different, we discuss the two cases separately in the following.</w:t>
      </w:r>
      <w:r w:rsidRPr="000F153F">
        <w:rPr>
          <w:rFonts w:ascii="Times New Roman" w:hAnsi="Times New Roman" w:cs="Times New Roman"/>
          <w:sz w:val="20"/>
          <w:szCs w:val="20"/>
          <w:lang w:eastAsia="en-US"/>
        </w:rPr>
        <w:t xml:space="preserve"> </w:t>
      </w:r>
    </w:p>
    <w:p w14:paraId="0E49978B" w14:textId="4879AFDB" w:rsidR="0020528E" w:rsidRPr="00DD288E" w:rsidRDefault="0020528E" w:rsidP="00DD288E">
      <w:pPr>
        <w:spacing w:after="180" w:line="240" w:lineRule="auto"/>
        <w:jc w:val="both"/>
        <w:rPr>
          <w:rFonts w:ascii="Times New Roman" w:eastAsia="MS Mincho" w:hAnsi="Times New Roman" w:cs="Times New Roman"/>
          <w:b/>
          <w:sz w:val="20"/>
          <w:szCs w:val="20"/>
          <w:u w:val="single"/>
          <w:lang w:val="en-AU"/>
        </w:rPr>
      </w:pPr>
      <w:r w:rsidRPr="00DD288E">
        <w:rPr>
          <w:rFonts w:ascii="Times New Roman" w:eastAsia="MS Mincho" w:hAnsi="Times New Roman" w:cs="Times New Roman"/>
          <w:b/>
          <w:sz w:val="20"/>
          <w:szCs w:val="20"/>
          <w:u w:val="single"/>
          <w:lang w:val="en-AU"/>
        </w:rPr>
        <w:lastRenderedPageBreak/>
        <w:t>UL transmission within gNB’s COT</w:t>
      </w:r>
    </w:p>
    <w:p w14:paraId="62D81641" w14:textId="70F34B62" w:rsidR="006D398D" w:rsidRDefault="004C5405"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Grant-based PUSCH transmission is expected to happen within the gNB’s acquired COT. It is subject to Cat 1 immediate transmission or Cat 2 LBT</w:t>
      </w:r>
      <w:r w:rsidR="006B6D73">
        <w:rPr>
          <w:rFonts w:ascii="Times New Roman" w:hAnsi="Times New Roman" w:cs="Times New Roman"/>
          <w:sz w:val="20"/>
          <w:szCs w:val="20"/>
          <w:lang w:eastAsia="en-US"/>
        </w:rPr>
        <w:t xml:space="preserve"> [1]</w:t>
      </w:r>
      <w:r>
        <w:rPr>
          <w:rFonts w:ascii="Times New Roman" w:hAnsi="Times New Roman" w:cs="Times New Roman"/>
          <w:sz w:val="20"/>
          <w:szCs w:val="20"/>
          <w:lang w:eastAsia="en-US"/>
        </w:rPr>
        <w:t xml:space="preserve">. </w:t>
      </w:r>
    </w:p>
    <w:p w14:paraId="107E646B" w14:textId="77777777" w:rsidR="00EF45A4" w:rsidRDefault="006D398D"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mentioned in the introduction, for the DL, it has been already agreed that gNB is allowed to transmit PDSCH on parts of the active BWP where CCA is successful. One reasonable BWP operation in NR-U is, depending on the traffic situation, to activate the widest DL and UL BWP to accommodate more transmission opportunities without the need for BWP switching, because BWP switching would introduce the scheduling delay. </w:t>
      </w:r>
    </w:p>
    <w:p w14:paraId="5094A8C4" w14:textId="0C75BB8F" w:rsidR="00EF40ED" w:rsidRDefault="006D398D"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Consider the case where gNB has acquired access to only parts of the active DL (and UL) BWP.</w:t>
      </w:r>
      <w:r w:rsidR="00EF45A4">
        <w:rPr>
          <w:rFonts w:ascii="Times New Roman" w:hAnsi="Times New Roman" w:cs="Times New Roman"/>
          <w:sz w:val="20"/>
          <w:szCs w:val="20"/>
          <w:lang w:eastAsia="en-US"/>
        </w:rPr>
        <w:t xml:space="preserve"> gNB would schedule UL transmission over the RBs which are in the sub-band(s) that have passed LBT at gNB side. </w:t>
      </w:r>
      <w:r>
        <w:rPr>
          <w:rFonts w:ascii="Times New Roman" w:hAnsi="Times New Roman" w:cs="Times New Roman"/>
          <w:sz w:val="20"/>
          <w:szCs w:val="20"/>
          <w:lang w:eastAsia="en-US"/>
        </w:rPr>
        <w:t xml:space="preserve">For Cat 1 immediate transmission of PUSCH within gNB’s COT, </w:t>
      </w:r>
      <w:r w:rsidR="00EF40ED">
        <w:rPr>
          <w:rFonts w:ascii="Times New Roman" w:hAnsi="Times New Roman" w:cs="Times New Roman"/>
          <w:sz w:val="20"/>
          <w:szCs w:val="20"/>
          <w:lang w:eastAsia="en-US"/>
        </w:rPr>
        <w:t>since no LBT needs to be performed by UE</w:t>
      </w:r>
      <w:r>
        <w:rPr>
          <w:rFonts w:ascii="Times New Roman" w:hAnsi="Times New Roman" w:cs="Times New Roman"/>
          <w:sz w:val="20"/>
          <w:szCs w:val="20"/>
          <w:lang w:eastAsia="en-US"/>
        </w:rPr>
        <w:t>,</w:t>
      </w:r>
      <w:r w:rsidR="00EF40ED">
        <w:rPr>
          <w:rFonts w:ascii="Times New Roman" w:hAnsi="Times New Roman" w:cs="Times New Roman"/>
          <w:sz w:val="20"/>
          <w:szCs w:val="20"/>
          <w:lang w:eastAsia="en-US"/>
        </w:rPr>
        <w:t xml:space="preserve"> UE should be allowed to transmit PUSCH following the UL grant even if only part of its UL active BWP is in the sub-bands that passed LBT at gNB side when gNB initiating the COT. </w:t>
      </w:r>
    </w:p>
    <w:p w14:paraId="58671B26" w14:textId="429AA53E" w:rsidR="0020528E" w:rsidRDefault="00EF40ED" w:rsidP="000F153F">
      <w:pPr>
        <w:rPr>
          <w:rFonts w:ascii="Times New Roman" w:hAnsi="Times New Roman" w:cs="Times New Roman"/>
          <w:sz w:val="20"/>
          <w:szCs w:val="20"/>
          <w:lang w:eastAsia="en-US"/>
        </w:rPr>
      </w:pPr>
      <w:r>
        <w:rPr>
          <w:rFonts w:ascii="Times New Roman" w:hAnsi="Times New Roman" w:cs="Times New Roman"/>
          <w:sz w:val="20"/>
          <w:szCs w:val="20"/>
          <w:lang w:eastAsia="en-US"/>
        </w:rPr>
        <w:t>Similarly, for PUSCH transmission subject to Cat 2 LBT, it is likely LBT outcome obtained b</w:t>
      </w:r>
      <w:r w:rsidR="00EF45A4">
        <w:rPr>
          <w:rFonts w:ascii="Times New Roman" w:hAnsi="Times New Roman" w:cs="Times New Roman"/>
          <w:sz w:val="20"/>
          <w:szCs w:val="20"/>
          <w:lang w:eastAsia="en-US"/>
        </w:rPr>
        <w:t xml:space="preserve">y the UE is the same as the one performed by gNB recently. </w:t>
      </w:r>
      <w:r w:rsidR="00CA3172">
        <w:rPr>
          <w:rFonts w:ascii="Times New Roman" w:hAnsi="Times New Roman" w:cs="Times New Roman"/>
          <w:sz w:val="20"/>
          <w:szCs w:val="20"/>
          <w:lang w:eastAsia="en-US"/>
        </w:rPr>
        <w:t xml:space="preserve">If only option 2 is supported, UE has to switch active BWP to match the LBT outcome before performing UL transmission. Note that NR-U is operating as a TDD system, which means the UL and DL are paired and they have to be switched together. The switching delay is considerable, during which no UL/DL transmission is expected for the UE. Therefore, in order to ease the scheduling limitation, option 3 should be supported instead.  </w:t>
      </w:r>
    </w:p>
    <w:p w14:paraId="116C904C" w14:textId="25AF72B9" w:rsidR="0020528E" w:rsidRPr="00DD288E" w:rsidRDefault="0020528E" w:rsidP="00DD288E">
      <w:pPr>
        <w:spacing w:after="180" w:line="240" w:lineRule="auto"/>
        <w:jc w:val="both"/>
        <w:rPr>
          <w:rFonts w:ascii="Times New Roman" w:eastAsia="MS Mincho" w:hAnsi="Times New Roman" w:cs="Times New Roman"/>
          <w:b/>
          <w:sz w:val="20"/>
          <w:szCs w:val="20"/>
          <w:u w:val="single"/>
          <w:lang w:val="en-AU"/>
        </w:rPr>
      </w:pPr>
      <w:r w:rsidRPr="00DD288E">
        <w:rPr>
          <w:rFonts w:ascii="Times New Roman" w:eastAsia="MS Mincho" w:hAnsi="Times New Roman" w:cs="Times New Roman"/>
          <w:b/>
          <w:sz w:val="20"/>
          <w:szCs w:val="20"/>
          <w:u w:val="single"/>
          <w:lang w:val="en-AU"/>
        </w:rPr>
        <w:t>UL transmission outside gNB’s COT</w:t>
      </w:r>
    </w:p>
    <w:p w14:paraId="7C7E3863" w14:textId="0615B8E7" w:rsidR="00400EA0" w:rsidRDefault="00E95EE7" w:rsidP="005E5C6F">
      <w:pPr>
        <w:pStyle w:val="text"/>
        <w:rPr>
          <w:rFonts w:ascii="Times New Roman" w:hAnsi="Times New Roman"/>
          <w:sz w:val="20"/>
          <w:lang w:eastAsia="en-US"/>
        </w:rPr>
      </w:pPr>
      <w:r>
        <w:rPr>
          <w:rFonts w:ascii="Times New Roman" w:hAnsi="Times New Roman"/>
          <w:sz w:val="20"/>
          <w:lang w:eastAsia="en-US"/>
        </w:rPr>
        <w:t>At least c</w:t>
      </w:r>
      <w:r w:rsidR="006B6D73">
        <w:rPr>
          <w:rFonts w:ascii="Times New Roman" w:hAnsi="Times New Roman"/>
          <w:sz w:val="20"/>
          <w:lang w:eastAsia="en-US"/>
        </w:rPr>
        <w:t>onfigured grant transmission can happen outside gNB’s COT, which may be subject to Cat 4 LBT [1].</w:t>
      </w:r>
      <w:r w:rsidR="0026743E">
        <w:rPr>
          <w:rFonts w:ascii="Times New Roman" w:hAnsi="Times New Roman"/>
          <w:sz w:val="20"/>
          <w:lang w:eastAsia="en-US"/>
        </w:rPr>
        <w:t xml:space="preserve"> For wideband operation, it is reasonable to reserve the configured grant resources in multiple sub-bands. Consequently, depending on the LBT outcome, the chance of grant-free transmission can be increased even if some sub-bands are blocked by other system. With such consideration, for UE who is demanding grant-free transmission, the active UL BWP can correspond to the widest BWP cov</w:t>
      </w:r>
      <w:r>
        <w:rPr>
          <w:rFonts w:ascii="Times New Roman" w:hAnsi="Times New Roman"/>
          <w:sz w:val="20"/>
          <w:lang w:eastAsia="en-US"/>
        </w:rPr>
        <w:t>er</w:t>
      </w:r>
      <w:r w:rsidR="0026743E">
        <w:rPr>
          <w:rFonts w:ascii="Times New Roman" w:hAnsi="Times New Roman"/>
          <w:sz w:val="20"/>
          <w:lang w:eastAsia="en-US"/>
        </w:rPr>
        <w:t xml:space="preserve">ing more grant-free resources. If option 3 is supported, UE </w:t>
      </w:r>
      <w:r w:rsidR="00654C29">
        <w:rPr>
          <w:rFonts w:ascii="Times New Roman" w:hAnsi="Times New Roman"/>
          <w:sz w:val="20"/>
          <w:lang w:eastAsia="en-US"/>
        </w:rPr>
        <w:t>is allowed to</w:t>
      </w:r>
      <w:r w:rsidR="0026743E">
        <w:rPr>
          <w:rFonts w:ascii="Times New Roman" w:hAnsi="Times New Roman"/>
          <w:sz w:val="20"/>
          <w:lang w:eastAsia="en-US"/>
        </w:rPr>
        <w:t xml:space="preserve"> proceed with configur</w:t>
      </w:r>
      <w:r w:rsidR="00654C29">
        <w:rPr>
          <w:rFonts w:ascii="Times New Roman" w:hAnsi="Times New Roman"/>
          <w:sz w:val="20"/>
          <w:lang w:eastAsia="en-US"/>
        </w:rPr>
        <w:t>ed grant transmission in case that</w:t>
      </w:r>
      <w:r w:rsidR="0026743E">
        <w:rPr>
          <w:rFonts w:ascii="Times New Roman" w:hAnsi="Times New Roman"/>
          <w:sz w:val="20"/>
          <w:lang w:eastAsia="en-US"/>
        </w:rPr>
        <w:t xml:space="preserve"> parts of its</w:t>
      </w:r>
      <w:r w:rsidR="00654C29">
        <w:rPr>
          <w:rFonts w:ascii="Times New Roman" w:hAnsi="Times New Roman"/>
          <w:sz w:val="20"/>
          <w:lang w:eastAsia="en-US"/>
        </w:rPr>
        <w:t xml:space="preserve"> wide active BWP has passed LBT, without the need for changing active BWP. </w:t>
      </w:r>
      <w:r w:rsidR="006B6D73">
        <w:rPr>
          <w:rFonts w:ascii="Times New Roman" w:hAnsi="Times New Roman"/>
          <w:sz w:val="20"/>
          <w:lang w:eastAsia="en-US"/>
        </w:rPr>
        <w:t xml:space="preserve">  </w:t>
      </w:r>
      <w:r w:rsidR="0066415F">
        <w:rPr>
          <w:rFonts w:ascii="Times New Roman" w:hAnsi="Times New Roman"/>
          <w:sz w:val="20"/>
          <w:lang w:eastAsia="en-US"/>
        </w:rPr>
        <w:t xml:space="preserve">  </w:t>
      </w:r>
      <w:r w:rsidR="00D93E15">
        <w:rPr>
          <w:rFonts w:ascii="Times New Roman" w:hAnsi="Times New Roman"/>
          <w:sz w:val="20"/>
          <w:lang w:eastAsia="en-US"/>
        </w:rPr>
        <w:t xml:space="preserve">  </w:t>
      </w:r>
    </w:p>
    <w:p w14:paraId="15C7DE91" w14:textId="53752E1E" w:rsidR="00D661B0" w:rsidRDefault="00CE3F6C"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Therefore, we proposed:</w:t>
      </w:r>
      <w:r w:rsidR="00D04BD0">
        <w:rPr>
          <w:rFonts w:ascii="Times New Roman" w:hAnsi="Times New Roman" w:cs="Times New Roman"/>
          <w:sz w:val="20"/>
          <w:szCs w:val="20"/>
          <w:lang w:eastAsia="en-US"/>
        </w:rPr>
        <w:t xml:space="preserve">  </w:t>
      </w:r>
      <w:r w:rsidR="00F020A9">
        <w:rPr>
          <w:rFonts w:ascii="Times New Roman" w:hAnsi="Times New Roman" w:cs="Times New Roman"/>
          <w:sz w:val="20"/>
          <w:szCs w:val="20"/>
          <w:lang w:eastAsia="en-US"/>
        </w:rPr>
        <w:t xml:space="preserve"> </w:t>
      </w:r>
      <w:r w:rsidR="00D661B0">
        <w:rPr>
          <w:rFonts w:ascii="Times New Roman" w:hAnsi="Times New Roman" w:cs="Times New Roman"/>
          <w:sz w:val="20"/>
          <w:szCs w:val="20"/>
          <w:lang w:eastAsia="en-US"/>
        </w:rPr>
        <w:t xml:space="preserve"> </w:t>
      </w:r>
    </w:p>
    <w:p w14:paraId="30ED559D" w14:textId="2546324B" w:rsidR="00362DE3" w:rsidRDefault="0056299D" w:rsidP="009B19F5">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CE3F6C">
        <w:rPr>
          <w:rFonts w:ascii="Times New Roman" w:hAnsi="Times New Roman" w:cs="Times New Roman"/>
          <w:b/>
          <w:sz w:val="20"/>
          <w:szCs w:val="20"/>
          <w:lang w:eastAsia="en-US"/>
        </w:rPr>
        <w:t>1</w:t>
      </w:r>
      <w:r>
        <w:rPr>
          <w:rFonts w:ascii="Times New Roman" w:hAnsi="Times New Roman" w:cs="Times New Roman"/>
          <w:b/>
          <w:sz w:val="20"/>
          <w:szCs w:val="20"/>
          <w:lang w:eastAsia="en-US"/>
        </w:rPr>
        <w:t xml:space="preserve">: </w:t>
      </w:r>
      <w:r w:rsidR="00CE3F6C">
        <w:rPr>
          <w:rFonts w:ascii="Times New Roman" w:hAnsi="Times New Roman" w:cs="Times New Roman"/>
          <w:b/>
          <w:sz w:val="20"/>
          <w:szCs w:val="20"/>
          <w:lang w:eastAsia="en-US"/>
        </w:rPr>
        <w:t xml:space="preserve">RAN1 </w:t>
      </w:r>
      <w:r w:rsidR="000C1A51">
        <w:rPr>
          <w:rFonts w:ascii="Times New Roman" w:hAnsi="Times New Roman" w:cs="Times New Roman"/>
          <w:b/>
          <w:sz w:val="20"/>
          <w:szCs w:val="20"/>
          <w:lang w:eastAsia="en-US"/>
        </w:rPr>
        <w:t xml:space="preserve">supports </w:t>
      </w:r>
      <w:r w:rsidR="00CE3F6C">
        <w:rPr>
          <w:rFonts w:ascii="Times New Roman" w:hAnsi="Times New Roman" w:cs="Times New Roman"/>
          <w:b/>
          <w:sz w:val="20"/>
          <w:szCs w:val="20"/>
          <w:lang w:eastAsia="en-US"/>
        </w:rPr>
        <w:t xml:space="preserve">Option 3 </w:t>
      </w:r>
      <w:r w:rsidR="000C1A51">
        <w:rPr>
          <w:rFonts w:ascii="Times New Roman" w:hAnsi="Times New Roman" w:cs="Times New Roman"/>
          <w:b/>
          <w:sz w:val="20"/>
          <w:szCs w:val="20"/>
          <w:lang w:eastAsia="en-US"/>
        </w:rPr>
        <w:t xml:space="preserve">for </w:t>
      </w:r>
      <w:r w:rsidR="00BB3E6E">
        <w:rPr>
          <w:rFonts w:ascii="Times New Roman" w:hAnsi="Times New Roman" w:cs="Times New Roman"/>
          <w:b/>
          <w:sz w:val="20"/>
          <w:szCs w:val="20"/>
          <w:lang w:eastAsia="en-US"/>
        </w:rPr>
        <w:t xml:space="preserve">NR-U </w:t>
      </w:r>
      <w:r w:rsidR="00654C29">
        <w:rPr>
          <w:rFonts w:ascii="Times New Roman" w:hAnsi="Times New Roman" w:cs="Times New Roman"/>
          <w:b/>
          <w:sz w:val="20"/>
          <w:szCs w:val="20"/>
          <w:lang w:eastAsia="en-US"/>
        </w:rPr>
        <w:t xml:space="preserve">UL </w:t>
      </w:r>
      <w:r w:rsidR="00BB3E6E">
        <w:rPr>
          <w:rFonts w:ascii="Times New Roman" w:hAnsi="Times New Roman" w:cs="Times New Roman"/>
          <w:b/>
          <w:sz w:val="20"/>
          <w:szCs w:val="20"/>
          <w:lang w:eastAsia="en-US"/>
        </w:rPr>
        <w:t>wideband operation where a carrier has bandwidth larger than 20 MHz</w:t>
      </w:r>
      <w:r w:rsidR="00D215AD">
        <w:rPr>
          <w:rFonts w:ascii="Times New Roman" w:hAnsi="Times New Roman" w:cs="Times New Roman"/>
          <w:b/>
          <w:sz w:val="20"/>
          <w:szCs w:val="20"/>
          <w:lang w:eastAsia="en-US"/>
        </w:rPr>
        <w:t>.</w:t>
      </w:r>
      <w:r w:rsidR="00CE3F6C">
        <w:rPr>
          <w:rFonts w:ascii="Times New Roman" w:hAnsi="Times New Roman" w:cs="Times New Roman"/>
          <w:b/>
          <w:sz w:val="20"/>
          <w:szCs w:val="20"/>
          <w:lang w:eastAsia="en-US"/>
        </w:rPr>
        <w:t xml:space="preserve"> </w:t>
      </w:r>
      <w:r w:rsidR="00D215AD">
        <w:rPr>
          <w:rFonts w:ascii="Times New Roman" w:hAnsi="Times New Roman" w:cs="Times New Roman"/>
          <w:b/>
          <w:sz w:val="20"/>
          <w:szCs w:val="20"/>
          <w:lang w:eastAsia="en-US"/>
        </w:rPr>
        <w:t xml:space="preserve"> </w:t>
      </w:r>
      <w:r>
        <w:rPr>
          <w:rFonts w:ascii="Times New Roman" w:hAnsi="Times New Roman" w:cs="Times New Roman"/>
          <w:sz w:val="20"/>
          <w:szCs w:val="20"/>
          <w:lang w:eastAsia="en-US"/>
        </w:rPr>
        <w:t xml:space="preserve"> </w:t>
      </w:r>
    </w:p>
    <w:bookmarkEnd w:id="2"/>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FCAC089"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BB3E6E">
        <w:rPr>
          <w:rFonts w:ascii="Times New Roman" w:hAnsi="Times New Roman" w:cs="Times New Roman"/>
          <w:b w:val="0"/>
          <w:bCs w:val="0"/>
          <w:sz w:val="20"/>
          <w:szCs w:val="20"/>
          <w:lang w:eastAsia="en-US"/>
        </w:rPr>
        <w:t>proposal</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305C9E7D" w14:textId="31C6E0CC" w:rsidR="00BB3E6E" w:rsidRDefault="00BB3E6E" w:rsidP="00BB3E6E">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1: RAN1 supports Option 3 for NR-U </w:t>
      </w:r>
      <w:r w:rsidR="00654C29">
        <w:rPr>
          <w:rFonts w:ascii="Times New Roman" w:hAnsi="Times New Roman" w:cs="Times New Roman"/>
          <w:b/>
          <w:sz w:val="20"/>
          <w:szCs w:val="20"/>
          <w:lang w:eastAsia="en-US"/>
        </w:rPr>
        <w:t xml:space="preserve">UL </w:t>
      </w:r>
      <w:r>
        <w:rPr>
          <w:rFonts w:ascii="Times New Roman" w:hAnsi="Times New Roman" w:cs="Times New Roman"/>
          <w:b/>
          <w:sz w:val="20"/>
          <w:szCs w:val="20"/>
          <w:lang w:eastAsia="en-US"/>
        </w:rPr>
        <w:t xml:space="preserve">wideband operation where a carrier has bandwidth larger than 20 MHz.  </w:t>
      </w:r>
      <w:r>
        <w:rPr>
          <w:rFonts w:ascii="Times New Roman" w:hAnsi="Times New Roman" w:cs="Times New Roman"/>
          <w:sz w:val="20"/>
          <w:szCs w:val="20"/>
          <w:lang w:eastAsia="en-US"/>
        </w:rPr>
        <w:t xml:space="preserve"> </w:t>
      </w:r>
    </w:p>
    <w:p w14:paraId="504930E5" w14:textId="77777777" w:rsidR="00BB3E6E" w:rsidRDefault="00BB3E6E" w:rsidP="004B155E">
      <w:pPr>
        <w:pStyle w:val="Proposal"/>
        <w:numPr>
          <w:ilvl w:val="0"/>
          <w:numId w:val="0"/>
        </w:numPr>
        <w:rPr>
          <w:rFonts w:ascii="Times New Roman" w:hAnsi="Times New Roman" w:cs="Times New Roman"/>
          <w:b w:val="0"/>
          <w:bCs w:val="0"/>
          <w:sz w:val="20"/>
          <w:szCs w:val="20"/>
          <w:lang w:eastAsia="en-US"/>
        </w:rPr>
      </w:pPr>
    </w:p>
    <w:p w14:paraId="7C211DE8" w14:textId="77777777" w:rsidR="00587BD2" w:rsidRPr="00DC33E4" w:rsidRDefault="00587BD2" w:rsidP="00587BD2">
      <w:pPr>
        <w:pStyle w:val="Heading1"/>
        <w:rPr>
          <w:lang w:val="en-US"/>
        </w:rPr>
      </w:pPr>
      <w:r>
        <w:rPr>
          <w:lang w:val="en-US"/>
        </w:rPr>
        <w:t>Reference</w:t>
      </w:r>
    </w:p>
    <w:p w14:paraId="316AFA0A" w14:textId="696F668C" w:rsidR="00CE3F6C" w:rsidRDefault="00587BD2" w:rsidP="005E5C6F">
      <w:pPr>
        <w:pStyle w:val="Reference"/>
        <w:numPr>
          <w:ilvl w:val="0"/>
          <w:numId w:val="0"/>
        </w:numPr>
        <w:ind w:left="567" w:hanging="567"/>
        <w:rPr>
          <w:rFonts w:ascii="Times New Roman" w:hAnsi="Times New Roman" w:cs="Times New Roman"/>
          <w:b/>
          <w:sz w:val="20"/>
          <w:szCs w:val="20"/>
          <w:lang w:eastAsia="en-US"/>
        </w:rPr>
      </w:pPr>
      <w:r>
        <w:rPr>
          <w:rFonts w:ascii="Times New Roman" w:hAnsi="Times New Roman" w:cs="Times New Roman"/>
          <w:sz w:val="20"/>
          <w:szCs w:val="20"/>
          <w:lang w:eastAsia="en-US"/>
        </w:rPr>
        <w:t xml:space="preserve">[1] TR38.889, </w:t>
      </w:r>
      <w:r w:rsidRPr="00D7556C">
        <w:rPr>
          <w:rFonts w:ascii="Times New Roman" w:hAnsi="Times New Roman" w:cs="Times New Roman"/>
          <w:sz w:val="20"/>
          <w:szCs w:val="20"/>
          <w:lang w:eastAsia="en-US"/>
        </w:rPr>
        <w:t>Study on NR-based access to unlicensed spectrum</w:t>
      </w:r>
      <w:r>
        <w:rPr>
          <w:rFonts w:ascii="Times New Roman" w:hAnsi="Times New Roman" w:cs="Times New Roman"/>
          <w:sz w:val="20"/>
          <w:szCs w:val="20"/>
          <w:lang w:eastAsia="en-US"/>
        </w:rPr>
        <w:t>, v16.0.0, 2018-12</w:t>
      </w:r>
      <w:r w:rsidR="00D46DC9">
        <w:rPr>
          <w:rFonts w:ascii="Times New Roman" w:hAnsi="Times New Roman" w:cs="Times New Roman"/>
          <w:sz w:val="20"/>
          <w:szCs w:val="20"/>
          <w:lang w:eastAsia="en-US"/>
        </w:rPr>
        <w:t>, RAN</w:t>
      </w:r>
    </w:p>
    <w:p w14:paraId="31B16C63" w14:textId="64D2A06F"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E22F7" w16cid:durableId="200E87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DB6D0" w14:textId="77777777" w:rsidR="00040D7D" w:rsidRDefault="00040D7D">
      <w:r>
        <w:separator/>
      </w:r>
    </w:p>
  </w:endnote>
  <w:endnote w:type="continuationSeparator" w:id="0">
    <w:p w14:paraId="25638429" w14:textId="77777777" w:rsidR="00040D7D" w:rsidRDefault="00040D7D">
      <w:r>
        <w:continuationSeparator/>
      </w:r>
    </w:p>
  </w:endnote>
  <w:endnote w:type="continuationNotice" w:id="1">
    <w:p w14:paraId="0E29B836" w14:textId="77777777" w:rsidR="00040D7D" w:rsidRDefault="00040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0F622F6"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244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244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6A653" w14:textId="77777777" w:rsidR="00040D7D" w:rsidRDefault="00040D7D">
      <w:r>
        <w:separator/>
      </w:r>
    </w:p>
  </w:footnote>
  <w:footnote w:type="continuationSeparator" w:id="0">
    <w:p w14:paraId="108B81CE" w14:textId="77777777" w:rsidR="00040D7D" w:rsidRDefault="00040D7D">
      <w:r>
        <w:continuationSeparator/>
      </w:r>
    </w:p>
  </w:footnote>
  <w:footnote w:type="continuationNotice" w:id="1">
    <w:p w14:paraId="2FD659C6" w14:textId="77777777" w:rsidR="00040D7D" w:rsidRDefault="00040D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6"/>
  </w:num>
  <w:num w:numId="7">
    <w:abstractNumId w:val="10"/>
  </w:num>
  <w:num w:numId="8">
    <w:abstractNumId w:val="2"/>
  </w:num>
  <w:num w:numId="9">
    <w:abstractNumId w:val="9"/>
  </w:num>
  <w:num w:numId="10">
    <w:abstractNumId w:val="11"/>
  </w:num>
  <w:num w:numId="11">
    <w:abstractNumId w:val="7"/>
  </w:num>
  <w:num w:numId="12">
    <w:abstractNumId w:val="5"/>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08"/>
    <w:rsid w:val="0002609C"/>
    <w:rsid w:val="00027939"/>
    <w:rsid w:val="000302D0"/>
    <w:rsid w:val="000325B8"/>
    <w:rsid w:val="00033F83"/>
    <w:rsid w:val="000344F1"/>
    <w:rsid w:val="00034AE9"/>
    <w:rsid w:val="00034C15"/>
    <w:rsid w:val="000364F5"/>
    <w:rsid w:val="00036BA1"/>
    <w:rsid w:val="00040D7D"/>
    <w:rsid w:val="00042049"/>
    <w:rsid w:val="000422E2"/>
    <w:rsid w:val="00042F22"/>
    <w:rsid w:val="000444EF"/>
    <w:rsid w:val="000455B9"/>
    <w:rsid w:val="00050B9F"/>
    <w:rsid w:val="00051FE1"/>
    <w:rsid w:val="00052A07"/>
    <w:rsid w:val="000534E3"/>
    <w:rsid w:val="0005606A"/>
    <w:rsid w:val="00057117"/>
    <w:rsid w:val="00057276"/>
    <w:rsid w:val="00057E2C"/>
    <w:rsid w:val="00060FD1"/>
    <w:rsid w:val="000616E7"/>
    <w:rsid w:val="00063C67"/>
    <w:rsid w:val="0006487E"/>
    <w:rsid w:val="00065E1A"/>
    <w:rsid w:val="00067548"/>
    <w:rsid w:val="00072D36"/>
    <w:rsid w:val="00075168"/>
    <w:rsid w:val="00077E5F"/>
    <w:rsid w:val="0008036A"/>
    <w:rsid w:val="00081AE6"/>
    <w:rsid w:val="00082017"/>
    <w:rsid w:val="000821B8"/>
    <w:rsid w:val="000841B9"/>
    <w:rsid w:val="000841EB"/>
    <w:rsid w:val="0008434E"/>
    <w:rsid w:val="000855EB"/>
    <w:rsid w:val="00085B52"/>
    <w:rsid w:val="000866F2"/>
    <w:rsid w:val="00086FD0"/>
    <w:rsid w:val="0009009F"/>
    <w:rsid w:val="00090B21"/>
    <w:rsid w:val="00091557"/>
    <w:rsid w:val="000924C1"/>
    <w:rsid w:val="000924F0"/>
    <w:rsid w:val="00093474"/>
    <w:rsid w:val="0009510F"/>
    <w:rsid w:val="00096079"/>
    <w:rsid w:val="000A01BF"/>
    <w:rsid w:val="000A0795"/>
    <w:rsid w:val="000A19D5"/>
    <w:rsid w:val="000A1B7B"/>
    <w:rsid w:val="000A2E8D"/>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0F46"/>
    <w:rsid w:val="000C165A"/>
    <w:rsid w:val="000C1A51"/>
    <w:rsid w:val="000C2E19"/>
    <w:rsid w:val="000C302A"/>
    <w:rsid w:val="000C3084"/>
    <w:rsid w:val="000C3BB5"/>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153F"/>
    <w:rsid w:val="000F2040"/>
    <w:rsid w:val="000F3AF3"/>
    <w:rsid w:val="000F3BE9"/>
    <w:rsid w:val="000F3F6C"/>
    <w:rsid w:val="000F5C00"/>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DAF"/>
    <w:rsid w:val="00131EC3"/>
    <w:rsid w:val="00132FD0"/>
    <w:rsid w:val="00133CEB"/>
    <w:rsid w:val="001344C0"/>
    <w:rsid w:val="001346FA"/>
    <w:rsid w:val="00135252"/>
    <w:rsid w:val="00135588"/>
    <w:rsid w:val="00137194"/>
    <w:rsid w:val="00137AB5"/>
    <w:rsid w:val="00137ED0"/>
    <w:rsid w:val="00137F0B"/>
    <w:rsid w:val="001406B8"/>
    <w:rsid w:val="001416F8"/>
    <w:rsid w:val="00141A7D"/>
    <w:rsid w:val="00145D40"/>
    <w:rsid w:val="00146270"/>
    <w:rsid w:val="00146AD8"/>
    <w:rsid w:val="00151723"/>
    <w:rsid w:val="00151E23"/>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71A1F"/>
    <w:rsid w:val="00171D4D"/>
    <w:rsid w:val="00171D60"/>
    <w:rsid w:val="00173A8E"/>
    <w:rsid w:val="0017489D"/>
    <w:rsid w:val="00177795"/>
    <w:rsid w:val="00180D4C"/>
    <w:rsid w:val="0018143F"/>
    <w:rsid w:val="00181887"/>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F96"/>
    <w:rsid w:val="00207FA3"/>
    <w:rsid w:val="00214DA8"/>
    <w:rsid w:val="0021518A"/>
    <w:rsid w:val="00215423"/>
    <w:rsid w:val="002158FA"/>
    <w:rsid w:val="00216564"/>
    <w:rsid w:val="00216EB1"/>
    <w:rsid w:val="002202E1"/>
    <w:rsid w:val="00220600"/>
    <w:rsid w:val="00221997"/>
    <w:rsid w:val="002224DB"/>
    <w:rsid w:val="00222DEF"/>
    <w:rsid w:val="00223FCB"/>
    <w:rsid w:val="002252C3"/>
    <w:rsid w:val="00225C54"/>
    <w:rsid w:val="00225E7C"/>
    <w:rsid w:val="002261EF"/>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378"/>
    <w:rsid w:val="002558D7"/>
    <w:rsid w:val="00257543"/>
    <w:rsid w:val="00257F88"/>
    <w:rsid w:val="00261285"/>
    <w:rsid w:val="002617E7"/>
    <w:rsid w:val="00261FC8"/>
    <w:rsid w:val="00264109"/>
    <w:rsid w:val="00264228"/>
    <w:rsid w:val="00264334"/>
    <w:rsid w:val="0026473E"/>
    <w:rsid w:val="00266214"/>
    <w:rsid w:val="0026743E"/>
    <w:rsid w:val="00267C58"/>
    <w:rsid w:val="00267C83"/>
    <w:rsid w:val="0027144F"/>
    <w:rsid w:val="00271F3A"/>
    <w:rsid w:val="0027208A"/>
    <w:rsid w:val="00272796"/>
    <w:rsid w:val="00273278"/>
    <w:rsid w:val="002737F4"/>
    <w:rsid w:val="0027455E"/>
    <w:rsid w:val="00275CAD"/>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B7F65"/>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60DE"/>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2BD7"/>
    <w:rsid w:val="00342D3F"/>
    <w:rsid w:val="00343A07"/>
    <w:rsid w:val="0034436D"/>
    <w:rsid w:val="00344407"/>
    <w:rsid w:val="00344919"/>
    <w:rsid w:val="00344941"/>
    <w:rsid w:val="003453C2"/>
    <w:rsid w:val="003455D2"/>
    <w:rsid w:val="00345862"/>
    <w:rsid w:val="00346DB5"/>
    <w:rsid w:val="003477B1"/>
    <w:rsid w:val="003508BF"/>
    <w:rsid w:val="00351A57"/>
    <w:rsid w:val="003526DA"/>
    <w:rsid w:val="0035482C"/>
    <w:rsid w:val="00355135"/>
    <w:rsid w:val="0035709A"/>
    <w:rsid w:val="00357380"/>
    <w:rsid w:val="003602D9"/>
    <w:rsid w:val="003604CE"/>
    <w:rsid w:val="00361478"/>
    <w:rsid w:val="0036161E"/>
    <w:rsid w:val="00362DE3"/>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0264"/>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83A"/>
    <w:rsid w:val="003C4788"/>
    <w:rsid w:val="003C7806"/>
    <w:rsid w:val="003D03A4"/>
    <w:rsid w:val="003D109F"/>
    <w:rsid w:val="003D1E65"/>
    <w:rsid w:val="003D2478"/>
    <w:rsid w:val="003D2D9C"/>
    <w:rsid w:val="003D2FC4"/>
    <w:rsid w:val="003D387A"/>
    <w:rsid w:val="003D3C45"/>
    <w:rsid w:val="003D4532"/>
    <w:rsid w:val="003D5B1F"/>
    <w:rsid w:val="003D5E2C"/>
    <w:rsid w:val="003E0F12"/>
    <w:rsid w:val="003E10E7"/>
    <w:rsid w:val="003E15FA"/>
    <w:rsid w:val="003E21B4"/>
    <w:rsid w:val="003E3CA5"/>
    <w:rsid w:val="003E45F5"/>
    <w:rsid w:val="003E4EAD"/>
    <w:rsid w:val="003E55E4"/>
    <w:rsid w:val="003E5613"/>
    <w:rsid w:val="003E6588"/>
    <w:rsid w:val="003E74E3"/>
    <w:rsid w:val="003E75BA"/>
    <w:rsid w:val="003F05C7"/>
    <w:rsid w:val="003F1D11"/>
    <w:rsid w:val="003F1D35"/>
    <w:rsid w:val="003F2CD4"/>
    <w:rsid w:val="003F3088"/>
    <w:rsid w:val="003F38B8"/>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157F"/>
    <w:rsid w:val="00471AA9"/>
    <w:rsid w:val="004726C7"/>
    <w:rsid w:val="004734D0"/>
    <w:rsid w:val="00474804"/>
    <w:rsid w:val="0047556B"/>
    <w:rsid w:val="004759D0"/>
    <w:rsid w:val="00475AC8"/>
    <w:rsid w:val="004769FA"/>
    <w:rsid w:val="00476B40"/>
    <w:rsid w:val="00477768"/>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55E"/>
    <w:rsid w:val="004B2BC9"/>
    <w:rsid w:val="004B2FD1"/>
    <w:rsid w:val="004B3ACB"/>
    <w:rsid w:val="004B563D"/>
    <w:rsid w:val="004B7C0C"/>
    <w:rsid w:val="004C01C8"/>
    <w:rsid w:val="004C2328"/>
    <w:rsid w:val="004C2D6E"/>
    <w:rsid w:val="004C3898"/>
    <w:rsid w:val="004C5405"/>
    <w:rsid w:val="004C54C2"/>
    <w:rsid w:val="004C6EDD"/>
    <w:rsid w:val="004D18D8"/>
    <w:rsid w:val="004D2237"/>
    <w:rsid w:val="004D36B1"/>
    <w:rsid w:val="004D7EBD"/>
    <w:rsid w:val="004E0BD6"/>
    <w:rsid w:val="004E1A9A"/>
    <w:rsid w:val="004E2680"/>
    <w:rsid w:val="004E2847"/>
    <w:rsid w:val="004E28F9"/>
    <w:rsid w:val="004E2A64"/>
    <w:rsid w:val="004E38F5"/>
    <w:rsid w:val="004E462E"/>
    <w:rsid w:val="004E4F53"/>
    <w:rsid w:val="004E56DC"/>
    <w:rsid w:val="004E5AC2"/>
    <w:rsid w:val="004E6960"/>
    <w:rsid w:val="004E76F4"/>
    <w:rsid w:val="004E7980"/>
    <w:rsid w:val="004F0B4E"/>
    <w:rsid w:val="004F0B6C"/>
    <w:rsid w:val="004F2078"/>
    <w:rsid w:val="004F4DA3"/>
    <w:rsid w:val="004F7740"/>
    <w:rsid w:val="004F7EA9"/>
    <w:rsid w:val="0050054E"/>
    <w:rsid w:val="00500754"/>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27104"/>
    <w:rsid w:val="00531534"/>
    <w:rsid w:val="00531CAC"/>
    <w:rsid w:val="00531F1D"/>
    <w:rsid w:val="00532331"/>
    <w:rsid w:val="00532546"/>
    <w:rsid w:val="005336B9"/>
    <w:rsid w:val="005338D0"/>
    <w:rsid w:val="005343FA"/>
    <w:rsid w:val="00534B59"/>
    <w:rsid w:val="00536759"/>
    <w:rsid w:val="005369A8"/>
    <w:rsid w:val="00537C62"/>
    <w:rsid w:val="00543336"/>
    <w:rsid w:val="00543775"/>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2A1A"/>
    <w:rsid w:val="0056356C"/>
    <w:rsid w:val="005636E8"/>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B35D7"/>
    <w:rsid w:val="005B392A"/>
    <w:rsid w:val="005B3AA3"/>
    <w:rsid w:val="005B41BD"/>
    <w:rsid w:val="005B4E16"/>
    <w:rsid w:val="005B6F83"/>
    <w:rsid w:val="005C04B6"/>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C6F"/>
    <w:rsid w:val="005E5D85"/>
    <w:rsid w:val="005F06E0"/>
    <w:rsid w:val="005F168C"/>
    <w:rsid w:val="005F2CB1"/>
    <w:rsid w:val="005F3025"/>
    <w:rsid w:val="005F3AC1"/>
    <w:rsid w:val="005F4D03"/>
    <w:rsid w:val="005F50BF"/>
    <w:rsid w:val="005F528E"/>
    <w:rsid w:val="005F5AF7"/>
    <w:rsid w:val="005F618C"/>
    <w:rsid w:val="005F6777"/>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284C"/>
    <w:rsid w:val="00632C35"/>
    <w:rsid w:val="00633833"/>
    <w:rsid w:val="0063397D"/>
    <w:rsid w:val="00634E62"/>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23F3"/>
    <w:rsid w:val="006528F9"/>
    <w:rsid w:val="00652DCB"/>
    <w:rsid w:val="00654C29"/>
    <w:rsid w:val="00654D99"/>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727"/>
    <w:rsid w:val="006B5C2B"/>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2287"/>
    <w:rsid w:val="007123B6"/>
    <w:rsid w:val="00712772"/>
    <w:rsid w:val="007146AF"/>
    <w:rsid w:val="007148D3"/>
    <w:rsid w:val="00715B9A"/>
    <w:rsid w:val="0071798B"/>
    <w:rsid w:val="00720376"/>
    <w:rsid w:val="007205B8"/>
    <w:rsid w:val="00721205"/>
    <w:rsid w:val="00721593"/>
    <w:rsid w:val="007231E6"/>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2C01"/>
    <w:rsid w:val="007730BD"/>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3D2D"/>
    <w:rsid w:val="007B50AE"/>
    <w:rsid w:val="007B51DF"/>
    <w:rsid w:val="007B5ACB"/>
    <w:rsid w:val="007C05DD"/>
    <w:rsid w:val="007C0A75"/>
    <w:rsid w:val="007C1C0A"/>
    <w:rsid w:val="007C2F4B"/>
    <w:rsid w:val="007C342A"/>
    <w:rsid w:val="007C3D18"/>
    <w:rsid w:val="007C40D0"/>
    <w:rsid w:val="007C528D"/>
    <w:rsid w:val="007C60BF"/>
    <w:rsid w:val="007C6A07"/>
    <w:rsid w:val="007C75A1"/>
    <w:rsid w:val="007C77A5"/>
    <w:rsid w:val="007D04E5"/>
    <w:rsid w:val="007D29A3"/>
    <w:rsid w:val="007D3941"/>
    <w:rsid w:val="007D3AD2"/>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3081"/>
    <w:rsid w:val="008235DB"/>
    <w:rsid w:val="00824AB4"/>
    <w:rsid w:val="00824B72"/>
    <w:rsid w:val="00825C42"/>
    <w:rsid w:val="00825D25"/>
    <w:rsid w:val="00827D6F"/>
    <w:rsid w:val="00827E1A"/>
    <w:rsid w:val="008311F3"/>
    <w:rsid w:val="00831210"/>
    <w:rsid w:val="00832D13"/>
    <w:rsid w:val="0083765F"/>
    <w:rsid w:val="008376AC"/>
    <w:rsid w:val="0084116C"/>
    <w:rsid w:val="00841CB3"/>
    <w:rsid w:val="00842451"/>
    <w:rsid w:val="008444E8"/>
    <w:rsid w:val="00844E80"/>
    <w:rsid w:val="00846834"/>
    <w:rsid w:val="00846FE7"/>
    <w:rsid w:val="00847403"/>
    <w:rsid w:val="00847FC4"/>
    <w:rsid w:val="008504A2"/>
    <w:rsid w:val="00850CEC"/>
    <w:rsid w:val="00850E9E"/>
    <w:rsid w:val="0085247B"/>
    <w:rsid w:val="00854B3A"/>
    <w:rsid w:val="00856911"/>
    <w:rsid w:val="00857C84"/>
    <w:rsid w:val="00860458"/>
    <w:rsid w:val="008628C0"/>
    <w:rsid w:val="00865044"/>
    <w:rsid w:val="00865151"/>
    <w:rsid w:val="00865698"/>
    <w:rsid w:val="0086740A"/>
    <w:rsid w:val="0086758D"/>
    <w:rsid w:val="008677FD"/>
    <w:rsid w:val="008706D4"/>
    <w:rsid w:val="00870F8A"/>
    <w:rsid w:val="008719A4"/>
    <w:rsid w:val="00871D23"/>
    <w:rsid w:val="00873C26"/>
    <w:rsid w:val="00874312"/>
    <w:rsid w:val="0087437C"/>
    <w:rsid w:val="00875CD7"/>
    <w:rsid w:val="0087646B"/>
    <w:rsid w:val="00876B4D"/>
    <w:rsid w:val="00877F18"/>
    <w:rsid w:val="0088016B"/>
    <w:rsid w:val="008803CA"/>
    <w:rsid w:val="00884366"/>
    <w:rsid w:val="008864B9"/>
    <w:rsid w:val="0089173C"/>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4603"/>
    <w:rsid w:val="008D6AF5"/>
    <w:rsid w:val="008D6CCC"/>
    <w:rsid w:val="008D6D1A"/>
    <w:rsid w:val="008E05F6"/>
    <w:rsid w:val="008E065E"/>
    <w:rsid w:val="008E0927"/>
    <w:rsid w:val="008E0FF2"/>
    <w:rsid w:val="008E1909"/>
    <w:rsid w:val="008E1B93"/>
    <w:rsid w:val="008E1D88"/>
    <w:rsid w:val="008E25DF"/>
    <w:rsid w:val="008E3445"/>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40D"/>
    <w:rsid w:val="009579C0"/>
    <w:rsid w:val="00960FEA"/>
    <w:rsid w:val="00961921"/>
    <w:rsid w:val="00961DF7"/>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284E"/>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07B"/>
    <w:rsid w:val="009E47A3"/>
    <w:rsid w:val="009E537B"/>
    <w:rsid w:val="009E5902"/>
    <w:rsid w:val="009E6AA6"/>
    <w:rsid w:val="009E6AC2"/>
    <w:rsid w:val="009E6F0C"/>
    <w:rsid w:val="009F08F3"/>
    <w:rsid w:val="009F1ECE"/>
    <w:rsid w:val="009F21AA"/>
    <w:rsid w:val="009F344F"/>
    <w:rsid w:val="009F3D98"/>
    <w:rsid w:val="009F4360"/>
    <w:rsid w:val="009F47FE"/>
    <w:rsid w:val="00A00F1F"/>
    <w:rsid w:val="00A032E4"/>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130"/>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2FDC"/>
    <w:rsid w:val="00AA51D6"/>
    <w:rsid w:val="00AA56AA"/>
    <w:rsid w:val="00AB0BC8"/>
    <w:rsid w:val="00AB11CA"/>
    <w:rsid w:val="00AB14D9"/>
    <w:rsid w:val="00AB1EAE"/>
    <w:rsid w:val="00AB2AA4"/>
    <w:rsid w:val="00AB3A11"/>
    <w:rsid w:val="00AB4AB8"/>
    <w:rsid w:val="00AB54EC"/>
    <w:rsid w:val="00AB655E"/>
    <w:rsid w:val="00AB7AE6"/>
    <w:rsid w:val="00AC007F"/>
    <w:rsid w:val="00AC294B"/>
    <w:rsid w:val="00AC297D"/>
    <w:rsid w:val="00AC2ECD"/>
    <w:rsid w:val="00AC3119"/>
    <w:rsid w:val="00AC4138"/>
    <w:rsid w:val="00AC468A"/>
    <w:rsid w:val="00AC49FB"/>
    <w:rsid w:val="00AC5A10"/>
    <w:rsid w:val="00AC6D53"/>
    <w:rsid w:val="00AD0348"/>
    <w:rsid w:val="00AD0AA3"/>
    <w:rsid w:val="00AD123F"/>
    <w:rsid w:val="00AD3168"/>
    <w:rsid w:val="00AD3F94"/>
    <w:rsid w:val="00AD4A5A"/>
    <w:rsid w:val="00AD7F95"/>
    <w:rsid w:val="00AE0905"/>
    <w:rsid w:val="00AE27AC"/>
    <w:rsid w:val="00AE40E0"/>
    <w:rsid w:val="00AE4DBA"/>
    <w:rsid w:val="00AE4F07"/>
    <w:rsid w:val="00AE62E2"/>
    <w:rsid w:val="00AE7446"/>
    <w:rsid w:val="00AF0DB6"/>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81D"/>
    <w:rsid w:val="00BA1FE5"/>
    <w:rsid w:val="00BA2280"/>
    <w:rsid w:val="00BA2A08"/>
    <w:rsid w:val="00BA4150"/>
    <w:rsid w:val="00BA52AA"/>
    <w:rsid w:val="00BA5641"/>
    <w:rsid w:val="00BA56D2"/>
    <w:rsid w:val="00BA76E0"/>
    <w:rsid w:val="00BB2A25"/>
    <w:rsid w:val="00BB346D"/>
    <w:rsid w:val="00BB3E6E"/>
    <w:rsid w:val="00BB40A1"/>
    <w:rsid w:val="00BB51BB"/>
    <w:rsid w:val="00BB51E9"/>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E00AA"/>
    <w:rsid w:val="00BE0792"/>
    <w:rsid w:val="00BE1234"/>
    <w:rsid w:val="00BE23A9"/>
    <w:rsid w:val="00BE2D8C"/>
    <w:rsid w:val="00BE2FA6"/>
    <w:rsid w:val="00BE32F5"/>
    <w:rsid w:val="00BE333F"/>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91"/>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3172"/>
    <w:rsid w:val="00CA61FB"/>
    <w:rsid w:val="00CA6CFD"/>
    <w:rsid w:val="00CA7170"/>
    <w:rsid w:val="00CB0DE9"/>
    <w:rsid w:val="00CB1F63"/>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04BD0"/>
    <w:rsid w:val="00D1001F"/>
    <w:rsid w:val="00D10249"/>
    <w:rsid w:val="00D115C3"/>
    <w:rsid w:val="00D11897"/>
    <w:rsid w:val="00D11F71"/>
    <w:rsid w:val="00D13135"/>
    <w:rsid w:val="00D13ABF"/>
    <w:rsid w:val="00D13E4E"/>
    <w:rsid w:val="00D15089"/>
    <w:rsid w:val="00D1723B"/>
    <w:rsid w:val="00D215AD"/>
    <w:rsid w:val="00D22874"/>
    <w:rsid w:val="00D239A7"/>
    <w:rsid w:val="00D23F47"/>
    <w:rsid w:val="00D2503E"/>
    <w:rsid w:val="00D25B3F"/>
    <w:rsid w:val="00D3005B"/>
    <w:rsid w:val="00D3101D"/>
    <w:rsid w:val="00D32166"/>
    <w:rsid w:val="00D35234"/>
    <w:rsid w:val="00D35F56"/>
    <w:rsid w:val="00D36E71"/>
    <w:rsid w:val="00D37D87"/>
    <w:rsid w:val="00D40B33"/>
    <w:rsid w:val="00D426CB"/>
    <w:rsid w:val="00D4318F"/>
    <w:rsid w:val="00D438BF"/>
    <w:rsid w:val="00D440F8"/>
    <w:rsid w:val="00D45637"/>
    <w:rsid w:val="00D46DC9"/>
    <w:rsid w:val="00D46FA5"/>
    <w:rsid w:val="00D501A9"/>
    <w:rsid w:val="00D51446"/>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A8B"/>
    <w:rsid w:val="00D76F86"/>
    <w:rsid w:val="00D77B1D"/>
    <w:rsid w:val="00D8021F"/>
    <w:rsid w:val="00D80383"/>
    <w:rsid w:val="00D815D6"/>
    <w:rsid w:val="00D8203B"/>
    <w:rsid w:val="00D823C6"/>
    <w:rsid w:val="00D83426"/>
    <w:rsid w:val="00D85EF7"/>
    <w:rsid w:val="00D86CA3"/>
    <w:rsid w:val="00D871CE"/>
    <w:rsid w:val="00D9196D"/>
    <w:rsid w:val="00D920A7"/>
    <w:rsid w:val="00D92982"/>
    <w:rsid w:val="00D93E15"/>
    <w:rsid w:val="00D95A22"/>
    <w:rsid w:val="00D965C0"/>
    <w:rsid w:val="00DA0701"/>
    <w:rsid w:val="00DA305E"/>
    <w:rsid w:val="00DA5007"/>
    <w:rsid w:val="00DA536E"/>
    <w:rsid w:val="00DA5417"/>
    <w:rsid w:val="00DA56E8"/>
    <w:rsid w:val="00DA67A6"/>
    <w:rsid w:val="00DB06D8"/>
    <w:rsid w:val="00DB0A9F"/>
    <w:rsid w:val="00DB377D"/>
    <w:rsid w:val="00DB7182"/>
    <w:rsid w:val="00DB7A15"/>
    <w:rsid w:val="00DC21E1"/>
    <w:rsid w:val="00DC2396"/>
    <w:rsid w:val="00DC2D36"/>
    <w:rsid w:val="00DC33E4"/>
    <w:rsid w:val="00DC3DD8"/>
    <w:rsid w:val="00DC53EF"/>
    <w:rsid w:val="00DC552C"/>
    <w:rsid w:val="00DC6D71"/>
    <w:rsid w:val="00DC7FEA"/>
    <w:rsid w:val="00DD1F9F"/>
    <w:rsid w:val="00DD288E"/>
    <w:rsid w:val="00DD7867"/>
    <w:rsid w:val="00DE3A33"/>
    <w:rsid w:val="00DE5608"/>
    <w:rsid w:val="00DE58D0"/>
    <w:rsid w:val="00DE654F"/>
    <w:rsid w:val="00DF0B6E"/>
    <w:rsid w:val="00DF15E0"/>
    <w:rsid w:val="00DF20A7"/>
    <w:rsid w:val="00DF37A0"/>
    <w:rsid w:val="00DF5C56"/>
    <w:rsid w:val="00E008FB"/>
    <w:rsid w:val="00E009BE"/>
    <w:rsid w:val="00E02CFE"/>
    <w:rsid w:val="00E03DCD"/>
    <w:rsid w:val="00E05B34"/>
    <w:rsid w:val="00E110E7"/>
    <w:rsid w:val="00E11B20"/>
    <w:rsid w:val="00E141E3"/>
    <w:rsid w:val="00E156FA"/>
    <w:rsid w:val="00E174CA"/>
    <w:rsid w:val="00E17970"/>
    <w:rsid w:val="00E17B45"/>
    <w:rsid w:val="00E17FA2"/>
    <w:rsid w:val="00E22330"/>
    <w:rsid w:val="00E25B80"/>
    <w:rsid w:val="00E30776"/>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2E0"/>
    <w:rsid w:val="00E37860"/>
    <w:rsid w:val="00E41503"/>
    <w:rsid w:val="00E446F1"/>
    <w:rsid w:val="00E44B94"/>
    <w:rsid w:val="00E46886"/>
    <w:rsid w:val="00E47AEF"/>
    <w:rsid w:val="00E52397"/>
    <w:rsid w:val="00E53037"/>
    <w:rsid w:val="00E53B29"/>
    <w:rsid w:val="00E53B75"/>
    <w:rsid w:val="00E54E3B"/>
    <w:rsid w:val="00E557CC"/>
    <w:rsid w:val="00E57565"/>
    <w:rsid w:val="00E57A1C"/>
    <w:rsid w:val="00E604AE"/>
    <w:rsid w:val="00E62B73"/>
    <w:rsid w:val="00E63838"/>
    <w:rsid w:val="00E64022"/>
    <w:rsid w:val="00E64434"/>
    <w:rsid w:val="00E67C51"/>
    <w:rsid w:val="00E70D86"/>
    <w:rsid w:val="00E72EFC"/>
    <w:rsid w:val="00E758EC"/>
    <w:rsid w:val="00E7599C"/>
    <w:rsid w:val="00E76569"/>
    <w:rsid w:val="00E81B9B"/>
    <w:rsid w:val="00E8234C"/>
    <w:rsid w:val="00E83AA9"/>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2C9"/>
    <w:rsid w:val="00EE25E7"/>
    <w:rsid w:val="00EE57B6"/>
    <w:rsid w:val="00EE6379"/>
    <w:rsid w:val="00EE6561"/>
    <w:rsid w:val="00EF0038"/>
    <w:rsid w:val="00EF10BC"/>
    <w:rsid w:val="00EF18FE"/>
    <w:rsid w:val="00EF2E6C"/>
    <w:rsid w:val="00EF2EE3"/>
    <w:rsid w:val="00EF40ED"/>
    <w:rsid w:val="00EF45A4"/>
    <w:rsid w:val="00EF5787"/>
    <w:rsid w:val="00EF60D0"/>
    <w:rsid w:val="00EF669D"/>
    <w:rsid w:val="00EF7136"/>
    <w:rsid w:val="00F0201B"/>
    <w:rsid w:val="00F020A9"/>
    <w:rsid w:val="00F03E8C"/>
    <w:rsid w:val="00F0528D"/>
    <w:rsid w:val="00F05792"/>
    <w:rsid w:val="00F06C67"/>
    <w:rsid w:val="00F06DFD"/>
    <w:rsid w:val="00F071D1"/>
    <w:rsid w:val="00F07533"/>
    <w:rsid w:val="00F100FF"/>
    <w:rsid w:val="00F10629"/>
    <w:rsid w:val="00F11A7A"/>
    <w:rsid w:val="00F15FA5"/>
    <w:rsid w:val="00F1625B"/>
    <w:rsid w:val="00F209B7"/>
    <w:rsid w:val="00F20C4B"/>
    <w:rsid w:val="00F21C47"/>
    <w:rsid w:val="00F2376F"/>
    <w:rsid w:val="00F243D8"/>
    <w:rsid w:val="00F24E55"/>
    <w:rsid w:val="00F30828"/>
    <w:rsid w:val="00F30E66"/>
    <w:rsid w:val="00F313D6"/>
    <w:rsid w:val="00F31E10"/>
    <w:rsid w:val="00F33DF2"/>
    <w:rsid w:val="00F34D6D"/>
    <w:rsid w:val="00F35233"/>
    <w:rsid w:val="00F40806"/>
    <w:rsid w:val="00F40C33"/>
    <w:rsid w:val="00F40F0C"/>
    <w:rsid w:val="00F4350D"/>
    <w:rsid w:val="00F4352A"/>
    <w:rsid w:val="00F4766C"/>
    <w:rsid w:val="00F47D9C"/>
    <w:rsid w:val="00F507D1"/>
    <w:rsid w:val="00F51128"/>
    <w:rsid w:val="00F519CE"/>
    <w:rsid w:val="00F51ADA"/>
    <w:rsid w:val="00F51CB3"/>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8DC"/>
    <w:rsid w:val="00F96985"/>
    <w:rsid w:val="00F96EAE"/>
    <w:rsid w:val="00F96EFF"/>
    <w:rsid w:val="00F97838"/>
    <w:rsid w:val="00F97BE1"/>
    <w:rsid w:val="00FA05D5"/>
    <w:rsid w:val="00FA0C03"/>
    <w:rsid w:val="00FA12B0"/>
    <w:rsid w:val="00FA1A08"/>
    <w:rsid w:val="00FA2BB3"/>
    <w:rsid w:val="00FA5D49"/>
    <w:rsid w:val="00FA7B90"/>
    <w:rsid w:val="00FB005F"/>
    <w:rsid w:val="00FB244D"/>
    <w:rsid w:val="00FB2583"/>
    <w:rsid w:val="00FB3D52"/>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74DB"/>
    <w:rsid w:val="00FD7660"/>
    <w:rsid w:val="00FD7F47"/>
    <w:rsid w:val="00FE0655"/>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44D"/>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B24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24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microsoft.com/office/infopath/2007/PartnerControls"/>
    <ds:schemaRef ds:uri="http://purl.org/dc/dcmitype/"/>
    <ds:schemaRef ds:uri="http://schemas.openxmlformats.org/package/2006/metadata/core-properties"/>
    <ds:schemaRef ds:uri="7789c8df-cd92-43c1-8a83-195dbc0f0a0a"/>
    <ds:schemaRef ds:uri="08b2df90-05d3-4030-90d4-c9feeb4a1cd9"/>
    <ds:schemaRef ds:uri="http://www.w3.org/XML/1998/namespace"/>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C394B280-7FB2-4C28-A83B-0196B588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893</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2</cp:revision>
  <cp:lastPrinted>2008-01-31T06:09:00Z</cp:lastPrinted>
  <dcterms:created xsi:type="dcterms:W3CDTF">2019-02-15T12:25:00Z</dcterms:created>
  <dcterms:modified xsi:type="dcterms:W3CDTF">2019-02-15T12:25:00Z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