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2B173" w14:textId="66709E84" w:rsidR="004F5E12" w:rsidRPr="003D02CE" w:rsidRDefault="004F5E12" w:rsidP="004F5E12">
      <w:pPr>
        <w:pStyle w:val="3GPPHeader"/>
        <w:spacing w:after="60"/>
        <w:rPr>
          <w:lang w:val="en-AU"/>
        </w:rPr>
      </w:pPr>
      <w:r w:rsidRPr="003D02CE">
        <w:rPr>
          <w:lang w:val="en-AU"/>
        </w:rPr>
        <w:t>3GPP TSG-RAN WG1 Meeting #9</w:t>
      </w:r>
      <w:r>
        <w:rPr>
          <w:lang w:val="en-AU"/>
        </w:rPr>
        <w:t>5</w:t>
      </w:r>
      <w:r w:rsidRPr="003D02CE">
        <w:rPr>
          <w:lang w:val="en-AU"/>
        </w:rPr>
        <w:tab/>
      </w:r>
      <w:r w:rsidR="00B4767E" w:rsidRPr="00B4767E">
        <w:rPr>
          <w:lang w:val="en-AU"/>
        </w:rPr>
        <w:t>R1-1813477</w:t>
      </w:r>
    </w:p>
    <w:p w14:paraId="22AE9618" w14:textId="77777777" w:rsidR="004F5E12" w:rsidRPr="003D02CE" w:rsidRDefault="004F5E12" w:rsidP="004F5E12">
      <w:pPr>
        <w:pStyle w:val="3GPPHeader"/>
        <w:rPr>
          <w:bCs/>
          <w:lang w:val="en-AU"/>
        </w:rPr>
      </w:pPr>
      <w:r w:rsidRPr="00B231ED">
        <w:rPr>
          <w:bCs/>
          <w:lang w:val="en-AU"/>
        </w:rPr>
        <w:t>Spokane, USA, November 12th – 16th, 2018</w:t>
      </w:r>
    </w:p>
    <w:p w14:paraId="5347281A" w14:textId="77777777" w:rsidR="0056520D" w:rsidRPr="004A1A83" w:rsidRDefault="0056520D" w:rsidP="0056520D">
      <w:pPr>
        <w:pStyle w:val="Header"/>
        <w:rPr>
          <w:lang w:val="en-AU"/>
        </w:rPr>
      </w:pPr>
    </w:p>
    <w:p w14:paraId="6BDA4748"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FED8D31" w14:textId="77777777" w:rsidR="00FE5799" w:rsidRPr="00E220C0" w:rsidRDefault="00FE5799" w:rsidP="00FE5799">
      <w:pPr>
        <w:pStyle w:val="Header"/>
        <w:tabs>
          <w:tab w:val="clear" w:pos="4536"/>
          <w:tab w:val="left" w:pos="1800"/>
        </w:tabs>
      </w:pPr>
      <w:r w:rsidRPr="0003368D">
        <w:t>Title:</w:t>
      </w:r>
      <w:bookmarkStart w:id="0" w:name="Title"/>
      <w:bookmarkEnd w:id="0"/>
      <w:r w:rsidRPr="0003368D">
        <w:tab/>
      </w:r>
      <w:r w:rsidR="00BD446E" w:rsidRPr="00BD446E">
        <w:t>Remaining issues on Power Control</w:t>
      </w:r>
    </w:p>
    <w:p w14:paraId="474E6A57" w14:textId="77777777"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329D8">
        <w:t>1.</w:t>
      </w:r>
      <w:r w:rsidR="00B760DF">
        <w:t>5</w:t>
      </w:r>
    </w:p>
    <w:p w14:paraId="265267C5"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263B414" w14:textId="77777777" w:rsidR="00FE5799" w:rsidRPr="002100D2" w:rsidRDefault="00FE5799" w:rsidP="00FE5799">
      <w:pPr>
        <w:pBdr>
          <w:bottom w:val="single" w:sz="4" w:space="1" w:color="auto"/>
        </w:pBdr>
        <w:tabs>
          <w:tab w:val="left" w:pos="2552"/>
        </w:tabs>
      </w:pPr>
    </w:p>
    <w:p w14:paraId="06002FFF" w14:textId="77777777" w:rsidR="0056282E" w:rsidRDefault="0056282E" w:rsidP="00FE5799">
      <w:pPr>
        <w:pStyle w:val="Heading1"/>
        <w:spacing w:before="180"/>
        <w:ind w:left="562" w:hanging="562"/>
      </w:pPr>
      <w:r>
        <w:t>Introduction</w:t>
      </w:r>
    </w:p>
    <w:p w14:paraId="503DFD1D" w14:textId="77777777" w:rsidR="008D5137" w:rsidRPr="007D4902" w:rsidRDefault="005F3136" w:rsidP="008D5137">
      <w:pPr>
        <w:pStyle w:val="BodyText"/>
        <w:rPr>
          <w:lang w:val="en-AU"/>
        </w:rPr>
      </w:pPr>
      <w:bookmarkStart w:id="3" w:name="_Ref178064866"/>
      <w:r w:rsidRPr="007D4902">
        <w:rPr>
          <w:lang w:val="en-AU"/>
        </w:rPr>
        <w:t xml:space="preserve">In </w:t>
      </w:r>
      <w:r>
        <w:rPr>
          <w:lang w:val="en-AU"/>
        </w:rPr>
        <w:t>this document we discuss some remaining issues for finalising NR power control</w:t>
      </w:r>
      <w:r w:rsidR="00B922A7">
        <w:rPr>
          <w:lang w:val="en-AU"/>
        </w:rPr>
        <w:t xml:space="preserve"> specifications</w:t>
      </w:r>
      <w:r w:rsidR="0071094E">
        <w:rPr>
          <w:lang w:val="en-AU"/>
        </w:rPr>
        <w:t>.</w:t>
      </w:r>
    </w:p>
    <w:bookmarkEnd w:id="3"/>
    <w:p w14:paraId="56F45E7C" w14:textId="15292C60" w:rsidR="00060759" w:rsidRDefault="00113113" w:rsidP="004F5E12">
      <w:pPr>
        <w:pStyle w:val="Heading1"/>
      </w:pPr>
      <w:r>
        <w:t>Discussion</w:t>
      </w:r>
    </w:p>
    <w:p w14:paraId="76835ABF" w14:textId="2DF5C856" w:rsidR="00EB6037" w:rsidRDefault="008F661C" w:rsidP="00EB6037">
      <w:pPr>
        <w:pStyle w:val="Heading2"/>
        <w:rPr>
          <w:u w:val="single"/>
        </w:rPr>
      </w:pPr>
      <w:r>
        <w:rPr>
          <w:u w:val="single"/>
        </w:rPr>
        <w:t>Clarification related to s</w:t>
      </w:r>
      <w:r w:rsidR="00EB6037">
        <w:rPr>
          <w:u w:val="single"/>
        </w:rPr>
        <w:t>caling of PUSCH transmission power for UL-MIMO</w:t>
      </w:r>
    </w:p>
    <w:p w14:paraId="283D4D9F" w14:textId="33DCB9C1" w:rsidR="002673ED" w:rsidRDefault="00D26226" w:rsidP="00D26226">
      <w:pPr>
        <w:pStyle w:val="BodyText"/>
      </w:pPr>
      <w:r>
        <w:t xml:space="preserve">In RAN1#94bis it was concluded that the issue on PUSCH power scaling should be finalized in RAN1#95: </w:t>
      </w:r>
    </w:p>
    <w:p w14:paraId="191BC3D9" w14:textId="4661E15D" w:rsidR="001E5785" w:rsidRDefault="005F6AD8" w:rsidP="001270EA">
      <w:r>
        <w:rPr>
          <w:noProof/>
        </w:rPr>
        <mc:AlternateContent>
          <mc:Choice Requires="wps">
            <w:drawing>
              <wp:inline distT="0" distB="0" distL="0" distR="0" wp14:anchorId="2A113D2F" wp14:editId="6EE5339C">
                <wp:extent cx="5760720" cy="699715"/>
                <wp:effectExtent l="0" t="0" r="11430" b="2476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99715"/>
                        </a:xfrm>
                        <a:prstGeom prst="rect">
                          <a:avLst/>
                        </a:prstGeom>
                        <a:solidFill>
                          <a:srgbClr val="FFFFFF"/>
                        </a:solidFill>
                        <a:ln w="9525">
                          <a:solidFill>
                            <a:srgbClr val="000000"/>
                          </a:solidFill>
                          <a:miter lim="800000"/>
                          <a:headEnd/>
                          <a:tailEnd/>
                        </a:ln>
                      </wps:spPr>
                      <wps:txbx>
                        <w:txbxContent>
                          <w:p w14:paraId="278C69F3" w14:textId="77777777" w:rsidR="00F00C5A" w:rsidRPr="00810D08" w:rsidRDefault="00F00C5A" w:rsidP="00D26226">
                            <w:pPr>
                              <w:snapToGrid w:val="0"/>
                              <w:spacing w:before="6"/>
                              <w:jc w:val="both"/>
                              <w:rPr>
                                <w:rFonts w:eastAsia="SimSun"/>
                                <w:b/>
                              </w:rPr>
                            </w:pPr>
                            <w:r w:rsidRPr="00810D08">
                              <w:rPr>
                                <w:rFonts w:eastAsia="SimSun"/>
                                <w:b/>
                              </w:rPr>
                              <w:t>For RAN1#95</w:t>
                            </w:r>
                          </w:p>
                          <w:p w14:paraId="50C948F9" w14:textId="3F9A92B0" w:rsidR="00F00C5A" w:rsidRDefault="00F00C5A" w:rsidP="00D26226">
                            <w:pPr>
                              <w:snapToGrid w:val="0"/>
                              <w:spacing w:before="6"/>
                              <w:jc w:val="both"/>
                              <w:rPr>
                                <w:rFonts w:eastAsia="SimSun"/>
                              </w:rPr>
                            </w:pPr>
                            <w:r>
                              <w:rPr>
                                <w:rFonts w:eastAsia="SimSun"/>
                              </w:rPr>
                              <w:t xml:space="preserve">Consider at least the alternatives listed in </w:t>
                            </w:r>
                            <w:hyperlink r:id="rId7" w:history="1">
                              <w:r>
                                <w:rPr>
                                  <w:rStyle w:val="Hyperlink"/>
                                  <w:rFonts w:eastAsia="SimSun"/>
                                </w:rPr>
                                <w:t>R1-1812041</w:t>
                              </w:r>
                            </w:hyperlink>
                            <w:r>
                              <w:rPr>
                                <w:rFonts w:eastAsia="SimSun"/>
                              </w:rPr>
                              <w:t xml:space="preserve"> for finalization of power scaling issues for UL MIMO </w:t>
                            </w:r>
                            <w:r w:rsidRPr="00810D08">
                              <w:rPr>
                                <w:rFonts w:eastAsia="SimSun"/>
                              </w:rPr>
                              <w:t>operation</w:t>
                            </w:r>
                            <w:r>
                              <w:rPr>
                                <w:rFonts w:eastAsia="SimSun"/>
                              </w:rPr>
                              <w:t xml:space="preserve"> in RAN1#95</w:t>
                            </w:r>
                          </w:p>
                          <w:p w14:paraId="1C4380F6" w14:textId="5DABEC12" w:rsidR="00F00C5A" w:rsidRPr="00E37A4C" w:rsidRDefault="00F00C5A" w:rsidP="005F6AD8">
                            <w:pPr>
                              <w:rPr>
                                <w:lang w:val="en-AU"/>
                              </w:rPr>
                            </w:pPr>
                            <w:r w:rsidRPr="00E37A4C">
                              <w:rPr>
                                <w:lang w:val="en-AU"/>
                              </w:rPr>
                              <w:t xml:space="preserve">. </w:t>
                            </w:r>
                          </w:p>
                          <w:p w14:paraId="64B70FDE" w14:textId="77777777" w:rsidR="00F00C5A" w:rsidRPr="00760BD3" w:rsidRDefault="00F00C5A" w:rsidP="005F6AD8"/>
                        </w:txbxContent>
                      </wps:txbx>
                      <wps:bodyPr rot="0" vert="horz" wrap="square" lIns="91440" tIns="45720" rIns="91440" bIns="45720" anchor="t" anchorCtr="0" upright="1">
                        <a:noAutofit/>
                      </wps:bodyPr>
                    </wps:wsp>
                  </a:graphicData>
                </a:graphic>
              </wp:inline>
            </w:drawing>
          </mc:Choice>
          <mc:Fallback>
            <w:pict>
              <v:shapetype w14:anchorId="2A113D2F" id="_x0000_t202" coordsize="21600,21600" o:spt="202" path="m,l,21600r21600,l21600,xe">
                <v:stroke joinstyle="miter"/>
                <v:path gradientshapeok="t" o:connecttype="rect"/>
              </v:shapetype>
              <v:shape id="Text Box 2" o:spid="_x0000_s1026" type="#_x0000_t202" style="width:453.6pt;height:5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">
                <v:textbox>
                  <w:txbxContent>
                    <w:p w14:paraId="278C69F3" w14:textId="77777777" w:rsidR="00F00C5A" w:rsidRPr="00810D08" w:rsidRDefault="00F00C5A" w:rsidP="00D26226">
                      <w:pPr>
                        <w:snapToGrid w:val="0"/>
                        <w:spacing w:before="6"/>
                        <w:jc w:val="both"/>
                        <w:rPr>
                          <w:rFonts w:eastAsia="SimSun"/>
                          <w:b/>
                        </w:rPr>
                      </w:pPr>
                      <w:r w:rsidRPr="00810D08">
                        <w:rPr>
                          <w:rFonts w:eastAsia="SimSun"/>
                          <w:b/>
                        </w:rPr>
                        <w:t>For RAN1#95</w:t>
                      </w:r>
                    </w:p>
                    <w:p w14:paraId="50C948F9" w14:textId="3F9A92B0" w:rsidR="00F00C5A" w:rsidRDefault="00F00C5A" w:rsidP="00D26226">
                      <w:pPr>
                        <w:snapToGrid w:val="0"/>
                        <w:spacing w:before="6"/>
                        <w:jc w:val="both"/>
                        <w:rPr>
                          <w:rFonts w:eastAsia="SimSun"/>
                        </w:rPr>
                      </w:pPr>
                      <w:r>
                        <w:rPr>
                          <w:rFonts w:eastAsia="SimSun"/>
                        </w:rPr>
                        <w:t xml:space="preserve">Consider at least the alternatives listed in </w:t>
                      </w:r>
                      <w:hyperlink r:id="rId11" w:history="1">
                        <w:r>
                          <w:rPr>
                            <w:rStyle w:val="Hyperlink"/>
                            <w:rFonts w:eastAsia="SimSun"/>
                          </w:rPr>
                          <w:t>R1-1812041</w:t>
                        </w:r>
                      </w:hyperlink>
                      <w:r>
                        <w:rPr>
                          <w:rFonts w:eastAsia="SimSun"/>
                        </w:rPr>
                        <w:t xml:space="preserve"> for finalization of power scaling issues for UL MIMO </w:t>
                      </w:r>
                      <w:r w:rsidRPr="00810D08">
                        <w:rPr>
                          <w:rFonts w:eastAsia="SimSun"/>
                        </w:rPr>
                        <w:t>operation</w:t>
                      </w:r>
                      <w:r>
                        <w:rPr>
                          <w:rFonts w:eastAsia="SimSun"/>
                        </w:rPr>
                        <w:t xml:space="preserve"> in RAN1#95</w:t>
                      </w:r>
                    </w:p>
                    <w:p w14:paraId="1C4380F6" w14:textId="5DABEC12" w:rsidR="00F00C5A" w:rsidRPr="00E37A4C" w:rsidRDefault="00F00C5A" w:rsidP="005F6AD8">
                      <w:pPr>
                        <w:rPr>
                          <w:lang w:val="en-AU"/>
                        </w:rPr>
                      </w:pPr>
                      <w:r w:rsidRPr="00E37A4C">
                        <w:rPr>
                          <w:lang w:val="en-AU"/>
                        </w:rPr>
                        <w:t xml:space="preserve">. </w:t>
                      </w:r>
                    </w:p>
                    <w:p w14:paraId="64B70FDE" w14:textId="77777777" w:rsidR="00F00C5A" w:rsidRPr="00760BD3" w:rsidRDefault="00F00C5A" w:rsidP="005F6AD8"/>
                  </w:txbxContent>
                </v:textbox>
                <w10:anchorlock/>
              </v:shape>
            </w:pict>
          </mc:Fallback>
        </mc:AlternateContent>
      </w:r>
    </w:p>
    <w:p w14:paraId="3694701B" w14:textId="1FEB174F" w:rsidR="00481AAB" w:rsidRDefault="00481AAB" w:rsidP="00481AAB">
      <w:pPr>
        <w:rPr>
          <w:szCs w:val="22"/>
          <w:lang w:val="en-AU"/>
        </w:rPr>
      </w:pPr>
      <w:r>
        <w:rPr>
          <w:lang w:val="en-AU"/>
        </w:rPr>
        <w:t xml:space="preserve">The alternatives from </w:t>
      </w:r>
      <w:hyperlink r:id="rId12" w:history="1">
        <w:r>
          <w:rPr>
            <w:rStyle w:val="Hyperlink"/>
            <w:rFonts w:eastAsia="SimSun"/>
          </w:rPr>
          <w:t>R1-1812041</w:t>
        </w:r>
      </w:hyperlink>
      <w:r>
        <w:rPr>
          <w:lang w:val="en-AU"/>
        </w:rPr>
        <w:t xml:space="preserve"> are as follows:</w:t>
      </w:r>
    </w:p>
    <w:p w14:paraId="779D9831" w14:textId="77777777" w:rsidR="00481AAB" w:rsidRDefault="00481AAB" w:rsidP="00481AAB">
      <w:pPr>
        <w:ind w:left="567"/>
        <w:rPr>
          <w:rFonts w:ascii="Arial" w:hAnsi="Arial" w:cs="Arial"/>
          <w:lang w:val="en-AU"/>
        </w:rPr>
      </w:pPr>
      <w:r>
        <w:rPr>
          <w:rFonts w:ascii="Arial" w:hAnsi="Arial" w:cs="Arial"/>
          <w:lang w:val="en-AU"/>
        </w:rPr>
        <w:t xml:space="preserve">The alternatives replace ‘number of configured antenna ports for the transmission scheme’ in 38.213 as shown below.  One of Alt 1, 2, or 3 is used for </w:t>
      </w:r>
      <w:proofErr w:type="gramStart"/>
      <w:r>
        <w:rPr>
          <w:rFonts w:ascii="Arial" w:hAnsi="Arial" w:cs="Arial"/>
          <w:lang w:val="en-AU"/>
        </w:rPr>
        <w:t>codebook based</w:t>
      </w:r>
      <w:proofErr w:type="gramEnd"/>
      <w:r>
        <w:rPr>
          <w:rFonts w:ascii="Arial" w:hAnsi="Arial" w:cs="Arial"/>
          <w:lang w:val="en-AU"/>
        </w:rPr>
        <w:t xml:space="preserve"> operation, and one of Alt 4, 5 or 6 is used for non-codebook based operation.</w:t>
      </w:r>
    </w:p>
    <w:p w14:paraId="73E48E94" w14:textId="77777777" w:rsidR="00481AAB" w:rsidRDefault="00481AAB" w:rsidP="00481AAB">
      <w:pPr>
        <w:ind w:left="1287"/>
        <w:rPr>
          <w:rFonts w:ascii="Arial" w:hAnsi="Arial" w:cs="Arial"/>
          <w:lang w:val="en-AU"/>
        </w:rPr>
      </w:pPr>
      <w:r>
        <w:rPr>
          <w:rFonts w:ascii="Arial" w:hAnsi="Arial" w:cs="Arial"/>
          <w:u w:val="single"/>
          <w:lang w:val="en-AU"/>
        </w:rPr>
        <w:t>Alt 1</w:t>
      </w:r>
      <w:r>
        <w:rPr>
          <w:rFonts w:ascii="Arial" w:hAnsi="Arial" w:cs="Arial"/>
          <w:lang w:val="en-AU"/>
        </w:rPr>
        <w:t xml:space="preserve">: the maximum number of PUSCH layers supported by the UE when the higher layer parameter </w:t>
      </w:r>
      <w:proofErr w:type="spellStart"/>
      <w:r>
        <w:rPr>
          <w:rFonts w:ascii="Arial" w:hAnsi="Arial" w:cs="Arial"/>
          <w:i/>
          <w:lang w:val="en-AU"/>
        </w:rPr>
        <w:t>txConfig</w:t>
      </w:r>
      <w:proofErr w:type="spellEnd"/>
      <w:r>
        <w:rPr>
          <w:rFonts w:ascii="Arial" w:hAnsi="Arial" w:cs="Arial"/>
          <w:lang w:val="en-AU"/>
        </w:rPr>
        <w:t xml:space="preserve"> in </w:t>
      </w:r>
      <w:r>
        <w:rPr>
          <w:rFonts w:ascii="Arial" w:hAnsi="Arial" w:cs="Arial"/>
          <w:i/>
          <w:lang w:val="en-AU"/>
        </w:rPr>
        <w:t>PUSCH-Config</w:t>
      </w:r>
      <w:r>
        <w:rPr>
          <w:rFonts w:ascii="Arial" w:hAnsi="Arial" w:cs="Arial"/>
          <w:lang w:val="en-AU"/>
        </w:rPr>
        <w:t xml:space="preserve"> is set to 'codebook'  </w:t>
      </w:r>
    </w:p>
    <w:p w14:paraId="223EAA7F" w14:textId="77777777" w:rsidR="00481AAB" w:rsidRDefault="00481AAB" w:rsidP="00481AAB">
      <w:pPr>
        <w:ind w:left="1287"/>
        <w:rPr>
          <w:rFonts w:ascii="Arial" w:hAnsi="Arial" w:cs="Arial"/>
          <w:lang w:val="en-AU"/>
        </w:rPr>
      </w:pPr>
      <w:r>
        <w:rPr>
          <w:rFonts w:ascii="Arial" w:hAnsi="Arial" w:cs="Arial"/>
          <w:u w:val="single"/>
          <w:lang w:val="en-AU"/>
        </w:rPr>
        <w:t>Alt 2</w:t>
      </w:r>
      <w:r>
        <w:rPr>
          <w:rFonts w:ascii="Arial" w:hAnsi="Arial" w:cs="Arial"/>
          <w:lang w:val="en-AU"/>
        </w:rPr>
        <w:t xml:space="preserve">: the maximum number of SRS ports in one SRS resource supported by the UE when the higher layer parameter </w:t>
      </w:r>
      <w:proofErr w:type="spellStart"/>
      <w:r>
        <w:rPr>
          <w:rFonts w:ascii="Arial" w:hAnsi="Arial" w:cs="Arial"/>
          <w:i/>
          <w:lang w:val="en-AU"/>
        </w:rPr>
        <w:t>txConfig</w:t>
      </w:r>
      <w:proofErr w:type="spellEnd"/>
      <w:r>
        <w:rPr>
          <w:rFonts w:ascii="Arial" w:hAnsi="Arial" w:cs="Arial"/>
          <w:lang w:val="en-AU"/>
        </w:rPr>
        <w:t xml:space="preserve"> in </w:t>
      </w:r>
      <w:r>
        <w:rPr>
          <w:rFonts w:ascii="Arial" w:hAnsi="Arial" w:cs="Arial"/>
          <w:i/>
          <w:lang w:val="en-AU"/>
        </w:rPr>
        <w:t>PUSCH-Config</w:t>
      </w:r>
      <w:r>
        <w:rPr>
          <w:rFonts w:ascii="Arial" w:hAnsi="Arial" w:cs="Arial"/>
          <w:lang w:val="en-AU"/>
        </w:rPr>
        <w:t xml:space="preserve"> is set to 'codebook'  </w:t>
      </w:r>
    </w:p>
    <w:p w14:paraId="591F7ECF" w14:textId="77777777" w:rsidR="00481AAB" w:rsidRDefault="00481AAB" w:rsidP="00481AAB">
      <w:pPr>
        <w:ind w:left="1287"/>
        <w:rPr>
          <w:rFonts w:ascii="Arial" w:hAnsi="Arial" w:cs="Arial"/>
          <w:lang w:val="en-AU"/>
        </w:rPr>
      </w:pPr>
      <w:r>
        <w:rPr>
          <w:rFonts w:ascii="Arial" w:hAnsi="Arial" w:cs="Arial"/>
          <w:u w:val="single"/>
          <w:lang w:val="en-AU"/>
        </w:rPr>
        <w:t>Alt 3</w:t>
      </w:r>
      <w:r>
        <w:rPr>
          <w:rFonts w:ascii="Arial" w:hAnsi="Arial" w:cs="Arial"/>
          <w:lang w:val="en-AU"/>
        </w:rPr>
        <w:t xml:space="preserve">: </w:t>
      </w:r>
      <w:proofErr w:type="spellStart"/>
      <w:r>
        <w:rPr>
          <w:rFonts w:ascii="Arial" w:hAnsi="Arial" w:cs="Arial"/>
          <w:i/>
          <w:lang w:val="en-AU"/>
        </w:rPr>
        <w:t>nrofSRS</w:t>
      </w:r>
      <w:proofErr w:type="spellEnd"/>
      <w:r>
        <w:rPr>
          <w:rFonts w:ascii="Arial" w:hAnsi="Arial" w:cs="Arial"/>
          <w:i/>
          <w:lang w:val="en-AU"/>
        </w:rPr>
        <w:t>-Ports</w:t>
      </w:r>
      <w:r>
        <w:rPr>
          <w:rFonts w:ascii="Arial" w:hAnsi="Arial" w:cs="Arial"/>
          <w:lang w:val="en-AU"/>
        </w:rPr>
        <w:t xml:space="preserve"> in </w:t>
      </w:r>
      <w:r>
        <w:rPr>
          <w:rFonts w:ascii="Arial" w:hAnsi="Arial" w:cs="Arial"/>
          <w:i/>
          <w:lang w:val="en-AU"/>
        </w:rPr>
        <w:t>SRS-</w:t>
      </w:r>
      <w:proofErr w:type="spellStart"/>
      <w:r>
        <w:rPr>
          <w:rFonts w:ascii="Arial" w:hAnsi="Arial" w:cs="Arial"/>
          <w:i/>
          <w:lang w:val="en-AU"/>
        </w:rPr>
        <w:t>ResourceSet</w:t>
      </w:r>
      <w:proofErr w:type="spellEnd"/>
      <w:r>
        <w:rPr>
          <w:rFonts w:ascii="Arial" w:hAnsi="Arial" w:cs="Arial"/>
          <w:lang w:val="en-AU"/>
        </w:rPr>
        <w:t xml:space="preserve"> configured with </w:t>
      </w:r>
      <w:r>
        <w:rPr>
          <w:rFonts w:ascii="Arial" w:hAnsi="Arial" w:cs="Arial"/>
          <w:i/>
          <w:lang w:val="en-AU"/>
        </w:rPr>
        <w:t>usage</w:t>
      </w:r>
      <w:r>
        <w:rPr>
          <w:rFonts w:ascii="Arial" w:hAnsi="Arial" w:cs="Arial"/>
          <w:lang w:val="en-AU"/>
        </w:rPr>
        <w:t xml:space="preserve"> set to 'codebook’ when the higher layer parameter </w:t>
      </w:r>
      <w:proofErr w:type="spellStart"/>
      <w:r>
        <w:rPr>
          <w:rFonts w:ascii="Arial" w:hAnsi="Arial" w:cs="Arial"/>
          <w:i/>
          <w:lang w:val="en-AU"/>
        </w:rPr>
        <w:t>txConfig</w:t>
      </w:r>
      <w:proofErr w:type="spellEnd"/>
      <w:r>
        <w:rPr>
          <w:rFonts w:ascii="Arial" w:hAnsi="Arial" w:cs="Arial"/>
          <w:lang w:val="en-AU"/>
        </w:rPr>
        <w:t xml:space="preserve"> in </w:t>
      </w:r>
      <w:r>
        <w:rPr>
          <w:rFonts w:ascii="Arial" w:hAnsi="Arial" w:cs="Arial"/>
          <w:i/>
          <w:lang w:val="en-AU"/>
        </w:rPr>
        <w:t>PUSCH-Config</w:t>
      </w:r>
      <w:r>
        <w:rPr>
          <w:rFonts w:ascii="Arial" w:hAnsi="Arial" w:cs="Arial"/>
          <w:lang w:val="en-AU"/>
        </w:rPr>
        <w:t xml:space="preserve"> is set to ‘codebook'</w:t>
      </w:r>
    </w:p>
    <w:p w14:paraId="2850BFA4" w14:textId="77777777" w:rsidR="00481AAB" w:rsidRDefault="00481AAB" w:rsidP="00481AAB">
      <w:pPr>
        <w:ind w:left="1287"/>
        <w:rPr>
          <w:rFonts w:ascii="Arial" w:hAnsi="Arial" w:cs="Arial"/>
          <w:lang w:val="en-AU"/>
        </w:rPr>
      </w:pPr>
      <w:r>
        <w:rPr>
          <w:rFonts w:ascii="Arial" w:hAnsi="Arial" w:cs="Arial"/>
          <w:u w:val="single"/>
          <w:lang w:val="en-AU"/>
        </w:rPr>
        <w:t>Alt 4</w:t>
      </w:r>
      <w:r>
        <w:rPr>
          <w:rFonts w:ascii="Arial" w:hAnsi="Arial" w:cs="Arial"/>
          <w:lang w:val="en-AU"/>
        </w:rPr>
        <w:t xml:space="preserve">: the maximum number of supported layers for the non-codebook transmission scheme divided by the maximum number of simultaneously transmitted SRS resources in one symbol for the non-codebook transmission scheme when the higher layer parameter </w:t>
      </w:r>
      <w:proofErr w:type="spellStart"/>
      <w:r>
        <w:rPr>
          <w:rFonts w:ascii="Arial" w:hAnsi="Arial" w:cs="Arial"/>
          <w:i/>
          <w:lang w:val="en-AU"/>
        </w:rPr>
        <w:t>txConfig</w:t>
      </w:r>
      <w:proofErr w:type="spellEnd"/>
      <w:r>
        <w:rPr>
          <w:rFonts w:ascii="Arial" w:hAnsi="Arial" w:cs="Arial"/>
          <w:lang w:val="en-AU"/>
        </w:rPr>
        <w:t xml:space="preserve"> in </w:t>
      </w:r>
      <w:r>
        <w:rPr>
          <w:rFonts w:ascii="Arial" w:hAnsi="Arial" w:cs="Arial"/>
          <w:i/>
          <w:lang w:val="en-AU"/>
        </w:rPr>
        <w:t>PUSCH-Config</w:t>
      </w:r>
      <w:r>
        <w:rPr>
          <w:rFonts w:ascii="Arial" w:hAnsi="Arial" w:cs="Arial"/>
          <w:lang w:val="en-AU"/>
        </w:rPr>
        <w:t xml:space="preserve"> is set to ‘</w:t>
      </w:r>
      <w:proofErr w:type="spellStart"/>
      <w:r>
        <w:rPr>
          <w:rFonts w:ascii="Arial" w:hAnsi="Arial" w:cs="Arial"/>
          <w:lang w:val="en-AU"/>
        </w:rPr>
        <w:t>nonCodebook</w:t>
      </w:r>
      <w:proofErr w:type="spellEnd"/>
      <w:r>
        <w:rPr>
          <w:rFonts w:ascii="Arial" w:hAnsi="Arial" w:cs="Arial"/>
          <w:lang w:val="en-AU"/>
        </w:rPr>
        <w:t>'</w:t>
      </w:r>
    </w:p>
    <w:p w14:paraId="3CD4B465" w14:textId="77777777" w:rsidR="00481AAB" w:rsidRDefault="00481AAB" w:rsidP="00481AAB">
      <w:pPr>
        <w:ind w:left="1287"/>
        <w:rPr>
          <w:rFonts w:ascii="Arial" w:hAnsi="Arial" w:cs="Arial"/>
          <w:lang w:val="en-AU"/>
        </w:rPr>
      </w:pPr>
      <w:r>
        <w:rPr>
          <w:rFonts w:ascii="Arial" w:hAnsi="Arial" w:cs="Arial"/>
          <w:u w:val="single"/>
          <w:lang w:val="en-AU"/>
        </w:rPr>
        <w:t>Alt 5</w:t>
      </w:r>
      <w:r>
        <w:rPr>
          <w:rFonts w:ascii="Arial" w:hAnsi="Arial" w:cs="Arial"/>
          <w:lang w:val="en-AU"/>
        </w:rPr>
        <w:t xml:space="preserve">: the number of SRS resources in </w:t>
      </w:r>
      <w:r>
        <w:rPr>
          <w:rFonts w:ascii="Arial" w:hAnsi="Arial" w:cs="Arial"/>
          <w:i/>
          <w:lang w:val="en-AU"/>
        </w:rPr>
        <w:t>SRS-</w:t>
      </w:r>
      <w:proofErr w:type="spellStart"/>
      <w:r>
        <w:rPr>
          <w:rFonts w:ascii="Arial" w:hAnsi="Arial" w:cs="Arial"/>
          <w:i/>
          <w:lang w:val="en-AU"/>
        </w:rPr>
        <w:t>ResourceSet</w:t>
      </w:r>
      <w:proofErr w:type="spellEnd"/>
      <w:r>
        <w:rPr>
          <w:rFonts w:ascii="Arial" w:hAnsi="Arial" w:cs="Arial"/>
          <w:lang w:val="en-AU"/>
        </w:rPr>
        <w:t xml:space="preserve"> configured with </w:t>
      </w:r>
      <w:r>
        <w:rPr>
          <w:rFonts w:ascii="Arial" w:hAnsi="Arial" w:cs="Arial"/>
          <w:i/>
          <w:lang w:val="en-AU"/>
        </w:rPr>
        <w:t>usage</w:t>
      </w:r>
      <w:r>
        <w:rPr>
          <w:rFonts w:ascii="Arial" w:hAnsi="Arial" w:cs="Arial"/>
          <w:lang w:val="en-AU"/>
        </w:rPr>
        <w:t xml:space="preserve"> set to '</w:t>
      </w:r>
      <w:proofErr w:type="spellStart"/>
      <w:r>
        <w:rPr>
          <w:rFonts w:ascii="Arial" w:hAnsi="Arial" w:cs="Arial"/>
          <w:lang w:val="en-AU"/>
        </w:rPr>
        <w:t>nonCodebook</w:t>
      </w:r>
      <w:proofErr w:type="spellEnd"/>
      <w:r>
        <w:rPr>
          <w:rFonts w:ascii="Arial" w:hAnsi="Arial" w:cs="Arial"/>
          <w:lang w:val="en-AU"/>
        </w:rPr>
        <w:t xml:space="preserve">’ when the higher layer parameter </w:t>
      </w:r>
      <w:proofErr w:type="spellStart"/>
      <w:r>
        <w:rPr>
          <w:rFonts w:ascii="Arial" w:hAnsi="Arial" w:cs="Arial"/>
          <w:i/>
          <w:lang w:val="en-AU"/>
        </w:rPr>
        <w:t>txConfig</w:t>
      </w:r>
      <w:proofErr w:type="spellEnd"/>
      <w:r>
        <w:rPr>
          <w:rFonts w:ascii="Arial" w:hAnsi="Arial" w:cs="Arial"/>
          <w:lang w:val="en-AU"/>
        </w:rPr>
        <w:t xml:space="preserve"> in </w:t>
      </w:r>
      <w:r>
        <w:rPr>
          <w:rFonts w:ascii="Arial" w:hAnsi="Arial" w:cs="Arial"/>
          <w:i/>
          <w:lang w:val="en-AU"/>
        </w:rPr>
        <w:t>PUSCH-Config</w:t>
      </w:r>
      <w:r>
        <w:rPr>
          <w:rFonts w:ascii="Arial" w:hAnsi="Arial" w:cs="Arial"/>
          <w:lang w:val="en-AU"/>
        </w:rPr>
        <w:t xml:space="preserve"> is set to ‘</w:t>
      </w:r>
      <w:proofErr w:type="spellStart"/>
      <w:r>
        <w:rPr>
          <w:rFonts w:ascii="Arial" w:hAnsi="Arial" w:cs="Arial"/>
          <w:lang w:val="en-AU"/>
        </w:rPr>
        <w:t>nonCodebook</w:t>
      </w:r>
      <w:proofErr w:type="spellEnd"/>
      <w:r>
        <w:rPr>
          <w:rFonts w:ascii="Arial" w:hAnsi="Arial" w:cs="Arial"/>
          <w:lang w:val="en-AU"/>
        </w:rPr>
        <w:t>' </w:t>
      </w:r>
    </w:p>
    <w:p w14:paraId="47195AE9" w14:textId="77777777" w:rsidR="00481AAB" w:rsidRDefault="00481AAB" w:rsidP="00481AAB">
      <w:pPr>
        <w:ind w:left="1287"/>
        <w:rPr>
          <w:rFonts w:ascii="Arial" w:hAnsi="Arial" w:cs="Arial"/>
          <w:lang w:val="en-AU"/>
        </w:rPr>
      </w:pPr>
      <w:r>
        <w:rPr>
          <w:rFonts w:ascii="Arial" w:hAnsi="Arial" w:cs="Arial"/>
          <w:u w:val="single"/>
          <w:lang w:val="en-AU"/>
        </w:rPr>
        <w:t>Alt 6</w:t>
      </w:r>
      <w:r>
        <w:rPr>
          <w:rFonts w:ascii="Arial" w:hAnsi="Arial" w:cs="Arial"/>
          <w:lang w:val="en-AU"/>
        </w:rPr>
        <w:t xml:space="preserve">: the supported maximum number of SRS resource per SRS resource set with </w:t>
      </w:r>
      <w:r>
        <w:rPr>
          <w:rFonts w:ascii="Arial" w:hAnsi="Arial" w:cs="Arial"/>
          <w:i/>
          <w:lang w:val="en-AU"/>
        </w:rPr>
        <w:t>usage</w:t>
      </w:r>
      <w:r>
        <w:rPr>
          <w:rFonts w:ascii="Arial" w:hAnsi="Arial" w:cs="Arial"/>
          <w:lang w:val="en-AU"/>
        </w:rPr>
        <w:t xml:space="preserve"> set to '</w:t>
      </w:r>
      <w:proofErr w:type="spellStart"/>
      <w:r>
        <w:rPr>
          <w:rFonts w:ascii="Arial" w:hAnsi="Arial" w:cs="Arial"/>
          <w:lang w:val="en-AU"/>
        </w:rPr>
        <w:t>nonCodebook</w:t>
      </w:r>
      <w:proofErr w:type="spellEnd"/>
      <w:r>
        <w:rPr>
          <w:rFonts w:ascii="Arial" w:hAnsi="Arial" w:cs="Arial"/>
          <w:lang w:val="en-AU"/>
        </w:rPr>
        <w:t>' </w:t>
      </w:r>
    </w:p>
    <w:p w14:paraId="32C17CC7" w14:textId="77777777" w:rsidR="00481AAB" w:rsidRDefault="00481AAB" w:rsidP="00481AAB">
      <w:pPr>
        <w:ind w:left="1287"/>
        <w:rPr>
          <w:rFonts w:ascii="Arial" w:hAnsi="Arial" w:cs="Arial"/>
          <w:lang w:val="en-AU"/>
        </w:rPr>
      </w:pPr>
    </w:p>
    <w:p w14:paraId="43DCB9DB" w14:textId="77777777" w:rsidR="00481AAB" w:rsidRDefault="00481AAB" w:rsidP="00481AAB">
      <w:pPr>
        <w:ind w:left="567"/>
        <w:rPr>
          <w:rFonts w:ascii="Arial" w:hAnsi="Arial" w:cs="Arial"/>
          <w:highlight w:val="yellow"/>
          <w:lang w:val="en-AU"/>
        </w:rPr>
      </w:pPr>
      <w:r>
        <w:rPr>
          <w:rFonts w:ascii="Arial" w:hAnsi="Arial" w:cs="Arial"/>
          <w:lang w:val="en-AU"/>
        </w:rPr>
        <w:t>From: 38.213 section 7.1</w:t>
      </w:r>
    </w:p>
    <w:p w14:paraId="05D2DF0E" w14:textId="77777777" w:rsidR="00481AAB" w:rsidRDefault="00481AAB" w:rsidP="00481AAB">
      <w:pPr>
        <w:keepNext/>
        <w:ind w:left="567"/>
        <w:rPr>
          <w:rFonts w:asciiTheme="minorHAnsi" w:hAnsiTheme="minorHAnsi" w:cstheme="minorBidi"/>
          <w:lang w:val="en-AU"/>
        </w:rPr>
      </w:pPr>
      <w:r>
        <w:rPr>
          <w:highlight w:val="yellow"/>
          <w:lang w:val="en-AU"/>
        </w:rPr>
        <w:lastRenderedPageBreak/>
        <w:t>&gt;&gt;&gt;&gt;&gt;&gt;&gt;&gt;&gt;&gt;&gt;&gt; Start text proposal &gt;&gt;&gt;&gt;&gt;&gt;&gt;&gt;&gt;&gt;&gt;&gt;</w:t>
      </w:r>
    </w:p>
    <w:p w14:paraId="05C3BD0F" w14:textId="77777777" w:rsidR="00481AAB" w:rsidRPr="00481AAB" w:rsidRDefault="00481AAB" w:rsidP="00481AAB">
      <w:pPr>
        <w:ind w:left="567"/>
        <w:rPr>
          <w:lang w:val="en-AU" w:eastAsia="zh-CN"/>
        </w:rPr>
      </w:pPr>
      <w:r>
        <w:rPr>
          <w:color w:val="FF0000"/>
          <w:u w:val="single"/>
          <w:lang w:val="en-AU"/>
        </w:rPr>
        <w:t xml:space="preserve">When higher layer parameter </w:t>
      </w:r>
      <w:proofErr w:type="spellStart"/>
      <w:r>
        <w:rPr>
          <w:i/>
          <w:color w:val="FF0000"/>
          <w:u w:val="single"/>
          <w:lang w:val="en-AU"/>
        </w:rPr>
        <w:t>txConfig</w:t>
      </w:r>
      <w:proofErr w:type="spellEnd"/>
      <w:r>
        <w:rPr>
          <w:color w:val="FF0000"/>
          <w:u w:val="single"/>
          <w:lang w:val="en-AU"/>
        </w:rPr>
        <w:t xml:space="preserve"> in </w:t>
      </w:r>
      <w:r>
        <w:rPr>
          <w:i/>
          <w:color w:val="FF0000"/>
          <w:u w:val="single"/>
          <w:lang w:val="en-AU"/>
        </w:rPr>
        <w:t>PUSCH-Config</w:t>
      </w:r>
      <w:r>
        <w:rPr>
          <w:color w:val="FF0000"/>
          <w:u w:val="single"/>
          <w:lang w:val="en-AU"/>
        </w:rPr>
        <w:t xml:space="preserve"> is not configured,</w:t>
      </w:r>
      <w:r>
        <w:rPr>
          <w:lang w:val="en-AU" w:eastAsia="zh-CN"/>
        </w:rPr>
        <w:t xml:space="preserve"> </w:t>
      </w:r>
      <w:r>
        <w:rPr>
          <w:color w:val="FF0000"/>
          <w:u w:val="single"/>
          <w:lang w:val="en-AU"/>
        </w:rPr>
        <w:t xml:space="preserve">a UE transmits with power </w:t>
      </w:r>
      <w:r>
        <w:rPr>
          <w:rFonts w:asciiTheme="minorHAnsi" w:eastAsiaTheme="minorHAnsi" w:hAnsiTheme="minorHAnsi" w:cstheme="minorBidi"/>
          <w:iCs/>
          <w:position w:val="-12"/>
          <w:sz w:val="22"/>
          <w:szCs w:val="22"/>
          <w:lang w:val="sv-FI"/>
        </w:rPr>
        <w:object w:dxaOrig="1665" w:dyaOrig="315" w14:anchorId="37DDE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3" o:title=""/>
          </v:shape>
          <o:OLEObject Type="Embed" ProgID="Equation.3" ShapeID="_x0000_i1025" DrawAspect="Content" ObjectID="_1602683243" r:id="rId14"/>
        </w:object>
      </w:r>
      <w:r>
        <w:rPr>
          <w:lang w:val="en-AU"/>
        </w:rPr>
        <w:t xml:space="preserve"> </w:t>
      </w:r>
      <w:r>
        <w:rPr>
          <w:color w:val="FF0000"/>
          <w:u w:val="single"/>
          <w:lang w:val="en-AU"/>
        </w:rPr>
        <w:t xml:space="preserve">on active UL BWP </w:t>
      </w:r>
      <w:r>
        <w:rPr>
          <w:rFonts w:asciiTheme="minorHAnsi" w:eastAsiaTheme="minorHAnsi" w:hAnsiTheme="minorHAnsi" w:cstheme="minorBidi"/>
          <w:iCs/>
          <w:color w:val="FF0000"/>
          <w:position w:val="-6"/>
          <w:sz w:val="22"/>
          <w:szCs w:val="22"/>
          <w:u w:val="single"/>
          <w:lang w:val="sv-FI"/>
        </w:rPr>
        <w:object w:dxaOrig="180" w:dyaOrig="255" w14:anchorId="571FE6D3">
          <v:shape id="_x0000_i1026" type="#_x0000_t75" style="width:7.2pt;height:14.4pt" o:ole="">
            <v:imagedata r:id="rId15" o:title=""/>
          </v:shape>
          <o:OLEObject Type="Embed" ProgID="Equation.3" ShapeID="_x0000_i1026" DrawAspect="Content" ObjectID="_1602683244" r:id="rId16"/>
        </w:object>
      </w:r>
      <w:r>
        <w:rPr>
          <w:iCs/>
          <w:color w:val="FF0000"/>
          <w:u w:val="single"/>
          <w:lang w:val="en-AU"/>
        </w:rPr>
        <w:t xml:space="preserve">, as described in Subclause 12, of </w:t>
      </w:r>
      <w:r>
        <w:rPr>
          <w:color w:val="FF0000"/>
          <w:u w:val="single"/>
          <w:lang w:val="en-AU"/>
        </w:rPr>
        <w:t xml:space="preserve">carrier </w:t>
      </w:r>
      <w:r>
        <w:rPr>
          <w:rFonts w:asciiTheme="minorHAnsi" w:eastAsiaTheme="minorHAnsi" w:hAnsiTheme="minorHAnsi" w:cstheme="minorBidi"/>
          <w:iCs/>
          <w:color w:val="FF0000"/>
          <w:position w:val="-10"/>
          <w:sz w:val="22"/>
          <w:szCs w:val="22"/>
          <w:u w:val="single"/>
          <w:lang w:val="sv-FI"/>
        </w:rPr>
        <w:object w:dxaOrig="225" w:dyaOrig="300" w14:anchorId="7DE71181">
          <v:shape id="_x0000_i1027" type="#_x0000_t75" style="width:14.4pt;height:14.4pt" o:ole="">
            <v:imagedata r:id="rId17" o:title=""/>
          </v:shape>
          <o:OLEObject Type="Embed" ProgID="Equation.3" ShapeID="_x0000_i1027" DrawAspect="Content" ObjectID="_1602683245" r:id="rId18"/>
        </w:object>
      </w:r>
      <w:r>
        <w:rPr>
          <w:iCs/>
          <w:color w:val="FF0000"/>
          <w:u w:val="single"/>
          <w:lang w:val="en-AU"/>
        </w:rPr>
        <w:t xml:space="preserve"> of </w:t>
      </w:r>
      <w:r>
        <w:rPr>
          <w:color w:val="FF0000"/>
          <w:u w:val="single"/>
          <w:lang w:val="en-AU"/>
        </w:rPr>
        <w:t xml:space="preserve">serving cell </w:t>
      </w:r>
      <w:r>
        <w:rPr>
          <w:rFonts w:asciiTheme="minorHAnsi" w:eastAsiaTheme="minorHAnsi" w:hAnsiTheme="minorHAnsi" w:cstheme="minorBidi"/>
          <w:iCs/>
          <w:color w:val="FF0000"/>
          <w:position w:val="-6"/>
          <w:sz w:val="22"/>
          <w:szCs w:val="22"/>
          <w:u w:val="single"/>
          <w:lang w:val="sv-FI"/>
        </w:rPr>
        <w:object w:dxaOrig="165" w:dyaOrig="225" w14:anchorId="24976E70">
          <v:shape id="_x0000_i1028" type="#_x0000_t75" style="width:7.2pt;height:14.4pt" o:ole="">
            <v:imagedata r:id="rId19" o:title=""/>
          </v:shape>
          <o:OLEObject Type="Embed" ProgID="Equation.3" ShapeID="_x0000_i1028" DrawAspect="Content" ObjectID="_1602683246" r:id="rId20"/>
        </w:object>
      </w:r>
      <w:r>
        <w:rPr>
          <w:iCs/>
          <w:color w:val="FF0000"/>
          <w:u w:val="single"/>
          <w:lang w:val="en-AU"/>
        </w:rPr>
        <w:t xml:space="preserve"> with parameters as defined in Subclause 7.1.1</w:t>
      </w:r>
      <w:r>
        <w:rPr>
          <w:iCs/>
          <w:lang w:val="en-AU"/>
        </w:rPr>
        <w:t xml:space="preserve">. </w:t>
      </w:r>
      <w:r>
        <w:rPr>
          <w:iCs/>
          <w:color w:val="FF0000"/>
          <w:u w:val="single"/>
          <w:lang w:val="en-AU"/>
        </w:rPr>
        <w:t>Otherwise,</w:t>
      </w:r>
      <w:r>
        <w:rPr>
          <w:iCs/>
          <w:color w:val="FF0000"/>
          <w:lang w:val="en-AU"/>
        </w:rPr>
        <w:t xml:space="preserve"> </w:t>
      </w:r>
      <w:r>
        <w:rPr>
          <w:strike/>
          <w:color w:val="FF0000"/>
          <w:lang w:val="en-AU" w:eastAsia="zh-CN"/>
        </w:rPr>
        <w:t>For a PUSCH transmission</w:t>
      </w:r>
      <w:r>
        <w:rPr>
          <w:iCs/>
          <w:strike/>
          <w:color w:val="FF0000"/>
          <w:lang w:val="en-AU"/>
        </w:rPr>
        <w:t xml:space="preserve"> </w:t>
      </w:r>
      <w:r>
        <w:rPr>
          <w:strike/>
          <w:color w:val="FF0000"/>
          <w:lang w:val="en-AU"/>
        </w:rPr>
        <w:t xml:space="preserve">on active UL BWP </w:t>
      </w:r>
      <w:r>
        <w:rPr>
          <w:rFonts w:asciiTheme="minorHAnsi" w:eastAsiaTheme="minorHAnsi" w:hAnsiTheme="minorHAnsi" w:cstheme="minorBidi"/>
          <w:iCs/>
          <w:strike/>
          <w:color w:val="FF0000"/>
          <w:position w:val="-6"/>
          <w:sz w:val="22"/>
          <w:szCs w:val="22"/>
          <w:lang w:val="sv-FI"/>
        </w:rPr>
        <w:object w:dxaOrig="180" w:dyaOrig="255" w14:anchorId="607479CE">
          <v:shape id="_x0000_i1029" type="#_x0000_t75" style="width:7.2pt;height:14.4pt" o:ole="">
            <v:imagedata r:id="rId15" o:title=""/>
          </v:shape>
          <o:OLEObject Type="Embed" ProgID="Equation.3" ShapeID="_x0000_i1029" DrawAspect="Content" ObjectID="_1602683247" r:id="rId21"/>
        </w:object>
      </w:r>
      <w:r>
        <w:rPr>
          <w:iCs/>
          <w:strike/>
          <w:color w:val="FF0000"/>
          <w:lang w:val="en-AU"/>
        </w:rPr>
        <w:t xml:space="preserve">, as described in Subclause 12, of </w:t>
      </w:r>
      <w:r>
        <w:rPr>
          <w:strike/>
          <w:color w:val="FF0000"/>
          <w:lang w:val="en-AU"/>
        </w:rPr>
        <w:t xml:space="preserve">carrier </w:t>
      </w:r>
      <w:r>
        <w:rPr>
          <w:rFonts w:asciiTheme="minorHAnsi" w:eastAsiaTheme="minorHAnsi" w:hAnsiTheme="minorHAnsi" w:cstheme="minorBidi"/>
          <w:iCs/>
          <w:strike/>
          <w:color w:val="FF0000"/>
          <w:position w:val="-10"/>
          <w:sz w:val="22"/>
          <w:szCs w:val="22"/>
          <w:lang w:val="sv-FI"/>
        </w:rPr>
        <w:object w:dxaOrig="225" w:dyaOrig="300" w14:anchorId="6F71B9BC">
          <v:shape id="_x0000_i1030" type="#_x0000_t75" style="width:14.4pt;height:14.4pt" o:ole="">
            <v:imagedata r:id="rId17" o:title=""/>
          </v:shape>
          <o:OLEObject Type="Embed" ProgID="Equation.3" ShapeID="_x0000_i1030" DrawAspect="Content" ObjectID="_1602683248" r:id="rId22"/>
        </w:object>
      </w:r>
      <w:r>
        <w:rPr>
          <w:iCs/>
          <w:strike/>
          <w:color w:val="FF0000"/>
          <w:lang w:val="en-AU"/>
        </w:rPr>
        <w:t xml:space="preserve"> of </w:t>
      </w:r>
      <w:r>
        <w:rPr>
          <w:strike/>
          <w:color w:val="FF0000"/>
          <w:lang w:val="en-AU"/>
        </w:rPr>
        <w:t xml:space="preserve">serving cell </w:t>
      </w:r>
      <w:r>
        <w:rPr>
          <w:rFonts w:asciiTheme="minorHAnsi" w:eastAsiaTheme="minorHAnsi" w:hAnsiTheme="minorHAnsi" w:cstheme="minorBidi"/>
          <w:iCs/>
          <w:strike/>
          <w:color w:val="FF0000"/>
          <w:position w:val="-6"/>
          <w:sz w:val="22"/>
          <w:szCs w:val="22"/>
          <w:lang w:val="sv-FI"/>
        </w:rPr>
        <w:object w:dxaOrig="165" w:dyaOrig="225" w14:anchorId="78EF62B2">
          <v:shape id="_x0000_i1031" type="#_x0000_t75" style="width:7.2pt;height:14.4pt" o:ole="">
            <v:imagedata r:id="rId19" o:title=""/>
          </v:shape>
          <o:OLEObject Type="Embed" ProgID="Equation.3" ShapeID="_x0000_i1031" DrawAspect="Content" ObjectID="_1602683249" r:id="rId23"/>
        </w:object>
      </w:r>
      <w:r>
        <w:rPr>
          <w:iCs/>
          <w:strike/>
          <w:color w:val="FF0000"/>
          <w:lang w:val="en-AU"/>
        </w:rPr>
        <w:t xml:space="preserve">, </w:t>
      </w:r>
      <w:r>
        <w:rPr>
          <w:lang w:val="en-AU" w:eastAsia="zh-CN"/>
        </w:rPr>
        <w:t xml:space="preserve">a UE first scales a linear value </w:t>
      </w:r>
      <w:r>
        <w:rPr>
          <w:rFonts w:asciiTheme="minorHAnsi" w:eastAsiaTheme="minorHAnsi" w:hAnsiTheme="minorHAnsi" w:cstheme="minorBidi"/>
          <w:iCs/>
          <w:position w:val="-12"/>
          <w:sz w:val="22"/>
          <w:szCs w:val="22"/>
          <w:lang w:val="sv-FI"/>
        </w:rPr>
        <w:object w:dxaOrig="1680" w:dyaOrig="390" w14:anchorId="12AA3B2E">
          <v:shape id="_x0000_i1032" type="#_x0000_t75" style="width:86.4pt;height:21.6pt" o:ole="">
            <v:imagedata r:id="rId24" o:title=""/>
          </v:shape>
          <o:OLEObject Type="Embed" ProgID="Equation.3" ShapeID="_x0000_i1032" DrawAspect="Content" ObjectID="_1602683250" r:id="rId25"/>
        </w:object>
      </w:r>
      <w:r>
        <w:rPr>
          <w:iCs/>
          <w:lang w:val="en-AU"/>
        </w:rPr>
        <w:t xml:space="preserve"> of the </w:t>
      </w:r>
      <w:r>
        <w:rPr>
          <w:lang w:val="en-AU" w:eastAsia="zh-CN"/>
        </w:rPr>
        <w:t xml:space="preserve">transmit power </w:t>
      </w:r>
      <w:r>
        <w:rPr>
          <w:rFonts w:asciiTheme="minorHAnsi" w:eastAsiaTheme="minorHAnsi" w:hAnsiTheme="minorHAnsi" w:cstheme="minorBidi"/>
          <w:iCs/>
          <w:position w:val="-12"/>
          <w:sz w:val="22"/>
          <w:szCs w:val="22"/>
          <w:lang w:val="sv-FI"/>
        </w:rPr>
        <w:object w:dxaOrig="1665" w:dyaOrig="315" w14:anchorId="27AD1892">
          <v:shape id="_x0000_i1033" type="#_x0000_t75" style="width:86.4pt;height:14.4pt" o:ole="">
            <v:imagedata r:id="rId13" o:title=""/>
          </v:shape>
          <o:OLEObject Type="Embed" ProgID="Equation.3" ShapeID="_x0000_i1033" DrawAspect="Content" ObjectID="_1602683251" r:id="rId26"/>
        </w:object>
      </w:r>
      <w:r>
        <w:rPr>
          <w:iCs/>
          <w:lang w:val="en-AU"/>
        </w:rPr>
        <w:t xml:space="preserve">, </w:t>
      </w:r>
      <w:r>
        <w:rPr>
          <w:iCs/>
          <w:strike/>
          <w:color w:val="FF0000"/>
          <w:lang w:val="en-AU"/>
        </w:rPr>
        <w:t>with parameters as defined in Subclause 7.1.1,</w:t>
      </w:r>
      <w:r>
        <w:rPr>
          <w:iCs/>
          <w:color w:val="FF0000"/>
          <w:lang w:val="en-AU"/>
        </w:rPr>
        <w:t xml:space="preserve"> </w:t>
      </w:r>
      <w:r>
        <w:rPr>
          <w:lang w:val="en-AU" w:eastAsia="zh-CN"/>
        </w:rPr>
        <w:t xml:space="preserve">by the ratio of the number of antenna ports with a non-zero PUSCH transmission power to </w:t>
      </w:r>
      <w:r>
        <w:rPr>
          <w:color w:val="FF0000"/>
          <w:u w:val="single"/>
          <w:lang w:val="en-AU"/>
        </w:rPr>
        <w:t>[Alt 1 or Alt 2 or Alt3] and [Alt 4 or Alt 5 or Alt 6]</w:t>
      </w:r>
      <w:r>
        <w:rPr>
          <w:strike/>
          <w:color w:val="FF0000"/>
          <w:lang w:val="en-AU" w:eastAsia="zh-CN"/>
        </w:rPr>
        <w:t>the number of configured antenna ports for the PUSCH transmission scheme</w:t>
      </w:r>
      <w:r>
        <w:rPr>
          <w:lang w:val="en-AU" w:eastAsia="zh-CN"/>
        </w:rPr>
        <w:t xml:space="preserve">. </w:t>
      </w:r>
      <w:r>
        <w:rPr>
          <w:lang w:eastAsia="zh-CN"/>
        </w:rPr>
        <w:t xml:space="preserve">The UE splits the resulting scaled power equally across the antenna ports on which the UE transmits the PUSCH with non-zero power. </w:t>
      </w:r>
    </w:p>
    <w:p w14:paraId="267B9B35" w14:textId="4DF969DD" w:rsidR="00481AAB" w:rsidRDefault="00481AAB" w:rsidP="000F5010">
      <w:pPr>
        <w:ind w:left="567"/>
        <w:rPr>
          <w:lang w:val="en-AU"/>
        </w:rPr>
      </w:pPr>
      <w:r>
        <w:rPr>
          <w:highlight w:val="yellow"/>
          <w:lang w:val="en-AU"/>
        </w:rPr>
        <w:t>&gt;&gt;&gt;&gt;&gt;&gt;&gt;&gt;&gt;&gt;&gt;&gt; End text proposal &gt;&gt;&gt;&gt;&gt;&gt;&gt;&gt;&gt;&gt;&gt;&gt;&gt;</w:t>
      </w:r>
    </w:p>
    <w:p w14:paraId="58A794E2" w14:textId="7AAC74E8" w:rsidR="00B34329" w:rsidRPr="000F5010" w:rsidRDefault="00481AAB" w:rsidP="000F5010">
      <w:pPr>
        <w:rPr>
          <w:lang w:val="en-AU"/>
        </w:rPr>
      </w:pPr>
      <w:r>
        <w:rPr>
          <w:lang w:val="en-AU"/>
        </w:rPr>
        <w:t xml:space="preserve">In order to support a fixed split of powers among PAs that is less than Pcmax, it is sensible to use UE capability rather than UE configuration.  If a UE is configured with fewer layers or ports than its maximum capability, then splitting power equally among this reduced number of ports results in </w:t>
      </w:r>
      <w:r w:rsidR="004B08D5">
        <w:rPr>
          <w:lang w:val="en-AU"/>
        </w:rPr>
        <w:t>too high per per-PA power</w:t>
      </w:r>
      <w:r>
        <w:rPr>
          <w:lang w:val="en-AU"/>
        </w:rPr>
        <w:t xml:space="preserve"> given the 38.213 text above.  This may be suitable for full power transmission, but not for Rel-15 where this can’t be assumed</w:t>
      </w:r>
      <w:r w:rsidR="00B34329">
        <w:rPr>
          <w:lang w:val="en-AU"/>
        </w:rPr>
        <w:t xml:space="preserve"> due to the agreement from </w:t>
      </w:r>
      <w:r w:rsidR="00B34329">
        <w:t xml:space="preserve">RAN1#94bis: </w:t>
      </w:r>
    </w:p>
    <w:p w14:paraId="30077EDD" w14:textId="77777777" w:rsidR="00B34329" w:rsidRDefault="00B34329" w:rsidP="00B34329">
      <w:r>
        <w:rPr>
          <w:noProof/>
        </w:rPr>
        <mc:AlternateContent>
          <mc:Choice Requires="wps">
            <w:drawing>
              <wp:inline distT="0" distB="0" distL="0" distR="0" wp14:anchorId="2A9AB92E" wp14:editId="596D042F">
                <wp:extent cx="5760720" cy="572494"/>
                <wp:effectExtent l="0" t="0" r="11430"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72494"/>
                        </a:xfrm>
                        <a:prstGeom prst="rect">
                          <a:avLst/>
                        </a:prstGeom>
                        <a:solidFill>
                          <a:srgbClr val="FFFFFF"/>
                        </a:solidFill>
                        <a:ln w="9525">
                          <a:solidFill>
                            <a:srgbClr val="000000"/>
                          </a:solidFill>
                          <a:miter lim="800000"/>
                          <a:headEnd/>
                          <a:tailEnd/>
                        </a:ln>
                      </wps:spPr>
                      <wps:txbx>
                        <w:txbxContent>
                          <w:p w14:paraId="0BF23671" w14:textId="77777777" w:rsidR="00F00C5A" w:rsidRDefault="00F00C5A" w:rsidP="00B34329">
                            <w:pPr>
                              <w:spacing w:after="0" w:line="240" w:lineRule="auto"/>
                              <w:ind w:left="1287" w:hanging="720"/>
                              <w:rPr>
                                <w:rFonts w:eastAsia="Batang"/>
                                <w:b/>
                                <w:szCs w:val="20"/>
                                <w:highlight w:val="green"/>
                                <w:lang w:val="en-GB" w:eastAsia="x-none"/>
                              </w:rPr>
                            </w:pPr>
                            <w:r>
                              <w:rPr>
                                <w:rFonts w:eastAsia="Batang"/>
                                <w:b/>
                                <w:szCs w:val="20"/>
                                <w:highlight w:val="green"/>
                                <w:lang w:val="en-GB" w:eastAsia="x-none"/>
                              </w:rPr>
                              <w:t>Agreement</w:t>
                            </w:r>
                          </w:p>
                          <w:p w14:paraId="661F3330" w14:textId="77777777" w:rsidR="00F00C5A" w:rsidRDefault="00F00C5A" w:rsidP="00B34329">
                            <w:pPr>
                              <w:pStyle w:val="BodyText"/>
                              <w:ind w:left="567"/>
                              <w:rPr>
                                <w:rFonts w:asciiTheme="minorHAnsi" w:eastAsiaTheme="minorHAnsi" w:hAnsiTheme="minorHAnsi" w:cstheme="minorBidi"/>
                                <w:sz w:val="22"/>
                                <w:szCs w:val="22"/>
                                <w:lang w:val="en-AU"/>
                              </w:rPr>
                            </w:pPr>
                            <w:r>
                              <w:rPr>
                                <w:rFonts w:ascii="Times" w:eastAsia="Batang" w:hAnsi="Times"/>
                                <w:szCs w:val="20"/>
                                <w:lang w:val="en-GB"/>
                              </w:rPr>
                              <w:t>Clarify Rel-15 NR PUSCH power scaling specifications such that per-PA full power capacity for all PAs in the UE is NOT required for any MIMO UE capability.</w:t>
                            </w:r>
                          </w:p>
                          <w:p w14:paraId="7471F2AD" w14:textId="77777777" w:rsidR="00F00C5A" w:rsidRPr="00E37A4C" w:rsidRDefault="00F00C5A" w:rsidP="00B34329">
                            <w:pPr>
                              <w:rPr>
                                <w:lang w:val="en-AU"/>
                              </w:rPr>
                            </w:pPr>
                            <w:r w:rsidRPr="00E37A4C">
                              <w:rPr>
                                <w:lang w:val="en-AU"/>
                              </w:rPr>
                              <w:t xml:space="preserve">. </w:t>
                            </w:r>
                          </w:p>
                          <w:p w14:paraId="5277CAB0" w14:textId="77777777" w:rsidR="00F00C5A" w:rsidRPr="00760BD3" w:rsidRDefault="00F00C5A" w:rsidP="00B34329"/>
                        </w:txbxContent>
                      </wps:txbx>
                      <wps:bodyPr rot="0" vert="horz" wrap="square" lIns="91440" tIns="45720" rIns="91440" bIns="45720" anchor="t" anchorCtr="0" upright="1">
                        <a:noAutofit/>
                      </wps:bodyPr>
                    </wps:wsp>
                  </a:graphicData>
                </a:graphic>
              </wp:inline>
            </w:drawing>
          </mc:Choice>
          <mc:Fallback>
            <w:pict>
              <v:shapetype w14:anchorId="2A9AB92E" id="_x0000_t202" coordsize="21600,21600" o:spt="202" path="m,l,21600r21600,l21600,xe">
                <v:stroke joinstyle="miter"/>
                <v:path gradientshapeok="t" o:connecttype="rect"/>
              </v:shapetype>
              <v:shape id="_x0000_s1027" type="#_x0000_t202" style="width:453.6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">
                <v:textbox>
                  <w:txbxContent>
                    <w:p w14:paraId="0BF23671" w14:textId="77777777" w:rsidR="00F00C5A" w:rsidRDefault="00F00C5A" w:rsidP="00B34329">
                      <w:pPr>
                        <w:spacing w:after="0" w:line="240" w:lineRule="auto"/>
                        <w:ind w:left="1287" w:hanging="720"/>
                        <w:rPr>
                          <w:rFonts w:eastAsia="Batang"/>
                          <w:b/>
                          <w:szCs w:val="20"/>
                          <w:highlight w:val="green"/>
                          <w:lang w:val="en-GB" w:eastAsia="x-none"/>
                        </w:rPr>
                      </w:pPr>
                      <w:r>
                        <w:rPr>
                          <w:rFonts w:eastAsia="Batang"/>
                          <w:b/>
                          <w:szCs w:val="20"/>
                          <w:highlight w:val="green"/>
                          <w:lang w:val="en-GB" w:eastAsia="x-none"/>
                        </w:rPr>
                        <w:t>Agreement</w:t>
                      </w:r>
                    </w:p>
                    <w:p w14:paraId="661F3330" w14:textId="77777777" w:rsidR="00F00C5A" w:rsidRDefault="00F00C5A" w:rsidP="00B34329">
                      <w:pPr>
                        <w:pStyle w:val="BodyText"/>
                        <w:ind w:left="567"/>
                        <w:rPr>
                          <w:rFonts w:asciiTheme="minorHAnsi" w:eastAsiaTheme="minorHAnsi" w:hAnsiTheme="minorHAnsi" w:cstheme="minorBidi"/>
                          <w:sz w:val="22"/>
                          <w:szCs w:val="22"/>
                          <w:lang w:val="en-AU"/>
                        </w:rPr>
                      </w:pPr>
                      <w:r>
                        <w:rPr>
                          <w:rFonts w:ascii="Times" w:eastAsia="Batang" w:hAnsi="Times"/>
                          <w:szCs w:val="20"/>
                          <w:lang w:val="en-GB"/>
                        </w:rPr>
                        <w:t>Clarify Rel-15 NR PUSCH power scaling specifications such that per-PA full power capacity for all PAs in the UE is NOT required for any MIMO UE capability.</w:t>
                      </w:r>
                    </w:p>
                    <w:p w14:paraId="7471F2AD" w14:textId="77777777" w:rsidR="00F00C5A" w:rsidRPr="00E37A4C" w:rsidRDefault="00F00C5A" w:rsidP="00B34329">
                      <w:pPr>
                        <w:rPr>
                          <w:lang w:val="en-AU"/>
                        </w:rPr>
                      </w:pPr>
                      <w:r w:rsidRPr="00E37A4C">
                        <w:rPr>
                          <w:lang w:val="en-AU"/>
                        </w:rPr>
                        <w:t xml:space="preserve">. </w:t>
                      </w:r>
                    </w:p>
                    <w:p w14:paraId="5277CAB0" w14:textId="77777777" w:rsidR="00F00C5A" w:rsidRPr="00760BD3" w:rsidRDefault="00F00C5A" w:rsidP="00B34329"/>
                  </w:txbxContent>
                </v:textbox>
                <w10:anchorlock/>
              </v:shape>
            </w:pict>
          </mc:Fallback>
        </mc:AlternateContent>
      </w:r>
    </w:p>
    <w:p w14:paraId="69F2C04C" w14:textId="5B5954AC" w:rsidR="00481AAB" w:rsidRDefault="00481AAB" w:rsidP="00481AAB">
      <w:pPr>
        <w:rPr>
          <w:lang w:val="en-AU"/>
        </w:rPr>
      </w:pPr>
      <w:r>
        <w:rPr>
          <w:lang w:val="en-AU"/>
        </w:rPr>
        <w:t xml:space="preserve">Therefore, we think that Alt 3 and Alt </w:t>
      </w:r>
      <w:r w:rsidR="00B34329">
        <w:rPr>
          <w:lang w:val="en-AU"/>
        </w:rPr>
        <w:t xml:space="preserve">5 </w:t>
      </w:r>
      <w:r>
        <w:rPr>
          <w:lang w:val="en-AU"/>
        </w:rPr>
        <w:t>are not suitable for Rel-15.</w:t>
      </w:r>
    </w:p>
    <w:p w14:paraId="7283E71E" w14:textId="0FF66890" w:rsidR="00481AAB" w:rsidRDefault="00481AAB" w:rsidP="00481AAB">
      <w:pPr>
        <w:rPr>
          <w:lang w:val="en-AU"/>
        </w:rPr>
      </w:pPr>
      <w:r>
        <w:rPr>
          <w:lang w:val="en-AU"/>
        </w:rPr>
        <w:t xml:space="preserve">There are two UE capabilities related to the maximum number of PUSCH layers a UE may transmit.  One is UE feature 2-14 or 2-15 component 1 on the maximum number of supported layers for PUSCH using codebook or non-codebook based operation, respectively.  The other is the maximum number of simultaneously transmitted SRS ports per SRS resource.  This is given independently of codebook and non-codebook based operation (and more generally from the RRC parameter </w:t>
      </w:r>
      <w:r>
        <w:rPr>
          <w:i/>
          <w:lang w:val="en-AU"/>
        </w:rPr>
        <w:t>SRS-SetUse</w:t>
      </w:r>
      <w:r>
        <w:rPr>
          <w:lang w:val="en-AU"/>
        </w:rPr>
        <w:t xml:space="preserve"> identifying the use the SRS is associated with) as component 7 of feature 2-53. In the case of codebook based operation, the maximum number of simultaneous SRS ports may identify the number of Tx chains that the UE can use to transmit its PUSCH layers.  With this interpretation, a UE could be capable of transmitting at most 1 layer, and could use the rank 1 codebook, but not the other ranks.  Since the codebook is configured by the parameter </w:t>
      </w:r>
      <w:r>
        <w:rPr>
          <w:i/>
          <w:lang w:val="en-AU"/>
        </w:rPr>
        <w:t>nrofSRS-Ports</w:t>
      </w:r>
      <w:r>
        <w:rPr>
          <w:lang w:val="en-AU"/>
        </w:rPr>
        <w:t xml:space="preserve">, this operation is supported in NR.   Such a situation seems most likely when codebook based operation is used for antenna selection, since coherent operation implies that the UE should be capable of transmitting layers on all its Tx chains simultaneously.  </w:t>
      </w:r>
    </w:p>
    <w:p w14:paraId="49464F6D" w14:textId="7B161EC5" w:rsidR="00481AAB" w:rsidRDefault="00481AAB" w:rsidP="00481AAB">
      <w:pPr>
        <w:rPr>
          <w:lang w:val="en-AU"/>
        </w:rPr>
      </w:pPr>
      <w:r>
        <w:rPr>
          <w:lang w:val="en-AU"/>
        </w:rPr>
        <w:t xml:space="preserve">Given that UE implementations will support a lesser maximum number of layers than their Tx chains, it seems reasonable to use the maximum number of SRS ports in one SRS resource supported by the UE in 2-53 as the scale factor to determine the power split among PAs for codebook based operation.  This somewhat stretches the definition of 2-53, since it does not explicitly relate to codebook based operation, but avoids defining another UE capability, and seems sufficient.  Therefore, Alt </w:t>
      </w:r>
      <w:r w:rsidR="009F05BB">
        <w:rPr>
          <w:lang w:val="en-AU"/>
        </w:rPr>
        <w:t xml:space="preserve">2 </w:t>
      </w:r>
      <w:r>
        <w:rPr>
          <w:lang w:val="en-AU"/>
        </w:rPr>
        <w:t>seems the best alternative for codebook based operation.</w:t>
      </w:r>
    </w:p>
    <w:p w14:paraId="2961E73C" w14:textId="77777777" w:rsidR="00481AAB" w:rsidRDefault="00481AAB" w:rsidP="00481AAB">
      <w:pPr>
        <w:rPr>
          <w:lang w:val="en-AU"/>
        </w:rPr>
      </w:pPr>
      <w:r>
        <w:rPr>
          <w:lang w:val="en-AU"/>
        </w:rPr>
        <w:t xml:space="preserve">Then considering non-codebook based operation, there is another UE feature that sets the maximum number of simultaneous transmitted SRS resources at one symbol (2-15 component 3).  This can be used to identify the number of simultaneously operating Tx chains for non-codebook based operation, similar to how 2-53 is used for codebook based operation.  Then the number of PUSCH layers a non-codebook based UE can support can also be fewer than its number of Tx chains.  Again, UE implementations that would benefit most from this are those supporting antenna selection.  </w:t>
      </w:r>
    </w:p>
    <w:p w14:paraId="2BF0AC16" w14:textId="2029D0B5" w:rsidR="00481AAB" w:rsidRDefault="00481AAB" w:rsidP="00481AAB">
      <w:pPr>
        <w:rPr>
          <w:lang w:val="en-AU"/>
        </w:rPr>
      </w:pPr>
      <w:r>
        <w:rPr>
          <w:lang w:val="en-AU"/>
        </w:rPr>
        <w:t xml:space="preserve">Alt 4 and Alt </w:t>
      </w:r>
      <w:r w:rsidR="004B7C24">
        <w:rPr>
          <w:lang w:val="en-AU"/>
        </w:rPr>
        <w:t xml:space="preserve">6 </w:t>
      </w:r>
      <w:r>
        <w:rPr>
          <w:lang w:val="en-AU"/>
        </w:rPr>
        <w:t xml:space="preserve">come from somewhat different angles for non-codebook operation.  Alt 4 seems to target multipanel operation where only one panel can transmit at a time but at full power, whereas Alt </w:t>
      </w:r>
      <w:r w:rsidR="004B7C24">
        <w:rPr>
          <w:lang w:val="en-AU"/>
        </w:rPr>
        <w:t xml:space="preserve">6 </w:t>
      </w:r>
      <w:r>
        <w:rPr>
          <w:lang w:val="en-AU"/>
        </w:rPr>
        <w:t xml:space="preserve">assumes that power is split across panels as well as across Tx chains in a panel.  In this case the maximum number of </w:t>
      </w:r>
      <w:r>
        <w:rPr>
          <w:lang w:val="en-AU"/>
        </w:rPr>
        <w:lastRenderedPageBreak/>
        <w:t xml:space="preserve">simultaneous SRS resources may be less than the maximum number of SRS resources it can be configured for in non-codebook based operation.  In such a case, the UE should be able to transmit at full power on each panel, and so dividing the Tx power by the maximum number of SRS resources it supports (as in Alt </w:t>
      </w:r>
      <w:r w:rsidR="004B7C24">
        <w:rPr>
          <w:lang w:val="en-AU"/>
        </w:rPr>
        <w:t>6</w:t>
      </w:r>
      <w:r>
        <w:rPr>
          <w:lang w:val="en-AU"/>
        </w:rPr>
        <w:t xml:space="preserve">) in a set would result in too low a power per panel.  For example, if a UE supports 4 SRS resources per set, but can transmit only two layers on one of two panels, it should not have the total power for one layer transmission divided by 4 (with power split across both panels), but by 2 (where full power is available from each panel, but only half power is available per Tx chain per panel).  If this is the intention of Alt 4, then </w:t>
      </w:r>
      <w:r w:rsidR="00EE6ACC">
        <w:rPr>
          <w:lang w:val="en-AU"/>
        </w:rPr>
        <w:t>A</w:t>
      </w:r>
      <w:r>
        <w:rPr>
          <w:lang w:val="en-AU"/>
        </w:rPr>
        <w:t xml:space="preserve">lt 4 should be phrased as the ‘maximum number of SRS resources per set divided by the maximum number of simultaneously transmitted SRS resources at one symbol’.   Then whether Alt 4 or Alt </w:t>
      </w:r>
      <w:r w:rsidR="004B7C24">
        <w:rPr>
          <w:lang w:val="en-AU"/>
        </w:rPr>
        <w:t xml:space="preserve">6 </w:t>
      </w:r>
      <w:r>
        <w:rPr>
          <w:lang w:val="en-AU"/>
        </w:rPr>
        <w:t>is suitable for UE implementation is not immediately clear to us, and further discussion is needed between these two alternatives.</w:t>
      </w:r>
    </w:p>
    <w:p w14:paraId="4B067FD0" w14:textId="77777777" w:rsidR="00481AAB" w:rsidRDefault="00481AAB" w:rsidP="00481AAB">
      <w:pPr>
        <w:spacing w:after="0"/>
        <w:rPr>
          <w:lang w:val="en-AU"/>
        </w:rPr>
      </w:pPr>
      <w:r>
        <w:rPr>
          <w:b/>
          <w:lang w:val="en-AU"/>
        </w:rPr>
        <w:t>Observations</w:t>
      </w:r>
      <w:r>
        <w:rPr>
          <w:lang w:val="en-AU"/>
        </w:rPr>
        <w:t>:</w:t>
      </w:r>
    </w:p>
    <w:p w14:paraId="536234C4" w14:textId="7F388099" w:rsidR="00481AAB" w:rsidRDefault="00481AAB" w:rsidP="00481AAB">
      <w:pPr>
        <w:pStyle w:val="ListParagraph"/>
        <w:numPr>
          <w:ilvl w:val="0"/>
          <w:numId w:val="31"/>
        </w:numPr>
        <w:spacing w:after="180" w:line="256" w:lineRule="auto"/>
        <w:rPr>
          <w:lang w:val="en-AU"/>
        </w:rPr>
      </w:pPr>
      <w:r>
        <w:rPr>
          <w:lang w:val="en-AU"/>
        </w:rPr>
        <w:t xml:space="preserve">Alts 3 and </w:t>
      </w:r>
      <w:r w:rsidR="004B7C24">
        <w:rPr>
          <w:lang w:val="en-AU"/>
        </w:rPr>
        <w:t xml:space="preserve">5 </w:t>
      </w:r>
      <w:r>
        <w:rPr>
          <w:lang w:val="en-AU"/>
        </w:rPr>
        <w:t>imply that PA power requirements can grow according to how the UE is configured, and so are not suitable for Rel-15.</w:t>
      </w:r>
    </w:p>
    <w:p w14:paraId="798F13BF" w14:textId="77777777" w:rsidR="00481AAB" w:rsidRDefault="00481AAB" w:rsidP="00481AAB">
      <w:pPr>
        <w:pStyle w:val="ListParagraph"/>
        <w:numPr>
          <w:ilvl w:val="0"/>
          <w:numId w:val="31"/>
        </w:numPr>
        <w:spacing w:after="180" w:line="256" w:lineRule="auto"/>
        <w:rPr>
          <w:lang w:val="en-AU"/>
        </w:rPr>
      </w:pPr>
      <w:r>
        <w:rPr>
          <w:lang w:val="en-AU"/>
        </w:rPr>
        <w:t>Alt 2 for codebook based operation supports cases where the number of Tx chains can be greater than the number of layers, and so allows more UE design freedom than Alt 1.</w:t>
      </w:r>
    </w:p>
    <w:p w14:paraId="00F590B5" w14:textId="66342A7C" w:rsidR="00481AAB" w:rsidRDefault="00481AAB" w:rsidP="00481AAB">
      <w:pPr>
        <w:pStyle w:val="ListParagraph"/>
        <w:numPr>
          <w:ilvl w:val="0"/>
          <w:numId w:val="31"/>
        </w:numPr>
        <w:spacing w:after="180" w:line="256" w:lineRule="auto"/>
        <w:rPr>
          <w:lang w:val="en-AU"/>
        </w:rPr>
      </w:pPr>
      <w:r>
        <w:rPr>
          <w:lang w:val="en-AU"/>
        </w:rPr>
        <w:t xml:space="preserve">Alt </w:t>
      </w:r>
      <w:r w:rsidR="004B7C24">
        <w:rPr>
          <w:lang w:val="en-AU"/>
        </w:rPr>
        <w:t xml:space="preserve">6 </w:t>
      </w:r>
      <w:r>
        <w:rPr>
          <w:lang w:val="en-AU"/>
        </w:rPr>
        <w:t>assumes that PA power is split across panels, whereas Alt 4 seems to target the case where one panel at a time can transmit at full power (although power is split among Tx chains in each panel).</w:t>
      </w:r>
    </w:p>
    <w:p w14:paraId="5F7EEF8B" w14:textId="77777777" w:rsidR="007C2B63" w:rsidRDefault="007C2B63" w:rsidP="007C2B63">
      <w:pPr>
        <w:spacing w:after="0"/>
        <w:rPr>
          <w:lang w:val="en-AU"/>
        </w:rPr>
      </w:pPr>
      <w:r>
        <w:rPr>
          <w:b/>
          <w:lang w:val="en-AU"/>
        </w:rPr>
        <w:t>Proposals</w:t>
      </w:r>
      <w:r>
        <w:rPr>
          <w:lang w:val="en-AU"/>
        </w:rPr>
        <w:t>:</w:t>
      </w:r>
    </w:p>
    <w:p w14:paraId="23B88336" w14:textId="77777777" w:rsidR="007C2B63" w:rsidRPr="009F4B0F" w:rsidRDefault="007C2B63" w:rsidP="007C2B63">
      <w:pPr>
        <w:pStyle w:val="ListParagraph"/>
        <w:numPr>
          <w:ilvl w:val="0"/>
          <w:numId w:val="32"/>
        </w:numPr>
        <w:spacing w:after="180" w:line="256" w:lineRule="auto"/>
        <w:rPr>
          <w:lang w:val="en-AU"/>
        </w:rPr>
      </w:pPr>
      <w:r w:rsidRPr="009F4B0F">
        <w:rPr>
          <w:lang w:val="en-AU"/>
        </w:rPr>
        <w:t xml:space="preserve">Alt 2 is used for </w:t>
      </w:r>
      <w:r>
        <w:rPr>
          <w:lang w:val="en-AU"/>
        </w:rPr>
        <w:t xml:space="preserve">PUSCH transmissions made using </w:t>
      </w:r>
      <w:proofErr w:type="gramStart"/>
      <w:r w:rsidRPr="009F4B0F">
        <w:rPr>
          <w:lang w:val="en-AU"/>
        </w:rPr>
        <w:t>codebook based</w:t>
      </w:r>
      <w:proofErr w:type="gramEnd"/>
      <w:r w:rsidRPr="009F4B0F">
        <w:rPr>
          <w:lang w:val="en-AU"/>
        </w:rPr>
        <w:t xml:space="preserve"> operation, i.e.,</w:t>
      </w:r>
    </w:p>
    <w:p w14:paraId="788E6EAE" w14:textId="77777777" w:rsidR="007C2B63" w:rsidRPr="009F4B0F" w:rsidRDefault="007C2B63" w:rsidP="007C2B63">
      <w:pPr>
        <w:pStyle w:val="ListParagraph"/>
        <w:numPr>
          <w:ilvl w:val="1"/>
          <w:numId w:val="32"/>
        </w:numPr>
        <w:spacing w:after="180" w:line="256" w:lineRule="auto"/>
        <w:rPr>
          <w:lang w:val="en-AU"/>
        </w:rPr>
      </w:pPr>
      <w:r w:rsidRPr="009F4B0F">
        <w:rPr>
          <w:lang w:val="en-AU"/>
        </w:rPr>
        <w:t>replace ‘</w:t>
      </w:r>
      <w:r w:rsidRPr="009F4B0F">
        <w:rPr>
          <w:i/>
          <w:lang w:val="en-AU"/>
        </w:rPr>
        <w:t>number of configured antenna ports for the transmission scheme</w:t>
      </w:r>
      <w:r w:rsidRPr="009F4B0F">
        <w:rPr>
          <w:lang w:val="en-AU"/>
        </w:rPr>
        <w:t>’ in 38.213 with ‘</w:t>
      </w:r>
      <w:r w:rsidRPr="009F4B0F">
        <w:rPr>
          <w:i/>
          <w:lang w:val="en-AU"/>
        </w:rPr>
        <w:t xml:space="preserve">the maximum number of SRS ports in one SRS resource supported by the UE when the higher layer parameter </w:t>
      </w:r>
      <w:proofErr w:type="spellStart"/>
      <w:r w:rsidRPr="009F4B0F">
        <w:rPr>
          <w:i/>
          <w:lang w:val="en-AU"/>
        </w:rPr>
        <w:t>txConfig</w:t>
      </w:r>
      <w:proofErr w:type="spellEnd"/>
      <w:r w:rsidRPr="009F4B0F">
        <w:rPr>
          <w:i/>
          <w:lang w:val="en-AU"/>
        </w:rPr>
        <w:t xml:space="preserve"> in PUSCH-Config is set to 'codebook</w:t>
      </w:r>
      <w:proofErr w:type="gramStart"/>
      <w:r w:rsidRPr="009F4B0F">
        <w:rPr>
          <w:lang w:val="en-AU"/>
        </w:rPr>
        <w:t>' ’</w:t>
      </w:r>
      <w:proofErr w:type="gramEnd"/>
    </w:p>
    <w:p w14:paraId="0B38EEAB" w14:textId="77777777" w:rsidR="007C2B63" w:rsidRPr="009F4B0F" w:rsidRDefault="007C2B63" w:rsidP="007C2B63">
      <w:pPr>
        <w:pStyle w:val="ListParagraph"/>
        <w:numPr>
          <w:ilvl w:val="0"/>
          <w:numId w:val="32"/>
        </w:numPr>
        <w:spacing w:after="180" w:line="256" w:lineRule="auto"/>
        <w:rPr>
          <w:lang w:val="en-AU"/>
        </w:rPr>
      </w:pPr>
      <w:r w:rsidRPr="009F4B0F">
        <w:rPr>
          <w:lang w:val="en-AU"/>
        </w:rPr>
        <w:t xml:space="preserve">Clarify Alt 4 from </w:t>
      </w:r>
    </w:p>
    <w:p w14:paraId="2228C780" w14:textId="77777777" w:rsidR="007C2B63" w:rsidRPr="009F4B0F" w:rsidRDefault="007C2B63" w:rsidP="007C2B63">
      <w:pPr>
        <w:pStyle w:val="ListParagraph"/>
        <w:numPr>
          <w:ilvl w:val="1"/>
          <w:numId w:val="32"/>
        </w:numPr>
        <w:spacing w:after="180" w:line="256" w:lineRule="auto"/>
        <w:rPr>
          <w:lang w:val="en-AU"/>
        </w:rPr>
      </w:pPr>
      <w:r w:rsidRPr="009F4B0F">
        <w:rPr>
          <w:lang w:val="en-AU"/>
        </w:rPr>
        <w:t xml:space="preserve">“the maximum number of supported layers for the non-codebook transmission scheme divided by the maximum number of simultaneously transmitted SRS resources in one symbol for the non-codebook transmission scheme when the higher layer parameter </w:t>
      </w:r>
      <w:proofErr w:type="spellStart"/>
      <w:r w:rsidRPr="009F4B0F">
        <w:rPr>
          <w:i/>
          <w:lang w:val="en-AU"/>
        </w:rPr>
        <w:t>txConfig</w:t>
      </w:r>
      <w:proofErr w:type="spellEnd"/>
      <w:r w:rsidRPr="009F4B0F">
        <w:rPr>
          <w:lang w:val="en-AU"/>
        </w:rPr>
        <w:t xml:space="preserve"> in </w:t>
      </w:r>
      <w:r w:rsidRPr="009F4B0F">
        <w:rPr>
          <w:i/>
          <w:lang w:val="en-AU"/>
        </w:rPr>
        <w:t>PUSCH-Config</w:t>
      </w:r>
      <w:r w:rsidRPr="009F4B0F">
        <w:rPr>
          <w:lang w:val="en-AU"/>
        </w:rPr>
        <w:t xml:space="preserve"> is set to ‘</w:t>
      </w:r>
      <w:proofErr w:type="spellStart"/>
      <w:r w:rsidRPr="009F4B0F">
        <w:rPr>
          <w:lang w:val="en-AU"/>
        </w:rPr>
        <w:t>nonCodebook</w:t>
      </w:r>
      <w:proofErr w:type="spellEnd"/>
      <w:r w:rsidRPr="009F4B0F">
        <w:rPr>
          <w:lang w:val="en-AU"/>
        </w:rPr>
        <w:t>'”</w:t>
      </w:r>
    </w:p>
    <w:p w14:paraId="117A47E1" w14:textId="77777777" w:rsidR="007C2B63" w:rsidRPr="009F4B0F" w:rsidRDefault="007C2B63" w:rsidP="007C2B63">
      <w:pPr>
        <w:pStyle w:val="ListParagraph"/>
        <w:spacing w:after="180" w:line="256" w:lineRule="auto"/>
        <w:ind w:left="1440"/>
        <w:rPr>
          <w:lang w:val="en-AU"/>
        </w:rPr>
      </w:pPr>
      <w:r w:rsidRPr="009F4B0F">
        <w:rPr>
          <w:lang w:val="en-AU"/>
        </w:rPr>
        <w:t xml:space="preserve">to </w:t>
      </w:r>
    </w:p>
    <w:p w14:paraId="1B243611" w14:textId="77777777" w:rsidR="007C2B63" w:rsidRPr="009F4B0F" w:rsidRDefault="007C2B63" w:rsidP="007C2B63">
      <w:pPr>
        <w:pStyle w:val="ListParagraph"/>
        <w:numPr>
          <w:ilvl w:val="1"/>
          <w:numId w:val="32"/>
        </w:numPr>
        <w:spacing w:after="180" w:line="256" w:lineRule="auto"/>
        <w:rPr>
          <w:lang w:val="en-AU"/>
        </w:rPr>
      </w:pPr>
      <w:r w:rsidRPr="009F4B0F">
        <w:rPr>
          <w:lang w:val="en-AU"/>
        </w:rPr>
        <w:t>“the maximum number of SRS resources in SRS-</w:t>
      </w:r>
      <w:proofErr w:type="spellStart"/>
      <w:r w:rsidRPr="009F4B0F">
        <w:rPr>
          <w:lang w:val="en-AU"/>
        </w:rPr>
        <w:t>ResourceSet</w:t>
      </w:r>
      <w:proofErr w:type="spellEnd"/>
      <w:r w:rsidRPr="009F4B0F">
        <w:rPr>
          <w:lang w:val="en-AU"/>
        </w:rPr>
        <w:t xml:space="preserve"> configured with usage set to '</w:t>
      </w:r>
      <w:proofErr w:type="spellStart"/>
      <w:r w:rsidRPr="009F4B0F">
        <w:rPr>
          <w:lang w:val="en-AU"/>
        </w:rPr>
        <w:t>nonCodebook</w:t>
      </w:r>
      <w:proofErr w:type="spellEnd"/>
      <w:r w:rsidRPr="009F4B0F">
        <w:rPr>
          <w:lang w:val="en-AU"/>
        </w:rPr>
        <w:t xml:space="preserve">’ supported by the UE with divided by the maximum number of simultaneously transmitted SRS resources in one symbol for the non-codebook transmission scheme when the higher layer parameter </w:t>
      </w:r>
      <w:proofErr w:type="spellStart"/>
      <w:r w:rsidRPr="009F4B0F">
        <w:rPr>
          <w:lang w:val="en-AU"/>
        </w:rPr>
        <w:t>txConfig</w:t>
      </w:r>
      <w:proofErr w:type="spellEnd"/>
      <w:r w:rsidRPr="009F4B0F">
        <w:rPr>
          <w:lang w:val="en-AU"/>
        </w:rPr>
        <w:t xml:space="preserve"> in PUSCH-Config is set to ‘</w:t>
      </w:r>
      <w:proofErr w:type="spellStart"/>
      <w:r w:rsidRPr="009F4B0F">
        <w:rPr>
          <w:lang w:val="en-AU"/>
        </w:rPr>
        <w:t>nonCodebook</w:t>
      </w:r>
      <w:proofErr w:type="spellEnd"/>
      <w:r w:rsidRPr="009F4B0F">
        <w:rPr>
          <w:lang w:val="en-AU"/>
        </w:rPr>
        <w:t>'”</w:t>
      </w:r>
    </w:p>
    <w:p w14:paraId="573AEDE9" w14:textId="77777777" w:rsidR="007C2B63" w:rsidRDefault="007C2B63" w:rsidP="007C2B63">
      <w:pPr>
        <w:pStyle w:val="ListParagraph"/>
        <w:numPr>
          <w:ilvl w:val="0"/>
          <w:numId w:val="32"/>
        </w:numPr>
        <w:spacing w:after="180" w:line="256" w:lineRule="auto"/>
        <w:rPr>
          <w:lang w:val="en-AU"/>
        </w:rPr>
      </w:pPr>
      <w:r w:rsidRPr="009F4B0F">
        <w:rPr>
          <w:lang w:val="en-AU"/>
        </w:rPr>
        <w:t>Discuss further whether to select either the revised Alt 4 or Alt 6</w:t>
      </w:r>
      <w:r>
        <w:rPr>
          <w:lang w:val="en-AU"/>
        </w:rPr>
        <w:t xml:space="preserve"> for PUSCH transmissions made using non-</w:t>
      </w:r>
      <w:proofErr w:type="gramStart"/>
      <w:r>
        <w:rPr>
          <w:lang w:val="en-AU"/>
        </w:rPr>
        <w:t>codebook based</w:t>
      </w:r>
      <w:proofErr w:type="gramEnd"/>
      <w:r>
        <w:rPr>
          <w:lang w:val="en-AU"/>
        </w:rPr>
        <w:t xml:space="preserve"> operation</w:t>
      </w:r>
      <w:r w:rsidRPr="009F4B0F">
        <w:rPr>
          <w:lang w:val="en-AU"/>
        </w:rPr>
        <w:t>.</w:t>
      </w:r>
    </w:p>
    <w:p w14:paraId="0AC5E548" w14:textId="77777777" w:rsidR="007C2B63" w:rsidRPr="009F4B0F" w:rsidRDefault="007C2B63" w:rsidP="007C2B63">
      <w:pPr>
        <w:pStyle w:val="ListParagraph"/>
        <w:numPr>
          <w:ilvl w:val="1"/>
          <w:numId w:val="32"/>
        </w:numPr>
        <w:spacing w:after="180" w:line="256" w:lineRule="auto"/>
        <w:rPr>
          <w:lang w:val="en-AU"/>
        </w:rPr>
      </w:pPr>
      <w:r>
        <w:rPr>
          <w:lang w:val="en-AU"/>
        </w:rPr>
        <w:t xml:space="preserve">Revised Alt4 - </w:t>
      </w:r>
      <w:r w:rsidRPr="009F4B0F">
        <w:rPr>
          <w:lang w:val="en-AU"/>
        </w:rPr>
        <w:t>“the maximum number of SRS resources in SRS-</w:t>
      </w:r>
      <w:proofErr w:type="spellStart"/>
      <w:r w:rsidRPr="009F4B0F">
        <w:rPr>
          <w:lang w:val="en-AU"/>
        </w:rPr>
        <w:t>ResourceSet</w:t>
      </w:r>
      <w:proofErr w:type="spellEnd"/>
      <w:r w:rsidRPr="009F4B0F">
        <w:rPr>
          <w:lang w:val="en-AU"/>
        </w:rPr>
        <w:t xml:space="preserve"> configured with usage set to '</w:t>
      </w:r>
      <w:proofErr w:type="spellStart"/>
      <w:r w:rsidRPr="009F4B0F">
        <w:rPr>
          <w:lang w:val="en-AU"/>
        </w:rPr>
        <w:t>nonCodebook</w:t>
      </w:r>
      <w:proofErr w:type="spellEnd"/>
      <w:r w:rsidRPr="009F4B0F">
        <w:rPr>
          <w:lang w:val="en-AU"/>
        </w:rPr>
        <w:t xml:space="preserve">’ supported by the UE with divided by the maximum number of simultaneously transmitted SRS resources in one symbol for the non-codebook transmission scheme when the higher layer parameter </w:t>
      </w:r>
      <w:proofErr w:type="spellStart"/>
      <w:r w:rsidRPr="009F4B0F">
        <w:rPr>
          <w:lang w:val="en-AU"/>
        </w:rPr>
        <w:t>txConfig</w:t>
      </w:r>
      <w:proofErr w:type="spellEnd"/>
      <w:r w:rsidRPr="009F4B0F">
        <w:rPr>
          <w:lang w:val="en-AU"/>
        </w:rPr>
        <w:t xml:space="preserve"> in PUSCH-Config is set to ‘</w:t>
      </w:r>
      <w:proofErr w:type="spellStart"/>
      <w:r w:rsidRPr="009F4B0F">
        <w:rPr>
          <w:lang w:val="en-AU"/>
        </w:rPr>
        <w:t>nonCodebook</w:t>
      </w:r>
      <w:proofErr w:type="spellEnd"/>
      <w:r w:rsidRPr="009F4B0F">
        <w:rPr>
          <w:lang w:val="en-AU"/>
        </w:rPr>
        <w:t>'”</w:t>
      </w:r>
    </w:p>
    <w:p w14:paraId="64F9A244" w14:textId="77777777" w:rsidR="007C2B63" w:rsidRPr="009F4B0F" w:rsidRDefault="007C2B63" w:rsidP="007C2B63">
      <w:pPr>
        <w:pStyle w:val="ListParagraph"/>
        <w:numPr>
          <w:ilvl w:val="1"/>
          <w:numId w:val="32"/>
        </w:numPr>
        <w:spacing w:after="180" w:line="256" w:lineRule="auto"/>
        <w:rPr>
          <w:lang w:val="en-AU"/>
        </w:rPr>
      </w:pPr>
      <w:r>
        <w:rPr>
          <w:lang w:val="en-AU"/>
        </w:rPr>
        <w:t>Alt 6 – “</w:t>
      </w:r>
      <w:r w:rsidRPr="009F4B0F">
        <w:rPr>
          <w:i/>
          <w:lang w:val="en-AU"/>
        </w:rPr>
        <w:t>the supported maximum number of SRS resource per SRS resource set with usage set to '</w:t>
      </w:r>
      <w:proofErr w:type="spellStart"/>
      <w:r w:rsidRPr="009F4B0F">
        <w:rPr>
          <w:i/>
          <w:lang w:val="en-AU"/>
        </w:rPr>
        <w:t>nonCodebook</w:t>
      </w:r>
      <w:proofErr w:type="spellEnd"/>
      <w:proofErr w:type="gramStart"/>
      <w:r w:rsidRPr="009F4B0F">
        <w:rPr>
          <w:i/>
          <w:lang w:val="en-AU"/>
        </w:rPr>
        <w:t>'</w:t>
      </w:r>
      <w:r>
        <w:rPr>
          <w:rFonts w:ascii="Arial" w:hAnsi="Arial" w:cs="Arial"/>
          <w:lang w:val="en-AU"/>
        </w:rPr>
        <w:t> </w:t>
      </w:r>
      <w:r>
        <w:rPr>
          <w:lang w:val="en-AU"/>
        </w:rPr>
        <w:t>”</w:t>
      </w:r>
      <w:proofErr w:type="gramEnd"/>
    </w:p>
    <w:p w14:paraId="00DC77A3" w14:textId="271D5CB9" w:rsidR="00D1296D" w:rsidRPr="00836E6C" w:rsidRDefault="00FB74C9" w:rsidP="00D1296D">
      <w:pPr>
        <w:pStyle w:val="Heading2"/>
        <w:rPr>
          <w:u w:val="single"/>
        </w:rPr>
      </w:pPr>
      <w:bookmarkStart w:id="4" w:name="_GoBack"/>
      <w:bookmarkEnd w:id="4"/>
      <w:r>
        <w:rPr>
          <w:u w:val="single"/>
        </w:rPr>
        <w:t>Clarification related to s</w:t>
      </w:r>
      <w:r w:rsidR="00D1296D">
        <w:rPr>
          <w:u w:val="single"/>
        </w:rPr>
        <w:t>caling of SRS transmission power for UL-MIMO</w:t>
      </w:r>
    </w:p>
    <w:p w14:paraId="6962E2B7" w14:textId="3D00AB4B" w:rsidR="00D1296D" w:rsidRDefault="00C25D54" w:rsidP="001270EA">
      <w:r>
        <w:rPr>
          <w:noProof/>
        </w:rPr>
        <mc:AlternateContent>
          <mc:Choice Requires="wps">
            <w:drawing>
              <wp:anchor distT="45720" distB="45720" distL="114300" distR="114300" simplePos="0" relativeHeight="3" behindDoc="0" locked="0" layoutInCell="1" allowOverlap="1" wp14:anchorId="63819C9D" wp14:editId="7E6220E0">
                <wp:simplePos x="0" y="0"/>
                <wp:positionH relativeFrom="margin">
                  <wp:align>left</wp:align>
                </wp:positionH>
                <wp:positionV relativeFrom="paragraph">
                  <wp:posOffset>239395</wp:posOffset>
                </wp:positionV>
                <wp:extent cx="6009640" cy="554990"/>
                <wp:effectExtent l="0" t="0" r="0" b="0"/>
                <wp:wrapSquare wrapText="bothSides"/>
                <wp:docPr id="3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554990"/>
                        </a:xfrm>
                        <a:prstGeom prst="rect">
                          <a:avLst/>
                        </a:prstGeom>
                        <a:solidFill>
                          <a:srgbClr val="FFFFFF"/>
                        </a:solidFill>
                        <a:ln w="9525">
                          <a:solidFill>
                            <a:srgbClr val="000000"/>
                          </a:solidFill>
                          <a:miter lim="800000"/>
                          <a:headEnd/>
                          <a:tailEnd/>
                        </a:ln>
                      </wps:spPr>
                      <wps:txbx>
                        <w:txbxContent>
                          <w:p w14:paraId="0E2F3BF8" w14:textId="77777777" w:rsidR="00F00C5A" w:rsidRPr="00E1638E" w:rsidRDefault="00F00C5A" w:rsidP="007D6833">
                            <w:pPr>
                              <w:rPr>
                                <w:lang w:val="x-none"/>
                              </w:rPr>
                            </w:pPr>
                            <w:r w:rsidRPr="00E1638E">
                              <w:rPr>
                                <w:lang w:val="en-AU" w:eastAsia="zh-CN"/>
                              </w:rPr>
                              <w:t xml:space="preserve">For SRS, the linear value </w:t>
                            </w:r>
                            <w:r w:rsidRPr="00B916EC">
                              <w:rPr>
                                <w:iCs/>
                                <w:position w:val="-12"/>
                              </w:rPr>
                              <w:object w:dxaOrig="1219" w:dyaOrig="360" w14:anchorId="5494C73F">
                                <v:shape id="_x0000_i1035" type="#_x0000_t75" style="width:57.6pt;height:21.6pt" o:ole="">
                                  <v:imagedata r:id="rId27" o:title=""/>
                                </v:shape>
                                <o:OLEObject Type="Embed" ProgID="Equation.3" ShapeID="_x0000_i1035" DrawAspect="Content" ObjectID="_1602683257" r:id="rId2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6AACA828">
                                <v:shape id="_x0000_i1037" type="#_x0000_t75" style="width:57.6pt;height:14.4pt" o:ole="">
                                  <v:imagedata r:id="rId29" o:title=""/>
                                </v:shape>
                                <o:OLEObject Type="Embed" ProgID="Equation.3" ShapeID="_x0000_i1037" DrawAspect="Content" ObjectID="_1602683258" r:id="rId30"/>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w14:anchorId="7CBBF26D">
                                <v:shape id="_x0000_i1039" type="#_x0000_t75" style="width:7.2pt;height:14.4pt" o:ole="">
                                  <v:imagedata r:id="rId31" o:title=""/>
                                </v:shape>
                                <o:OLEObject Type="Embed" ProgID="Equation.3" ShapeID="_x0000_i1039" DrawAspect="Content" ObjectID="_1602683259" r:id="rId32"/>
                              </w:object>
                            </w:r>
                            <w:r>
                              <w:rPr>
                                <w:iCs/>
                              </w:rPr>
                              <w:t xml:space="preserve"> </w:t>
                            </w:r>
                            <w:r>
                              <w:t>of</w:t>
                            </w:r>
                            <w:r w:rsidRPr="00B916EC">
                              <w:t xml:space="preserve"> carrier </w:t>
                            </w:r>
                            <w:r w:rsidRPr="00B916EC">
                              <w:rPr>
                                <w:iCs/>
                                <w:position w:val="-10"/>
                              </w:rPr>
                              <w:object w:dxaOrig="212" w:dyaOrig="309" w14:anchorId="51502F04">
                                <v:shape id="_x0000_i1041" type="#_x0000_t75" style="width:14.4pt;height:14.4pt" o:ole="">
                                  <v:imagedata r:id="rId33" o:title=""/>
                                </v:shape>
                                <o:OLEObject Type="Embed" ProgID="Equation.3" ShapeID="_x0000_i1041" DrawAspect="Content" ObjectID="_1602683260" r:id="rId34"/>
                              </w:object>
                            </w:r>
                            <w:r w:rsidRPr="00B916EC">
                              <w:rPr>
                                <w:iCs/>
                              </w:rPr>
                              <w:t xml:space="preserve"> </w:t>
                            </w:r>
                            <w:r w:rsidRPr="00E1638E">
                              <w:rPr>
                                <w:lang w:val="en-AU"/>
                              </w:rPr>
                              <w:t xml:space="preserve">of serving cell </w:t>
                            </w:r>
                            <w:r w:rsidRPr="00B916EC">
                              <w:rPr>
                                <w:position w:val="-6"/>
                              </w:rPr>
                              <w:object w:dxaOrig="135" w:dyaOrig="135" w14:anchorId="0C288A31">
                                <v:shape id="_x0000_i1043" type="#_x0000_t75" style="width:7.2pt;height:7.2pt" o:ole="">
                                  <v:imagedata r:id="rId35" o:title=""/>
                                </v:shape>
                                <o:OLEObject Type="Embed" ProgID="Equation.3" ShapeID="_x0000_i1043" DrawAspect="Content" ObjectID="_1602683261" r:id="rId36"/>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819C9D" id="_x0000_s1028" type="#_x0000_t202" style="position:absolute;margin-left:0;margin-top:18.85pt;width:473.2pt;height:43.7pt;z-index: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">
                <v:textbox>
                  <w:txbxContent>
                    <w:p w14:paraId="0E2F3BF8" w14:textId="77777777" w:rsidR="00F00C5A" w:rsidRPr="00E1638E" w:rsidRDefault="00F00C5A" w:rsidP="007D6833">
                      <w:pPr>
                        <w:rPr>
                          <w:lang w:val="x-none"/>
                        </w:rPr>
                      </w:pPr>
                      <w:r w:rsidRPr="00E1638E">
                        <w:rPr>
                          <w:lang w:val="en-AU" w:eastAsia="zh-CN"/>
                        </w:rPr>
                        <w:t xml:space="preserve">For SRS, the linear value </w:t>
                      </w:r>
                      <w:r w:rsidRPr="00B916EC">
                        <w:rPr>
                          <w:iCs/>
                          <w:position w:val="-12"/>
                        </w:rPr>
                        <w:object w:dxaOrig="1219" w:dyaOrig="360" w14:anchorId="5494C73F">
                          <v:shape id="_x0000_i1035" type="#_x0000_t75" style="width:57.6pt;height:21.9pt" o:ole="">
                            <v:imagedata r:id="rId37" o:title=""/>
                          </v:shape>
                          <o:OLEObject Type="Embed" ProgID="Equation.3" ShapeID="_x0000_i1035" DrawAspect="Content" ObjectID="_1602663516" r:id="rId3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6AACA828">
                          <v:shape id="_x0000_i1037" type="#_x0000_t75" style="width:57.6pt;height:14.4pt" o:ole="">
                            <v:imagedata r:id="rId39" o:title=""/>
                          </v:shape>
                          <o:OLEObject Type="Embed" ProgID="Equation.3" ShapeID="_x0000_i1037" DrawAspect="Content" ObjectID="_1602663517" r:id="rId40"/>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w14:anchorId="7CBBF26D">
                          <v:shape id="_x0000_i1039" type="#_x0000_t75" style="width:7.5pt;height:14.4pt" o:ole="">
                            <v:imagedata r:id="rId41" o:title=""/>
                          </v:shape>
                          <o:OLEObject Type="Embed" ProgID="Equation.3" ShapeID="_x0000_i1039" DrawAspect="Content" ObjectID="_1602663518" r:id="rId42"/>
                        </w:object>
                      </w:r>
                      <w:r>
                        <w:rPr>
                          <w:iCs/>
                        </w:rPr>
                        <w:t xml:space="preserve"> </w:t>
                      </w:r>
                      <w:r>
                        <w:t>of</w:t>
                      </w:r>
                      <w:r w:rsidRPr="00B916EC">
                        <w:t xml:space="preserve"> carrier </w:t>
                      </w:r>
                      <w:r w:rsidRPr="00B916EC">
                        <w:rPr>
                          <w:iCs/>
                          <w:position w:val="-10"/>
                        </w:rPr>
                        <w:object w:dxaOrig="212" w:dyaOrig="309" w14:anchorId="51502F04">
                          <v:shape id="_x0000_i1041" type="#_x0000_t75" style="width:14.4pt;height:14.4pt" o:ole="">
                            <v:imagedata r:id="rId43" o:title=""/>
                          </v:shape>
                          <o:OLEObject Type="Embed" ProgID="Equation.3" ShapeID="_x0000_i1041" DrawAspect="Content" ObjectID="_1602663519" r:id="rId44"/>
                        </w:object>
                      </w:r>
                      <w:r w:rsidRPr="00B916EC">
                        <w:rPr>
                          <w:iCs/>
                        </w:rPr>
                        <w:t xml:space="preserve"> </w:t>
                      </w:r>
                      <w:r w:rsidRPr="00E1638E">
                        <w:rPr>
                          <w:lang w:val="en-AU"/>
                        </w:rPr>
                        <w:t xml:space="preserve">of serving cell </w:t>
                      </w:r>
                      <w:r w:rsidRPr="00B916EC">
                        <w:rPr>
                          <w:position w:val="-6"/>
                        </w:rPr>
                        <w:object w:dxaOrig="135" w:dyaOrig="135" w14:anchorId="0C288A31">
                          <v:shape id="_x0000_i1043" type="#_x0000_t75" style="width:6.9pt;height:6.9pt" o:ole="">
                            <v:imagedata r:id="rId45" o:title=""/>
                          </v:shape>
                          <o:OLEObject Type="Embed" ProgID="Equation.3" ShapeID="_x0000_i1043" DrawAspect="Content" ObjectID="_1602663520" r:id="rId46"/>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007D6833" w:rsidRPr="00864DA6">
        <w:rPr>
          <w:lang w:val="en-AU"/>
        </w:rPr>
        <w:t xml:space="preserve">For </w:t>
      </w:r>
      <w:r w:rsidR="007D6833">
        <w:rPr>
          <w:lang w:val="en-AU"/>
        </w:rPr>
        <w:t>SRS</w:t>
      </w:r>
      <w:r w:rsidR="007D6833" w:rsidRPr="00864DA6">
        <w:rPr>
          <w:lang w:val="en-AU"/>
        </w:rPr>
        <w:t xml:space="preserve"> power control the following is specified in TS 38.213 section 7.</w:t>
      </w:r>
      <w:r w:rsidR="007D6833">
        <w:rPr>
          <w:lang w:val="en-AU"/>
        </w:rPr>
        <w:t>3</w:t>
      </w:r>
      <w:r w:rsidR="007D6833" w:rsidRPr="00864DA6">
        <w:rPr>
          <w:lang w:val="en-AU"/>
        </w:rPr>
        <w:t>:</w:t>
      </w:r>
    </w:p>
    <w:p w14:paraId="56353002" w14:textId="70D4201C" w:rsidR="00D57EE4" w:rsidRDefault="00D57EE4" w:rsidP="00D57EE4">
      <w:pPr>
        <w:rPr>
          <w:lang w:val="en-AU"/>
        </w:rPr>
      </w:pPr>
      <w:r>
        <w:rPr>
          <w:lang w:val="en-AU"/>
        </w:rPr>
        <w:t xml:space="preserve">We find this formulation ambiguous; </w:t>
      </w:r>
      <w:r w:rsidR="00DC7174">
        <w:rPr>
          <w:lang w:val="en-AU"/>
        </w:rPr>
        <w:t xml:space="preserve">consider the following interpretations: </w:t>
      </w:r>
    </w:p>
    <w:p w14:paraId="1C6069F9" w14:textId="2FC33FCF" w:rsidR="00DC7174" w:rsidRDefault="00D57EE4" w:rsidP="00843AFF">
      <w:pPr>
        <w:pStyle w:val="ListParagraph"/>
        <w:numPr>
          <w:ilvl w:val="0"/>
          <w:numId w:val="34"/>
        </w:numPr>
        <w:spacing w:after="180" w:line="259" w:lineRule="auto"/>
        <w:rPr>
          <w:rFonts w:asciiTheme="minorHAnsi" w:hAnsiTheme="minorHAnsi"/>
          <w:lang w:val="en-AU"/>
        </w:rPr>
      </w:pPr>
      <w:r w:rsidRPr="000F5010">
        <w:rPr>
          <w:rFonts w:asciiTheme="minorHAnsi" w:hAnsiTheme="minorHAnsi"/>
          <w:i/>
          <w:lang w:val="en-AU"/>
        </w:rPr>
        <w:t>Split the power equally over all SRS ports transmitted in an OFDM symbol</w:t>
      </w:r>
      <w:r w:rsidR="00DC7174">
        <w:rPr>
          <w:rFonts w:asciiTheme="minorHAnsi" w:hAnsiTheme="minorHAnsi"/>
          <w:lang w:val="en-AU"/>
        </w:rPr>
        <w:t>: This interpretation is feasible</w:t>
      </w:r>
      <w:r w:rsidR="00DC7174" w:rsidRPr="00DC7174">
        <w:rPr>
          <w:rFonts w:asciiTheme="minorHAnsi" w:hAnsiTheme="minorHAnsi"/>
          <w:lang w:val="en-AU"/>
        </w:rPr>
        <w:t xml:space="preserve"> </w:t>
      </w:r>
      <w:r w:rsidR="00DC7174">
        <w:rPr>
          <w:rFonts w:asciiTheme="minorHAnsi" w:hAnsiTheme="minorHAnsi"/>
          <w:lang w:val="en-AU"/>
        </w:rPr>
        <w:t xml:space="preserve">only if full power PAs are used (due to </w:t>
      </w:r>
      <w:r w:rsidR="006E5FA5">
        <w:rPr>
          <w:rFonts w:asciiTheme="minorHAnsi" w:hAnsiTheme="minorHAnsi"/>
          <w:lang w:val="en-AU"/>
        </w:rPr>
        <w:t xml:space="preserve">the </w:t>
      </w:r>
      <w:r w:rsidR="00DC7174">
        <w:rPr>
          <w:rFonts w:asciiTheme="minorHAnsi" w:hAnsiTheme="minorHAnsi"/>
          <w:lang w:val="en-AU"/>
        </w:rPr>
        <w:t xml:space="preserve">non-codebook </w:t>
      </w:r>
      <w:r w:rsidR="006E5FA5">
        <w:rPr>
          <w:rFonts w:asciiTheme="minorHAnsi" w:hAnsiTheme="minorHAnsi"/>
          <w:lang w:val="en-AU"/>
        </w:rPr>
        <w:t xml:space="preserve">case of </w:t>
      </w:r>
      <w:r w:rsidR="00DC7174">
        <w:rPr>
          <w:rFonts w:asciiTheme="minorHAnsi" w:hAnsiTheme="minorHAnsi"/>
          <w:lang w:val="en-AU"/>
        </w:rPr>
        <w:t xml:space="preserve">SRS) which would then go against the design objective agreed on </w:t>
      </w:r>
      <w:r w:rsidR="006E5FA5">
        <w:rPr>
          <w:rFonts w:asciiTheme="minorHAnsi" w:hAnsiTheme="minorHAnsi"/>
          <w:lang w:val="en-AU"/>
        </w:rPr>
        <w:t>for</w:t>
      </w:r>
      <w:r w:rsidR="00DC7174">
        <w:rPr>
          <w:rFonts w:asciiTheme="minorHAnsi" w:hAnsiTheme="minorHAnsi"/>
          <w:lang w:val="en-AU"/>
        </w:rPr>
        <w:t xml:space="preserve"> PUSCH. We therefore find this </w:t>
      </w:r>
      <w:r w:rsidR="006E5FA5">
        <w:rPr>
          <w:rFonts w:asciiTheme="minorHAnsi" w:hAnsiTheme="minorHAnsi"/>
          <w:lang w:val="en-AU"/>
        </w:rPr>
        <w:t>interpretation</w:t>
      </w:r>
      <w:r w:rsidR="00DC7174">
        <w:rPr>
          <w:rFonts w:asciiTheme="minorHAnsi" w:hAnsiTheme="minorHAnsi"/>
          <w:lang w:val="en-AU"/>
        </w:rPr>
        <w:t xml:space="preserve"> infeasible.  </w:t>
      </w:r>
    </w:p>
    <w:p w14:paraId="6C633729" w14:textId="7073A5DD" w:rsidR="00DC7174" w:rsidRDefault="00D57EE4" w:rsidP="00843AFF">
      <w:pPr>
        <w:pStyle w:val="ListParagraph"/>
        <w:numPr>
          <w:ilvl w:val="0"/>
          <w:numId w:val="34"/>
        </w:numPr>
        <w:spacing w:after="180" w:line="259" w:lineRule="auto"/>
        <w:rPr>
          <w:rFonts w:asciiTheme="minorHAnsi" w:hAnsiTheme="minorHAnsi"/>
          <w:lang w:val="en-AU"/>
        </w:rPr>
      </w:pPr>
      <w:r w:rsidRPr="000F5010">
        <w:rPr>
          <w:rFonts w:asciiTheme="minorHAnsi" w:hAnsiTheme="minorHAnsi"/>
          <w:i/>
          <w:lang w:val="en-AU"/>
        </w:rPr>
        <w:lastRenderedPageBreak/>
        <w:t>Split the power equally over all SRS ports within an SRS resource</w:t>
      </w:r>
      <w:r w:rsidR="006E5FA5">
        <w:rPr>
          <w:rFonts w:asciiTheme="minorHAnsi" w:hAnsiTheme="minorHAnsi"/>
          <w:i/>
          <w:lang w:val="en-AU"/>
        </w:rPr>
        <w:t>:</w:t>
      </w:r>
      <w:r w:rsidR="00DC7174">
        <w:rPr>
          <w:rFonts w:asciiTheme="minorHAnsi" w:hAnsiTheme="minorHAnsi"/>
          <w:lang w:val="en-AU"/>
        </w:rPr>
        <w:t xml:space="preserve"> Also, this interpretations would require full power PAs </w:t>
      </w:r>
      <w:r w:rsidR="006E5FA5">
        <w:rPr>
          <w:rFonts w:asciiTheme="minorHAnsi" w:hAnsiTheme="minorHAnsi"/>
          <w:lang w:val="en-AU"/>
        </w:rPr>
        <w:t xml:space="preserve">(due to the non-codebook case of SRS) </w:t>
      </w:r>
      <w:r w:rsidR="00DC7174">
        <w:rPr>
          <w:rFonts w:asciiTheme="minorHAnsi" w:hAnsiTheme="minorHAnsi"/>
          <w:lang w:val="en-AU"/>
        </w:rPr>
        <w:t xml:space="preserve">and is hence not feasible. </w:t>
      </w:r>
    </w:p>
    <w:p w14:paraId="6E2FBDF9" w14:textId="1FAEFBEF" w:rsidR="00D57EE4" w:rsidRPr="000F5010" w:rsidRDefault="00D57EE4" w:rsidP="000F5010">
      <w:pPr>
        <w:pStyle w:val="ListParagraph"/>
        <w:numPr>
          <w:ilvl w:val="0"/>
          <w:numId w:val="34"/>
        </w:numPr>
        <w:spacing w:after="180" w:line="259" w:lineRule="auto"/>
        <w:rPr>
          <w:rFonts w:asciiTheme="minorHAnsi" w:hAnsiTheme="minorHAnsi"/>
          <w:lang w:val="en-AU"/>
        </w:rPr>
      </w:pPr>
      <w:r w:rsidRPr="000F5010">
        <w:rPr>
          <w:rFonts w:asciiTheme="minorHAnsi" w:hAnsiTheme="minorHAnsi"/>
          <w:i/>
          <w:lang w:val="en-AU"/>
        </w:rPr>
        <w:t>Split the power equally over all SRS ports within an SRS resource set</w:t>
      </w:r>
      <w:r w:rsidR="006E5FA5">
        <w:rPr>
          <w:rFonts w:asciiTheme="minorHAnsi" w:hAnsiTheme="minorHAnsi"/>
          <w:i/>
          <w:lang w:val="en-AU"/>
        </w:rPr>
        <w:t>:</w:t>
      </w:r>
      <w:r w:rsidR="00DC7174">
        <w:rPr>
          <w:rFonts w:asciiTheme="minorHAnsi" w:hAnsiTheme="minorHAnsi"/>
          <w:lang w:val="en-AU"/>
        </w:rPr>
        <w:t xml:space="preserve"> </w:t>
      </w:r>
      <w:r w:rsidR="00DC7174" w:rsidRPr="00DC7174">
        <w:rPr>
          <w:lang w:val="en-AU"/>
        </w:rPr>
        <w:t xml:space="preserve">If a UE is configured with fewer ports than its maximum capability, then splitting power equally among this reduced number of ports </w:t>
      </w:r>
      <w:r w:rsidR="00DC7174">
        <w:rPr>
          <w:lang w:val="en-AU"/>
        </w:rPr>
        <w:t xml:space="preserve">may </w:t>
      </w:r>
      <w:r w:rsidR="00DC7174" w:rsidRPr="00DC7174">
        <w:rPr>
          <w:lang w:val="en-AU"/>
        </w:rPr>
        <w:t xml:space="preserve">result in </w:t>
      </w:r>
      <w:r w:rsidR="00DC7174">
        <w:rPr>
          <w:lang w:val="en-AU"/>
        </w:rPr>
        <w:t xml:space="preserve">a </w:t>
      </w:r>
      <w:r w:rsidR="00DC7174" w:rsidRPr="00DC7174">
        <w:rPr>
          <w:lang w:val="en-AU"/>
        </w:rPr>
        <w:t>too high per per-PA power.</w:t>
      </w:r>
      <w:r w:rsidR="00DC7174">
        <w:rPr>
          <w:lang w:val="en-AU"/>
        </w:rPr>
        <w:t xml:space="preserve"> Hence, as discussed for the PUSCH power scaling we find it more appropriate to perform the scaling based on UE capability rather than configuration. In addition to this it is also emphasized that the </w:t>
      </w:r>
      <w:r w:rsidR="00843AFF">
        <w:rPr>
          <w:lang w:val="en-AU"/>
        </w:rPr>
        <w:t>interpretation</w:t>
      </w:r>
      <w:r w:rsidR="00DC7174">
        <w:rPr>
          <w:lang w:val="en-AU"/>
        </w:rPr>
        <w:t xml:space="preserve"> will be highly suboptimal in the case of beam management where an SRS resource set may contain </w:t>
      </w:r>
      <w:r w:rsidR="00843AFF">
        <w:rPr>
          <w:lang w:val="en-AU"/>
        </w:rPr>
        <w:t xml:space="preserve">up to </w:t>
      </w:r>
      <w:r w:rsidR="00DC7174">
        <w:rPr>
          <w:lang w:val="en-AU"/>
        </w:rPr>
        <w:t>16 SRS resources.</w:t>
      </w:r>
      <w:r w:rsidR="006E5FA5">
        <w:rPr>
          <w:lang w:val="en-AU"/>
        </w:rPr>
        <w:t xml:space="preserve"> Therefore, we find also this interpretation infeasible. </w:t>
      </w:r>
      <w:r w:rsidR="00DC7174">
        <w:rPr>
          <w:lang w:val="en-AU"/>
        </w:rPr>
        <w:t xml:space="preserve"> </w:t>
      </w:r>
      <w:r w:rsidR="00DC7174" w:rsidRPr="00DC7174">
        <w:rPr>
          <w:lang w:val="en-AU"/>
        </w:rPr>
        <w:t xml:space="preserve">  </w:t>
      </w:r>
    </w:p>
    <w:p w14:paraId="11A06425" w14:textId="1703C1FD" w:rsidR="00A52E52" w:rsidRDefault="00A52E52" w:rsidP="00A52E52">
      <w:pPr>
        <w:spacing w:after="180" w:line="259" w:lineRule="auto"/>
      </w:pPr>
      <w:r>
        <w:t xml:space="preserve">In </w:t>
      </w:r>
      <w:r w:rsidR="00F34087">
        <w:t xml:space="preserve">our </w:t>
      </w:r>
      <w:r>
        <w:t>companion contribution [</w:t>
      </w:r>
      <w:r w:rsidR="00C06601">
        <w:t>1</w:t>
      </w:r>
      <w:r>
        <w:t xml:space="preserve">], we </w:t>
      </w:r>
      <w:r w:rsidR="006E5FA5">
        <w:t xml:space="preserve">further </w:t>
      </w:r>
      <w:r w:rsidR="00843AFF">
        <w:t xml:space="preserve">describe and </w:t>
      </w:r>
      <w:r>
        <w:t xml:space="preserve">study SRS power scaling details </w:t>
      </w:r>
      <w:r w:rsidR="00843AFF">
        <w:t xml:space="preserve">more in detail </w:t>
      </w:r>
      <w:r>
        <w:t>and make the following observation.</w:t>
      </w:r>
    </w:p>
    <w:p w14:paraId="512E94DD" w14:textId="77777777" w:rsidR="00A52E52" w:rsidRPr="00A52E52" w:rsidRDefault="00A52E52" w:rsidP="00A52E52">
      <w:pPr>
        <w:pStyle w:val="ListParagraph"/>
        <w:numPr>
          <w:ilvl w:val="0"/>
          <w:numId w:val="12"/>
        </w:numPr>
        <w:spacing w:after="180" w:line="259" w:lineRule="auto"/>
        <w:rPr>
          <w:lang w:val="en-AU"/>
        </w:rPr>
      </w:pPr>
      <w:r w:rsidRPr="00A52E52">
        <w:rPr>
          <w:lang w:val="en-AU"/>
        </w:rPr>
        <w:t xml:space="preserve">The current SRS power scaling specification is ambiguous in TS 38.213 </w:t>
      </w:r>
      <w:bookmarkStart w:id="5" w:name="_Hlk521505769"/>
      <w:r w:rsidRPr="00A52E52">
        <w:rPr>
          <w:lang w:val="en-AU"/>
        </w:rPr>
        <w:t>with respect to how SRS power is split over time, SRS resources, and SRS resource sets</w:t>
      </w:r>
      <w:bookmarkEnd w:id="5"/>
      <w:r w:rsidRPr="00A52E52">
        <w:rPr>
          <w:lang w:val="en-AU"/>
        </w:rPr>
        <w:t>.</w:t>
      </w:r>
    </w:p>
    <w:p w14:paraId="4F36DD7E" w14:textId="610C1972" w:rsidR="00D53162" w:rsidRDefault="00D53162" w:rsidP="007D6833">
      <w:r>
        <w:t xml:space="preserve">We furthermore conclude that there are two details that needs to be </w:t>
      </w:r>
      <w:r w:rsidR="00B14CD4">
        <w:t>re</w:t>
      </w:r>
      <w:r>
        <w:t xml:space="preserve">solved </w:t>
      </w:r>
      <w:r w:rsidR="00B14CD4">
        <w:t>to</w:t>
      </w:r>
      <w:r>
        <w:t xml:space="preserve"> clarify TS 38.213: </w:t>
      </w:r>
    </w:p>
    <w:p w14:paraId="2C1FC0A8" w14:textId="03699D02" w:rsidR="00D53162" w:rsidRPr="00D53162" w:rsidRDefault="00D53162" w:rsidP="00D53162">
      <w:pPr>
        <w:pStyle w:val="ListParagraph"/>
        <w:numPr>
          <w:ilvl w:val="0"/>
          <w:numId w:val="28"/>
        </w:numPr>
      </w:pPr>
      <w:r>
        <w:t xml:space="preserve">How to perform intra SRS resource set power scaling? Hence for </w:t>
      </w:r>
      <w:r w:rsidR="00B14CD4">
        <w:t>an</w:t>
      </w:r>
      <w:r>
        <w:t xml:space="preserve"> SRS resource set, with a transmission power as given by </w:t>
      </w:r>
      <w:r w:rsidRPr="00B916EC">
        <w:rPr>
          <w:iCs/>
          <w:position w:val="-12"/>
        </w:rPr>
        <w:object w:dxaOrig="1219" w:dyaOrig="320" w14:anchorId="3B394B0F">
          <v:shape id="_x0000_i1044" type="#_x0000_t75" style="width:57.6pt;height:14.4pt" o:ole="">
            <v:imagedata r:id="rId29" o:title=""/>
          </v:shape>
          <o:OLEObject Type="Embed" ProgID="Equation.3" ShapeID="_x0000_i1044" DrawAspect="Content" ObjectID="_1602683252" r:id="rId47"/>
        </w:object>
      </w:r>
      <w:r>
        <w:rPr>
          <w:iCs/>
        </w:rPr>
        <w:t>, how should this power be translated to a power to us</w:t>
      </w:r>
      <w:r w:rsidR="00B14CD4">
        <w:rPr>
          <w:iCs/>
        </w:rPr>
        <w:t>e</w:t>
      </w:r>
      <w:r>
        <w:rPr>
          <w:iCs/>
        </w:rPr>
        <w:t xml:space="preserve"> when transmitting the actual SRS resource and </w:t>
      </w:r>
      <w:r w:rsidR="00B14CD4">
        <w:rPr>
          <w:iCs/>
        </w:rPr>
        <w:t xml:space="preserve">the </w:t>
      </w:r>
      <w:r>
        <w:rPr>
          <w:iCs/>
        </w:rPr>
        <w:t xml:space="preserve">SRS ports therein? </w:t>
      </w:r>
    </w:p>
    <w:p w14:paraId="481D16F5" w14:textId="0635C94D" w:rsidR="00D53162" w:rsidRDefault="00D53162" w:rsidP="000F5010">
      <w:pPr>
        <w:pStyle w:val="ListParagraph"/>
        <w:numPr>
          <w:ilvl w:val="0"/>
          <w:numId w:val="28"/>
        </w:numPr>
      </w:pPr>
      <w:r>
        <w:t xml:space="preserve">How to perform inter SRS resource set power scaling? It is possible that a UE transmits multiple SRS resource sets in the same slot or even </w:t>
      </w:r>
      <w:r w:rsidR="00B14CD4">
        <w:t xml:space="preserve">the same </w:t>
      </w:r>
      <w:r>
        <w:t xml:space="preserve">OFDM symbol. This could hence </w:t>
      </w:r>
      <w:r w:rsidR="005118A7">
        <w:t>imply</w:t>
      </w:r>
      <w:r>
        <w:t xml:space="preserve"> that </w:t>
      </w:r>
      <w:r w:rsidR="00B14CD4">
        <w:rPr>
          <w:rFonts w:asciiTheme="minorHAnsi" w:eastAsiaTheme="minorHAnsi" w:hAnsiTheme="minorHAnsi" w:cstheme="minorBidi"/>
          <w:position w:val="-14"/>
          <w:sz w:val="22"/>
          <w:szCs w:val="22"/>
          <w:lang w:val="sv-FI"/>
        </w:rPr>
        <w:object w:dxaOrig="1320" w:dyaOrig="420" w14:anchorId="45A50D52">
          <v:shape id="_x0000_i1045" type="#_x0000_t75" style="width:57.6pt;height:21.6pt" o:ole="">
            <v:imagedata r:id="rId48" o:title=""/>
          </v:shape>
          <o:OLEObject Type="Embed" ProgID="Equation.3" ShapeID="_x0000_i1045" DrawAspect="Content" ObjectID="_1602683253" r:id="rId49"/>
        </w:object>
      </w:r>
      <w:r>
        <w:rPr>
          <w:lang w:val="en-AU"/>
        </w:rPr>
        <w:t>+</w:t>
      </w:r>
      <w:r w:rsidR="00B14CD4">
        <w:rPr>
          <w:rFonts w:asciiTheme="minorHAnsi" w:eastAsiaTheme="minorHAnsi" w:hAnsiTheme="minorHAnsi" w:cstheme="minorBidi"/>
          <w:position w:val="-14"/>
          <w:sz w:val="22"/>
          <w:szCs w:val="22"/>
          <w:lang w:val="sv-FI"/>
        </w:rPr>
        <w:object w:dxaOrig="1290" w:dyaOrig="420" w14:anchorId="67FCCE8A">
          <v:shape id="_x0000_i1046" type="#_x0000_t75" style="width:57.6pt;height:21.6pt" o:ole="">
            <v:imagedata r:id="rId50" o:title=""/>
          </v:shape>
          <o:OLEObject Type="Embed" ProgID="Equation.3" ShapeID="_x0000_i1046" DrawAspect="Content" ObjectID="_1602683254" r:id="rId51"/>
        </w:object>
      </w:r>
      <w:r>
        <w:rPr>
          <w:lang w:val="en-AU"/>
        </w:rPr>
        <w:t>&gt;</w:t>
      </w:r>
      <w:proofErr w:type="spellStart"/>
      <w:r>
        <w:rPr>
          <w:lang w:val="en-AU"/>
        </w:rPr>
        <w:t>Pcmax</w:t>
      </w:r>
      <w:proofErr w:type="spellEnd"/>
      <w:r>
        <w:t xml:space="preserve"> for the two SRS resource sets. It is currently not clear what the UE should do in such a case. </w:t>
      </w:r>
    </w:p>
    <w:p w14:paraId="0EB47DF0" w14:textId="42C28FE2" w:rsidR="00CE6EDD" w:rsidRDefault="00A52E52" w:rsidP="007D6833">
      <w:pPr>
        <w:rPr>
          <w:b/>
          <w:u w:val="single"/>
        </w:rPr>
      </w:pPr>
      <w:r>
        <w:t xml:space="preserve">Considering the </w:t>
      </w:r>
      <w:r w:rsidR="00D53162">
        <w:t>performed analysis</w:t>
      </w:r>
      <w:r>
        <w:t xml:space="preserve">, we propose the following. More detailed analysis </w:t>
      </w:r>
      <w:r w:rsidR="002B05D8">
        <w:t xml:space="preserve">is </w:t>
      </w:r>
      <w:r>
        <w:t>given in</w:t>
      </w:r>
      <w:r w:rsidR="007D6833">
        <w:t xml:space="preserve"> [</w:t>
      </w:r>
      <w:r w:rsidR="00032B2B">
        <w:t>1</w:t>
      </w:r>
      <w:r w:rsidR="007D6833">
        <w:t>]</w:t>
      </w:r>
      <w:r>
        <w:t>.</w:t>
      </w:r>
    </w:p>
    <w:p w14:paraId="4F4C0AD1" w14:textId="55130AA6" w:rsidR="003E3FD3" w:rsidRPr="000F5010" w:rsidRDefault="007D6833" w:rsidP="007D6833">
      <w:pPr>
        <w:rPr>
          <w:b/>
        </w:rPr>
      </w:pPr>
      <w:r w:rsidRPr="000F5010">
        <w:rPr>
          <w:b/>
        </w:rPr>
        <w:t>Proposal</w:t>
      </w:r>
      <w:r w:rsidR="00032B2B">
        <w:rPr>
          <w:b/>
        </w:rPr>
        <w:t>s</w:t>
      </w:r>
    </w:p>
    <w:p w14:paraId="5A1CF245" w14:textId="77777777" w:rsidR="003E3FD3" w:rsidRDefault="003E3FD3" w:rsidP="003E3FD3">
      <w:pPr>
        <w:pStyle w:val="ListParagraph"/>
        <w:numPr>
          <w:ilvl w:val="0"/>
          <w:numId w:val="12"/>
        </w:numPr>
        <w:spacing w:after="180" w:line="256" w:lineRule="auto"/>
        <w:rPr>
          <w:rFonts w:asciiTheme="minorHAnsi" w:hAnsiTheme="minorHAnsi"/>
          <w:lang w:val="en-AU" w:eastAsia="zh-CN"/>
        </w:rPr>
      </w:pPr>
      <w:r>
        <w:rPr>
          <w:rFonts w:asciiTheme="minorHAnsi" w:hAnsiTheme="minorHAnsi"/>
          <w:lang w:val="en-AU" w:eastAsia="zh-CN"/>
        </w:rPr>
        <w:t xml:space="preserve">Clarify Rel-15 NR SRS power scaling specifications such that per-PA full power capacity </w:t>
      </w:r>
      <w:r>
        <w:rPr>
          <w:lang w:val="en-AU"/>
        </w:rPr>
        <w:t xml:space="preserve">for all PAs in the UE </w:t>
      </w:r>
      <w:r>
        <w:rPr>
          <w:rFonts w:asciiTheme="minorHAnsi" w:hAnsiTheme="minorHAnsi"/>
          <w:lang w:val="en-AU" w:eastAsia="zh-CN"/>
        </w:rPr>
        <w:t>is not required.</w:t>
      </w:r>
    </w:p>
    <w:p w14:paraId="23873030" w14:textId="77777777" w:rsidR="003E3FD3" w:rsidRPr="007A6FA8" w:rsidRDefault="003E3FD3" w:rsidP="003E3FD3">
      <w:pPr>
        <w:pStyle w:val="ListParagraph"/>
        <w:numPr>
          <w:ilvl w:val="0"/>
          <w:numId w:val="12"/>
        </w:numPr>
        <w:spacing w:after="180" w:line="259" w:lineRule="auto"/>
        <w:rPr>
          <w:rFonts w:asciiTheme="minorHAnsi" w:hAnsiTheme="minorHAnsi"/>
          <w:lang w:val="en-AU" w:eastAsia="zh-CN"/>
        </w:rPr>
      </w:pPr>
      <w:r w:rsidRPr="00733C73">
        <w:rPr>
          <w:rFonts w:asciiTheme="minorHAnsi" w:hAnsiTheme="minorHAnsi"/>
          <w:lang w:val="en-AU" w:eastAsia="zh-CN"/>
        </w:rPr>
        <w:t xml:space="preserve">Clarify the </w:t>
      </w:r>
      <w:r>
        <w:rPr>
          <w:rFonts w:asciiTheme="minorHAnsi" w:hAnsiTheme="minorHAnsi"/>
          <w:lang w:val="en-AU" w:eastAsia="zh-CN"/>
        </w:rPr>
        <w:t>i</w:t>
      </w:r>
      <w:r w:rsidRPr="00733C73">
        <w:rPr>
          <w:rFonts w:asciiTheme="minorHAnsi" w:hAnsiTheme="minorHAnsi"/>
          <w:lang w:val="en-AU" w:eastAsia="zh-CN"/>
        </w:rPr>
        <w:t>nt</w:t>
      </w:r>
      <w:r>
        <w:rPr>
          <w:rFonts w:asciiTheme="minorHAnsi" w:hAnsiTheme="minorHAnsi"/>
          <w:lang w:val="en-AU" w:eastAsia="zh-CN"/>
        </w:rPr>
        <w:t>er</w:t>
      </w:r>
      <w:r w:rsidRPr="00733C73">
        <w:rPr>
          <w:rFonts w:asciiTheme="minorHAnsi" w:hAnsiTheme="minorHAnsi"/>
          <w:lang w:val="en-AU" w:eastAsia="zh-CN"/>
        </w:rPr>
        <w:t xml:space="preserve"> SRS resource set power scaling</w:t>
      </w:r>
      <w:r>
        <w:rPr>
          <w:rFonts w:asciiTheme="minorHAnsi" w:hAnsiTheme="minorHAnsi"/>
          <w:lang w:val="en-AU" w:eastAsia="zh-CN"/>
        </w:rPr>
        <w:t xml:space="preserve">: </w:t>
      </w:r>
    </w:p>
    <w:p w14:paraId="1450633A" w14:textId="77777777" w:rsidR="003E3FD3" w:rsidRDefault="003E3FD3" w:rsidP="003E3FD3">
      <w:pPr>
        <w:pStyle w:val="ListParagraph"/>
        <w:numPr>
          <w:ilvl w:val="1"/>
          <w:numId w:val="12"/>
        </w:numPr>
        <w:spacing w:after="180" w:line="259" w:lineRule="auto"/>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5D8F3624">
          <v:shape id="_x0000_i1047" type="#_x0000_t75" style="width:57.6pt;height:21.6pt" o:ole="">
            <v:imagedata r:id="rId27" o:title=""/>
          </v:shape>
          <o:OLEObject Type="Embed" ProgID="Equation.3" ShapeID="_x0000_i1047" DrawAspect="Content" ObjectID="_1602683255" r:id="rId52"/>
        </w:object>
      </w:r>
      <w:r w:rsidRPr="00501087">
        <w:rPr>
          <w:iCs/>
          <w:lang w:val="en-AU"/>
        </w:rPr>
        <w:t xml:space="preserve"> per antenna</w:t>
      </w:r>
      <w:r>
        <w:rPr>
          <w:iCs/>
          <w:lang w:val="en-AU"/>
        </w:rPr>
        <w:t xml:space="preserve"> port.</w:t>
      </w:r>
      <w:r w:rsidRPr="00501087">
        <w:rPr>
          <w:iCs/>
          <w:lang w:val="en-AU"/>
        </w:rPr>
        <w:t xml:space="preserve"> </w:t>
      </w:r>
    </w:p>
    <w:p w14:paraId="6AFB6DFA" w14:textId="77777777" w:rsidR="003E3FD3" w:rsidRDefault="003E3FD3" w:rsidP="003E3FD3">
      <w:pPr>
        <w:pStyle w:val="ListParagraph"/>
        <w:numPr>
          <w:ilvl w:val="1"/>
          <w:numId w:val="12"/>
        </w:numPr>
        <w:spacing w:after="180" w:line="259" w:lineRule="auto"/>
        <w:rPr>
          <w:rFonts w:asciiTheme="minorHAnsi" w:hAnsiTheme="minorHAnsi"/>
          <w:lang w:val="en-AU" w:eastAsia="zh-CN"/>
        </w:rPr>
      </w:pPr>
      <w:r>
        <w:rPr>
          <w:rFonts w:asciiTheme="minorHAnsi" w:hAnsiTheme="minorHAnsi"/>
          <w:lang w:val="en-AU" w:eastAsia="zh-CN"/>
        </w:rPr>
        <w:t xml:space="preserve">Consider the following designs of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p>
    <w:p w14:paraId="4AB6FBB7" w14:textId="77777777" w:rsidR="003E3FD3" w:rsidRDefault="003E3FD3" w:rsidP="003E3FD3">
      <w:pPr>
        <w:pStyle w:val="ListParagraph"/>
        <w:numPr>
          <w:ilvl w:val="2"/>
          <w:numId w:val="12"/>
        </w:numPr>
        <w:spacing w:after="180" w:line="259" w:lineRule="auto"/>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based on UE capability (similar to as discussed for PUSCH power scaling)</w:t>
      </w:r>
    </w:p>
    <w:p w14:paraId="6482A3A0" w14:textId="77777777" w:rsidR="003E3FD3" w:rsidRDefault="003E3FD3" w:rsidP="003E3FD3">
      <w:pPr>
        <w:pStyle w:val="ListParagraph"/>
        <w:numPr>
          <w:ilvl w:val="2"/>
          <w:numId w:val="12"/>
        </w:numPr>
        <w:spacing w:after="180" w:line="259" w:lineRule="auto"/>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 xml:space="preserve">based on the SRS resource set’s corresponding </w:t>
      </w:r>
      <w:r w:rsidRPr="004B6255">
        <w:rPr>
          <w:rFonts w:asciiTheme="minorHAnsi" w:hAnsiTheme="minorHAnsi"/>
          <w:lang w:val="en-AU"/>
        </w:rPr>
        <w:t>SRS-SetUse</w:t>
      </w:r>
      <w:r>
        <w:rPr>
          <w:rFonts w:asciiTheme="minorHAnsi" w:hAnsiTheme="minorHAnsi"/>
          <w:lang w:val="en-AU"/>
        </w:rPr>
        <w:t>.</w:t>
      </w:r>
    </w:p>
    <w:p w14:paraId="5CB22FB0" w14:textId="5706BCD5" w:rsidR="00C95347" w:rsidRDefault="003E3FD3" w:rsidP="000F5010">
      <w:pPr>
        <w:pStyle w:val="ListParagraph"/>
        <w:numPr>
          <w:ilvl w:val="0"/>
          <w:numId w:val="12"/>
        </w:numPr>
        <w:spacing w:after="180" w:line="259" w:lineRule="auto"/>
        <w:rPr>
          <w:lang w:val="en-AU"/>
        </w:rPr>
      </w:pPr>
      <w:r w:rsidRPr="00032B2B">
        <w:rPr>
          <w:lang w:val="en-AU" w:eastAsia="zh-CN"/>
        </w:rPr>
        <w:t>Clarify the inter SRS resource set power scaling.</w:t>
      </w:r>
    </w:p>
    <w:p w14:paraId="47061069" w14:textId="77777777" w:rsidR="007A018A" w:rsidRDefault="007A018A" w:rsidP="007A018A">
      <w:pPr>
        <w:pStyle w:val="Heading1"/>
      </w:pPr>
      <w:r>
        <w:t>Conclusion</w:t>
      </w:r>
      <w:r w:rsidR="00026152">
        <w:t>s</w:t>
      </w:r>
    </w:p>
    <w:p w14:paraId="2037E518" w14:textId="5208EA0B" w:rsidR="004B7C24" w:rsidRDefault="008847A2" w:rsidP="000F5010">
      <w:pPr>
        <w:pStyle w:val="BodyText"/>
        <w:rPr>
          <w:szCs w:val="22"/>
          <w:lang w:val="en-AU"/>
        </w:rPr>
      </w:pPr>
      <w:r>
        <w:t xml:space="preserve">In this document, </w:t>
      </w:r>
      <w:r w:rsidR="007D4CBE">
        <w:t xml:space="preserve">we discuss </w:t>
      </w:r>
      <w:r w:rsidR="003B6C67">
        <w:rPr>
          <w:lang w:val="en-AU"/>
        </w:rPr>
        <w:t>some remaining issues for finalising the specification of NR power control</w:t>
      </w:r>
      <w:r w:rsidR="004B7C24">
        <w:rPr>
          <w:lang w:val="en-AU"/>
        </w:rPr>
        <w:t xml:space="preserve">. </w:t>
      </w:r>
      <w:r w:rsidR="004B7C24">
        <w:t>W</w:t>
      </w:r>
      <w:r w:rsidR="004B7C24">
        <w:rPr>
          <w:lang w:val="en-AU"/>
        </w:rPr>
        <w:t>e discussed the alternatives identified in RAN1#94bis to correct the specification such that full power is not required in Rel-15 UEs and propose the following:</w:t>
      </w:r>
    </w:p>
    <w:p w14:paraId="758FBC13" w14:textId="77777777" w:rsidR="002406AF" w:rsidRDefault="002406AF" w:rsidP="002406AF">
      <w:pPr>
        <w:spacing w:after="0"/>
        <w:rPr>
          <w:lang w:val="en-AU"/>
        </w:rPr>
      </w:pPr>
      <w:r>
        <w:rPr>
          <w:b/>
          <w:lang w:val="en-AU"/>
        </w:rPr>
        <w:t>Proposals</w:t>
      </w:r>
      <w:r>
        <w:rPr>
          <w:lang w:val="en-AU"/>
        </w:rPr>
        <w:t>:</w:t>
      </w:r>
    </w:p>
    <w:p w14:paraId="262F1658" w14:textId="63BE12F9" w:rsidR="002406AF" w:rsidRPr="009F4B0F" w:rsidRDefault="002406AF" w:rsidP="002406AF">
      <w:pPr>
        <w:pStyle w:val="ListParagraph"/>
        <w:numPr>
          <w:ilvl w:val="0"/>
          <w:numId w:val="32"/>
        </w:numPr>
        <w:spacing w:after="180" w:line="256" w:lineRule="auto"/>
        <w:rPr>
          <w:lang w:val="en-AU"/>
        </w:rPr>
      </w:pPr>
      <w:r w:rsidRPr="009F4B0F">
        <w:rPr>
          <w:lang w:val="en-AU"/>
        </w:rPr>
        <w:t xml:space="preserve">Alt 2 is used for </w:t>
      </w:r>
      <w:r>
        <w:rPr>
          <w:lang w:val="en-AU"/>
        </w:rPr>
        <w:t xml:space="preserve">PUSCH transmissions made using </w:t>
      </w:r>
      <w:proofErr w:type="gramStart"/>
      <w:r w:rsidRPr="009F4B0F">
        <w:rPr>
          <w:lang w:val="en-AU"/>
        </w:rPr>
        <w:t>codebook based</w:t>
      </w:r>
      <w:proofErr w:type="gramEnd"/>
      <w:r w:rsidRPr="009F4B0F">
        <w:rPr>
          <w:lang w:val="en-AU"/>
        </w:rPr>
        <w:t xml:space="preserve"> operation, i.e.,</w:t>
      </w:r>
    </w:p>
    <w:p w14:paraId="7779081B" w14:textId="77777777" w:rsidR="002406AF" w:rsidRPr="009F4B0F" w:rsidRDefault="002406AF" w:rsidP="002406AF">
      <w:pPr>
        <w:pStyle w:val="ListParagraph"/>
        <w:numPr>
          <w:ilvl w:val="1"/>
          <w:numId w:val="32"/>
        </w:numPr>
        <w:spacing w:after="180" w:line="256" w:lineRule="auto"/>
        <w:rPr>
          <w:lang w:val="en-AU"/>
        </w:rPr>
      </w:pPr>
      <w:r w:rsidRPr="009F4B0F">
        <w:rPr>
          <w:lang w:val="en-AU"/>
        </w:rPr>
        <w:t>replace ‘</w:t>
      </w:r>
      <w:r w:rsidRPr="009F4B0F">
        <w:rPr>
          <w:i/>
          <w:lang w:val="en-AU"/>
        </w:rPr>
        <w:t>number of configured antenna ports for the transmission scheme</w:t>
      </w:r>
      <w:r w:rsidRPr="009F4B0F">
        <w:rPr>
          <w:lang w:val="en-AU"/>
        </w:rPr>
        <w:t>’ in 38.213 with ‘</w:t>
      </w:r>
      <w:r w:rsidRPr="009F4B0F">
        <w:rPr>
          <w:i/>
          <w:lang w:val="en-AU"/>
        </w:rPr>
        <w:t xml:space="preserve">the maximum number of SRS ports in one SRS resource supported by the UE when the higher layer parameter </w:t>
      </w:r>
      <w:proofErr w:type="spellStart"/>
      <w:r w:rsidRPr="009F4B0F">
        <w:rPr>
          <w:i/>
          <w:lang w:val="en-AU"/>
        </w:rPr>
        <w:t>txConfig</w:t>
      </w:r>
      <w:proofErr w:type="spellEnd"/>
      <w:r w:rsidRPr="009F4B0F">
        <w:rPr>
          <w:i/>
          <w:lang w:val="en-AU"/>
        </w:rPr>
        <w:t xml:space="preserve"> in PUSCH-Config is set to 'codebook</w:t>
      </w:r>
      <w:proofErr w:type="gramStart"/>
      <w:r w:rsidRPr="009F4B0F">
        <w:rPr>
          <w:lang w:val="en-AU"/>
        </w:rPr>
        <w:t>' ’</w:t>
      </w:r>
      <w:proofErr w:type="gramEnd"/>
    </w:p>
    <w:p w14:paraId="7938E15A" w14:textId="77777777" w:rsidR="002406AF" w:rsidRPr="009F4B0F" w:rsidRDefault="002406AF" w:rsidP="002406AF">
      <w:pPr>
        <w:pStyle w:val="ListParagraph"/>
        <w:numPr>
          <w:ilvl w:val="0"/>
          <w:numId w:val="32"/>
        </w:numPr>
        <w:spacing w:after="180" w:line="256" w:lineRule="auto"/>
        <w:rPr>
          <w:lang w:val="en-AU"/>
        </w:rPr>
      </w:pPr>
      <w:r w:rsidRPr="009F4B0F">
        <w:rPr>
          <w:lang w:val="en-AU"/>
        </w:rPr>
        <w:t xml:space="preserve">Clarify Alt 4 from </w:t>
      </w:r>
    </w:p>
    <w:p w14:paraId="162A291E" w14:textId="77777777" w:rsidR="002406AF" w:rsidRPr="009F4B0F" w:rsidRDefault="002406AF" w:rsidP="002406AF">
      <w:pPr>
        <w:pStyle w:val="ListParagraph"/>
        <w:numPr>
          <w:ilvl w:val="1"/>
          <w:numId w:val="32"/>
        </w:numPr>
        <w:spacing w:after="180" w:line="256" w:lineRule="auto"/>
        <w:rPr>
          <w:lang w:val="en-AU"/>
        </w:rPr>
      </w:pPr>
      <w:r w:rsidRPr="009F4B0F">
        <w:rPr>
          <w:lang w:val="en-AU"/>
        </w:rPr>
        <w:t xml:space="preserve">“the maximum number of supported layers for the non-codebook transmission scheme divided by the maximum number of simultaneously transmitted SRS resources in one symbol for the </w:t>
      </w:r>
      <w:r w:rsidRPr="009F4B0F">
        <w:rPr>
          <w:lang w:val="en-AU"/>
        </w:rPr>
        <w:lastRenderedPageBreak/>
        <w:t xml:space="preserve">non-codebook transmission scheme when the higher layer parameter </w:t>
      </w:r>
      <w:proofErr w:type="spellStart"/>
      <w:r w:rsidRPr="009F4B0F">
        <w:rPr>
          <w:i/>
          <w:lang w:val="en-AU"/>
        </w:rPr>
        <w:t>txConfig</w:t>
      </w:r>
      <w:proofErr w:type="spellEnd"/>
      <w:r w:rsidRPr="009F4B0F">
        <w:rPr>
          <w:lang w:val="en-AU"/>
        </w:rPr>
        <w:t xml:space="preserve"> in </w:t>
      </w:r>
      <w:r w:rsidRPr="009F4B0F">
        <w:rPr>
          <w:i/>
          <w:lang w:val="en-AU"/>
        </w:rPr>
        <w:t>PUSCH-Config</w:t>
      </w:r>
      <w:r w:rsidRPr="009F4B0F">
        <w:rPr>
          <w:lang w:val="en-AU"/>
        </w:rPr>
        <w:t xml:space="preserve"> is set to ‘</w:t>
      </w:r>
      <w:proofErr w:type="spellStart"/>
      <w:r w:rsidRPr="009F4B0F">
        <w:rPr>
          <w:lang w:val="en-AU"/>
        </w:rPr>
        <w:t>nonCodebook</w:t>
      </w:r>
      <w:proofErr w:type="spellEnd"/>
      <w:r w:rsidRPr="009F4B0F">
        <w:rPr>
          <w:lang w:val="en-AU"/>
        </w:rPr>
        <w:t>'”</w:t>
      </w:r>
    </w:p>
    <w:p w14:paraId="6A781B45" w14:textId="77777777" w:rsidR="002406AF" w:rsidRPr="009F4B0F" w:rsidRDefault="002406AF" w:rsidP="002406AF">
      <w:pPr>
        <w:pStyle w:val="ListParagraph"/>
        <w:spacing w:after="180" w:line="256" w:lineRule="auto"/>
        <w:ind w:left="1440"/>
        <w:rPr>
          <w:lang w:val="en-AU"/>
        </w:rPr>
      </w:pPr>
      <w:r w:rsidRPr="009F4B0F">
        <w:rPr>
          <w:lang w:val="en-AU"/>
        </w:rPr>
        <w:t xml:space="preserve">to </w:t>
      </w:r>
    </w:p>
    <w:p w14:paraId="1CBB08D3" w14:textId="77777777" w:rsidR="002406AF" w:rsidRPr="009F4B0F" w:rsidRDefault="002406AF" w:rsidP="002406AF">
      <w:pPr>
        <w:pStyle w:val="ListParagraph"/>
        <w:numPr>
          <w:ilvl w:val="1"/>
          <w:numId w:val="32"/>
        </w:numPr>
        <w:spacing w:after="180" w:line="256" w:lineRule="auto"/>
        <w:rPr>
          <w:lang w:val="en-AU"/>
        </w:rPr>
      </w:pPr>
      <w:r w:rsidRPr="009F4B0F">
        <w:rPr>
          <w:lang w:val="en-AU"/>
        </w:rPr>
        <w:t>“the maximum number of SRS resources in SRS-</w:t>
      </w:r>
      <w:proofErr w:type="spellStart"/>
      <w:r w:rsidRPr="009F4B0F">
        <w:rPr>
          <w:lang w:val="en-AU"/>
        </w:rPr>
        <w:t>ResourceSet</w:t>
      </w:r>
      <w:proofErr w:type="spellEnd"/>
      <w:r w:rsidRPr="009F4B0F">
        <w:rPr>
          <w:lang w:val="en-AU"/>
        </w:rPr>
        <w:t xml:space="preserve"> configured with usage set to '</w:t>
      </w:r>
      <w:proofErr w:type="spellStart"/>
      <w:r w:rsidRPr="009F4B0F">
        <w:rPr>
          <w:lang w:val="en-AU"/>
        </w:rPr>
        <w:t>nonCodebook</w:t>
      </w:r>
      <w:proofErr w:type="spellEnd"/>
      <w:r w:rsidRPr="009F4B0F">
        <w:rPr>
          <w:lang w:val="en-AU"/>
        </w:rPr>
        <w:t xml:space="preserve">’ supported by the UE with divided by the maximum number of simultaneously transmitted SRS resources in one symbol for the non-codebook transmission scheme when the higher layer parameter </w:t>
      </w:r>
      <w:proofErr w:type="spellStart"/>
      <w:r w:rsidRPr="009F4B0F">
        <w:rPr>
          <w:lang w:val="en-AU"/>
        </w:rPr>
        <w:t>txConfig</w:t>
      </w:r>
      <w:proofErr w:type="spellEnd"/>
      <w:r w:rsidRPr="009F4B0F">
        <w:rPr>
          <w:lang w:val="en-AU"/>
        </w:rPr>
        <w:t xml:space="preserve"> in PUSCH-Config is set to ‘</w:t>
      </w:r>
      <w:proofErr w:type="spellStart"/>
      <w:r w:rsidRPr="009F4B0F">
        <w:rPr>
          <w:lang w:val="en-AU"/>
        </w:rPr>
        <w:t>nonCodebook</w:t>
      </w:r>
      <w:proofErr w:type="spellEnd"/>
      <w:r w:rsidRPr="009F4B0F">
        <w:rPr>
          <w:lang w:val="en-AU"/>
        </w:rPr>
        <w:t>'”</w:t>
      </w:r>
    </w:p>
    <w:p w14:paraId="4E4E4990" w14:textId="0A9E0D92" w:rsidR="002406AF" w:rsidRDefault="002406AF" w:rsidP="002406AF">
      <w:pPr>
        <w:pStyle w:val="ListParagraph"/>
        <w:numPr>
          <w:ilvl w:val="0"/>
          <w:numId w:val="32"/>
        </w:numPr>
        <w:spacing w:after="180" w:line="256" w:lineRule="auto"/>
        <w:rPr>
          <w:lang w:val="en-AU"/>
        </w:rPr>
      </w:pPr>
      <w:r w:rsidRPr="009F4B0F">
        <w:rPr>
          <w:lang w:val="en-AU"/>
        </w:rPr>
        <w:t>Discuss further whether to select either the revised Alt 4 or Alt 6</w:t>
      </w:r>
      <w:r>
        <w:rPr>
          <w:lang w:val="en-AU"/>
        </w:rPr>
        <w:t xml:space="preserve"> for </w:t>
      </w:r>
      <w:r>
        <w:rPr>
          <w:lang w:val="en-AU"/>
        </w:rPr>
        <w:t xml:space="preserve">PUSCH transmissions made using </w:t>
      </w:r>
      <w:r>
        <w:rPr>
          <w:lang w:val="en-AU"/>
        </w:rPr>
        <w:t>non-</w:t>
      </w:r>
      <w:proofErr w:type="gramStart"/>
      <w:r>
        <w:rPr>
          <w:lang w:val="en-AU"/>
        </w:rPr>
        <w:t>codebook based</w:t>
      </w:r>
      <w:proofErr w:type="gramEnd"/>
      <w:r>
        <w:rPr>
          <w:lang w:val="en-AU"/>
        </w:rPr>
        <w:t xml:space="preserve"> operation</w:t>
      </w:r>
      <w:r w:rsidRPr="009F4B0F">
        <w:rPr>
          <w:lang w:val="en-AU"/>
        </w:rPr>
        <w:t>.</w:t>
      </w:r>
    </w:p>
    <w:p w14:paraId="2C68FB05" w14:textId="77777777" w:rsidR="002406AF" w:rsidRPr="009F4B0F" w:rsidRDefault="002406AF" w:rsidP="002406AF">
      <w:pPr>
        <w:pStyle w:val="ListParagraph"/>
        <w:numPr>
          <w:ilvl w:val="1"/>
          <w:numId w:val="32"/>
        </w:numPr>
        <w:spacing w:after="180" w:line="256" w:lineRule="auto"/>
        <w:rPr>
          <w:lang w:val="en-AU"/>
        </w:rPr>
      </w:pPr>
      <w:r>
        <w:rPr>
          <w:lang w:val="en-AU"/>
        </w:rPr>
        <w:t xml:space="preserve">Revised Alt4 - </w:t>
      </w:r>
      <w:r w:rsidRPr="009F4B0F">
        <w:rPr>
          <w:lang w:val="en-AU"/>
        </w:rPr>
        <w:t>“the maximum number of SRS resources in SRS-</w:t>
      </w:r>
      <w:proofErr w:type="spellStart"/>
      <w:r w:rsidRPr="009F4B0F">
        <w:rPr>
          <w:lang w:val="en-AU"/>
        </w:rPr>
        <w:t>ResourceSet</w:t>
      </w:r>
      <w:proofErr w:type="spellEnd"/>
      <w:r w:rsidRPr="009F4B0F">
        <w:rPr>
          <w:lang w:val="en-AU"/>
        </w:rPr>
        <w:t xml:space="preserve"> configured with usage set to '</w:t>
      </w:r>
      <w:proofErr w:type="spellStart"/>
      <w:r w:rsidRPr="009F4B0F">
        <w:rPr>
          <w:lang w:val="en-AU"/>
        </w:rPr>
        <w:t>nonCodebook</w:t>
      </w:r>
      <w:proofErr w:type="spellEnd"/>
      <w:r w:rsidRPr="009F4B0F">
        <w:rPr>
          <w:lang w:val="en-AU"/>
        </w:rPr>
        <w:t xml:space="preserve">’ supported by the UE with divided by the maximum number of simultaneously transmitted SRS resources in one symbol for the non-codebook transmission scheme when the higher layer parameter </w:t>
      </w:r>
      <w:proofErr w:type="spellStart"/>
      <w:r w:rsidRPr="009F4B0F">
        <w:rPr>
          <w:lang w:val="en-AU"/>
        </w:rPr>
        <w:t>txConfig</w:t>
      </w:r>
      <w:proofErr w:type="spellEnd"/>
      <w:r w:rsidRPr="009F4B0F">
        <w:rPr>
          <w:lang w:val="en-AU"/>
        </w:rPr>
        <w:t xml:space="preserve"> in PUSCH-Config is set to ‘</w:t>
      </w:r>
      <w:proofErr w:type="spellStart"/>
      <w:r w:rsidRPr="009F4B0F">
        <w:rPr>
          <w:lang w:val="en-AU"/>
        </w:rPr>
        <w:t>nonCodebook</w:t>
      </w:r>
      <w:proofErr w:type="spellEnd"/>
      <w:r w:rsidRPr="009F4B0F">
        <w:rPr>
          <w:lang w:val="en-AU"/>
        </w:rPr>
        <w:t>'”</w:t>
      </w:r>
    </w:p>
    <w:p w14:paraId="5272C343" w14:textId="77777777" w:rsidR="002406AF" w:rsidRPr="009F4B0F" w:rsidRDefault="002406AF" w:rsidP="002406AF">
      <w:pPr>
        <w:pStyle w:val="ListParagraph"/>
        <w:numPr>
          <w:ilvl w:val="1"/>
          <w:numId w:val="32"/>
        </w:numPr>
        <w:spacing w:after="180" w:line="256" w:lineRule="auto"/>
        <w:rPr>
          <w:lang w:val="en-AU"/>
        </w:rPr>
      </w:pPr>
      <w:r>
        <w:rPr>
          <w:lang w:val="en-AU"/>
        </w:rPr>
        <w:t>Alt 6 – “</w:t>
      </w:r>
      <w:r w:rsidRPr="009F4B0F">
        <w:rPr>
          <w:i/>
          <w:lang w:val="en-AU"/>
        </w:rPr>
        <w:t>the supported maximum number of SRS resource per SRS resource set with usage set to '</w:t>
      </w:r>
      <w:proofErr w:type="spellStart"/>
      <w:r w:rsidRPr="009F4B0F">
        <w:rPr>
          <w:i/>
          <w:lang w:val="en-AU"/>
        </w:rPr>
        <w:t>nonCodebook</w:t>
      </w:r>
      <w:proofErr w:type="spellEnd"/>
      <w:proofErr w:type="gramStart"/>
      <w:r w:rsidRPr="009F4B0F">
        <w:rPr>
          <w:i/>
          <w:lang w:val="en-AU"/>
        </w:rPr>
        <w:t>'</w:t>
      </w:r>
      <w:r>
        <w:rPr>
          <w:rFonts w:ascii="Arial" w:hAnsi="Arial" w:cs="Arial"/>
          <w:lang w:val="en-AU"/>
        </w:rPr>
        <w:t> </w:t>
      </w:r>
      <w:r>
        <w:rPr>
          <w:lang w:val="en-AU"/>
        </w:rPr>
        <w:t>”</w:t>
      </w:r>
      <w:proofErr w:type="gramEnd"/>
    </w:p>
    <w:p w14:paraId="5186B2E3" w14:textId="3B078CED" w:rsidR="004B7C24" w:rsidRPr="000F5010" w:rsidRDefault="004B7C24" w:rsidP="00124E0D">
      <w:pPr>
        <w:pStyle w:val="BodyText"/>
        <w:rPr>
          <w:lang w:val="en-AU"/>
        </w:rPr>
      </w:pPr>
      <w:r>
        <w:rPr>
          <w:lang w:val="en-AU"/>
        </w:rPr>
        <w:t>In addition to thi</w:t>
      </w:r>
      <w:r w:rsidR="00C06601">
        <w:rPr>
          <w:lang w:val="en-AU"/>
        </w:rPr>
        <w:t xml:space="preserve">s we have also discussed the power scaling for SRS and have the following proposal. </w:t>
      </w:r>
      <w:r>
        <w:rPr>
          <w:lang w:val="en-AU"/>
        </w:rPr>
        <w:t xml:space="preserve"> </w:t>
      </w:r>
    </w:p>
    <w:p w14:paraId="12540BBE" w14:textId="4143DDB2" w:rsidR="00681CFE" w:rsidRPr="000F5010" w:rsidRDefault="00A52E52" w:rsidP="00A52E52">
      <w:pPr>
        <w:rPr>
          <w:b/>
        </w:rPr>
      </w:pPr>
      <w:r w:rsidRPr="000F5010">
        <w:rPr>
          <w:b/>
        </w:rPr>
        <w:t>Proposal</w:t>
      </w:r>
    </w:p>
    <w:p w14:paraId="607AB5F3" w14:textId="77777777" w:rsidR="00C06601" w:rsidRDefault="00C06601" w:rsidP="00C06601">
      <w:pPr>
        <w:pStyle w:val="ListParagraph"/>
        <w:numPr>
          <w:ilvl w:val="0"/>
          <w:numId w:val="17"/>
        </w:numPr>
        <w:spacing w:after="180" w:line="256" w:lineRule="auto"/>
        <w:rPr>
          <w:rFonts w:asciiTheme="minorHAnsi" w:hAnsiTheme="minorHAnsi"/>
          <w:lang w:val="en-AU" w:eastAsia="zh-CN"/>
        </w:rPr>
      </w:pPr>
      <w:r>
        <w:rPr>
          <w:rFonts w:asciiTheme="minorHAnsi" w:hAnsiTheme="minorHAnsi"/>
          <w:lang w:val="en-AU" w:eastAsia="zh-CN"/>
        </w:rPr>
        <w:t xml:space="preserve">Clarify Rel-15 NR SRS power scaling specifications such that per-PA full power capacity </w:t>
      </w:r>
      <w:r>
        <w:rPr>
          <w:lang w:val="en-AU"/>
        </w:rPr>
        <w:t xml:space="preserve">for all PAs in the UE </w:t>
      </w:r>
      <w:r>
        <w:rPr>
          <w:rFonts w:asciiTheme="minorHAnsi" w:hAnsiTheme="minorHAnsi"/>
          <w:lang w:val="en-AU" w:eastAsia="zh-CN"/>
        </w:rPr>
        <w:t>is not required.</w:t>
      </w:r>
    </w:p>
    <w:p w14:paraId="5EA31BD1" w14:textId="77777777" w:rsidR="00C06601" w:rsidRPr="007A6FA8" w:rsidRDefault="00C06601" w:rsidP="00C06601">
      <w:pPr>
        <w:pStyle w:val="ListParagraph"/>
        <w:numPr>
          <w:ilvl w:val="0"/>
          <w:numId w:val="17"/>
        </w:numPr>
        <w:spacing w:after="180" w:line="259" w:lineRule="auto"/>
        <w:rPr>
          <w:rFonts w:asciiTheme="minorHAnsi" w:hAnsiTheme="minorHAnsi"/>
          <w:lang w:val="en-AU" w:eastAsia="zh-CN"/>
        </w:rPr>
      </w:pPr>
      <w:r w:rsidRPr="00733C73">
        <w:rPr>
          <w:rFonts w:asciiTheme="minorHAnsi" w:hAnsiTheme="minorHAnsi"/>
          <w:lang w:val="en-AU" w:eastAsia="zh-CN"/>
        </w:rPr>
        <w:t xml:space="preserve">Clarify the </w:t>
      </w:r>
      <w:r>
        <w:rPr>
          <w:rFonts w:asciiTheme="minorHAnsi" w:hAnsiTheme="minorHAnsi"/>
          <w:lang w:val="en-AU" w:eastAsia="zh-CN"/>
        </w:rPr>
        <w:t>i</w:t>
      </w:r>
      <w:r w:rsidRPr="00733C73">
        <w:rPr>
          <w:rFonts w:asciiTheme="minorHAnsi" w:hAnsiTheme="minorHAnsi"/>
          <w:lang w:val="en-AU" w:eastAsia="zh-CN"/>
        </w:rPr>
        <w:t>nt</w:t>
      </w:r>
      <w:r>
        <w:rPr>
          <w:rFonts w:asciiTheme="minorHAnsi" w:hAnsiTheme="minorHAnsi"/>
          <w:lang w:val="en-AU" w:eastAsia="zh-CN"/>
        </w:rPr>
        <w:t>er</w:t>
      </w:r>
      <w:r w:rsidRPr="00733C73">
        <w:rPr>
          <w:rFonts w:asciiTheme="minorHAnsi" w:hAnsiTheme="minorHAnsi"/>
          <w:lang w:val="en-AU" w:eastAsia="zh-CN"/>
        </w:rPr>
        <w:t xml:space="preserve"> SRS resource set power scaling</w:t>
      </w:r>
      <w:r>
        <w:rPr>
          <w:rFonts w:asciiTheme="minorHAnsi" w:hAnsiTheme="minorHAnsi"/>
          <w:lang w:val="en-AU" w:eastAsia="zh-CN"/>
        </w:rPr>
        <w:t xml:space="preserve">: </w:t>
      </w:r>
    </w:p>
    <w:p w14:paraId="326F1A63" w14:textId="77777777" w:rsidR="00C06601" w:rsidRDefault="00C06601" w:rsidP="00C06601">
      <w:pPr>
        <w:pStyle w:val="ListParagraph"/>
        <w:numPr>
          <w:ilvl w:val="1"/>
          <w:numId w:val="17"/>
        </w:numPr>
        <w:spacing w:after="180" w:line="259" w:lineRule="auto"/>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69439367">
          <v:shape id="_x0000_i1048" type="#_x0000_t75" style="width:57.6pt;height:21.6pt" o:ole="">
            <v:imagedata r:id="rId27" o:title=""/>
          </v:shape>
          <o:OLEObject Type="Embed" ProgID="Equation.3" ShapeID="_x0000_i1048" DrawAspect="Content" ObjectID="_1602683256" r:id="rId53"/>
        </w:object>
      </w:r>
      <w:r w:rsidRPr="00501087">
        <w:rPr>
          <w:iCs/>
          <w:lang w:val="en-AU"/>
        </w:rPr>
        <w:t xml:space="preserve"> per antenna</w:t>
      </w:r>
      <w:r>
        <w:rPr>
          <w:iCs/>
          <w:lang w:val="en-AU"/>
        </w:rPr>
        <w:t xml:space="preserve"> port.</w:t>
      </w:r>
      <w:r w:rsidRPr="00501087">
        <w:rPr>
          <w:iCs/>
          <w:lang w:val="en-AU"/>
        </w:rPr>
        <w:t xml:space="preserve"> </w:t>
      </w:r>
    </w:p>
    <w:p w14:paraId="6B540C4C" w14:textId="77777777" w:rsidR="00C06601" w:rsidRDefault="00C06601" w:rsidP="00C06601">
      <w:pPr>
        <w:pStyle w:val="ListParagraph"/>
        <w:numPr>
          <w:ilvl w:val="1"/>
          <w:numId w:val="17"/>
        </w:numPr>
        <w:spacing w:after="180" w:line="259" w:lineRule="auto"/>
        <w:rPr>
          <w:rFonts w:asciiTheme="minorHAnsi" w:hAnsiTheme="minorHAnsi"/>
          <w:lang w:val="en-AU" w:eastAsia="zh-CN"/>
        </w:rPr>
      </w:pPr>
      <w:r>
        <w:rPr>
          <w:rFonts w:asciiTheme="minorHAnsi" w:hAnsiTheme="minorHAnsi"/>
          <w:lang w:val="en-AU" w:eastAsia="zh-CN"/>
        </w:rPr>
        <w:t xml:space="preserve">Consider the following designs of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p>
    <w:p w14:paraId="1268B2A1" w14:textId="77777777" w:rsidR="00C06601" w:rsidRDefault="00C06601" w:rsidP="00C06601">
      <w:pPr>
        <w:pStyle w:val="ListParagraph"/>
        <w:numPr>
          <w:ilvl w:val="2"/>
          <w:numId w:val="17"/>
        </w:numPr>
        <w:spacing w:after="180" w:line="259" w:lineRule="auto"/>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based on UE capability (similar to as discussed for PUSCH power scaling)</w:t>
      </w:r>
    </w:p>
    <w:p w14:paraId="55997712" w14:textId="77777777" w:rsidR="00C06601" w:rsidRDefault="00C06601" w:rsidP="00C06601">
      <w:pPr>
        <w:pStyle w:val="ListParagraph"/>
        <w:numPr>
          <w:ilvl w:val="2"/>
          <w:numId w:val="17"/>
        </w:numPr>
        <w:spacing w:after="180" w:line="259" w:lineRule="auto"/>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 xml:space="preserve">based on the SRS resource set’s corresponding </w:t>
      </w:r>
      <w:r w:rsidRPr="004B6255">
        <w:rPr>
          <w:rFonts w:asciiTheme="minorHAnsi" w:hAnsiTheme="minorHAnsi"/>
          <w:lang w:val="en-AU"/>
        </w:rPr>
        <w:t>SRS-SetUse</w:t>
      </w:r>
      <w:r>
        <w:rPr>
          <w:rFonts w:asciiTheme="minorHAnsi" w:hAnsiTheme="minorHAnsi"/>
          <w:lang w:val="en-AU"/>
        </w:rPr>
        <w:t>.</w:t>
      </w:r>
    </w:p>
    <w:p w14:paraId="5D7BF56F" w14:textId="3B9118D4" w:rsidR="00865F12" w:rsidRPr="00E60EF2" w:rsidRDefault="00C06601" w:rsidP="00865F12">
      <w:pPr>
        <w:pStyle w:val="ListParagraph"/>
        <w:numPr>
          <w:ilvl w:val="0"/>
          <w:numId w:val="17"/>
        </w:numPr>
        <w:rPr>
          <w:szCs w:val="22"/>
        </w:rPr>
      </w:pPr>
      <w:r w:rsidRPr="007A6FA8">
        <w:rPr>
          <w:lang w:val="en-AU" w:eastAsia="zh-CN"/>
        </w:rPr>
        <w:t>Clarify the inter SRS resource set power scaling.</w:t>
      </w:r>
      <w:r w:rsidR="00865F12" w:rsidRPr="00E60EF2">
        <w:rPr>
          <w:lang w:val="en-GB" w:eastAsia="zh-CN"/>
        </w:rPr>
        <w:t xml:space="preserve"> </w:t>
      </w:r>
    </w:p>
    <w:p w14:paraId="18B7FD7F" w14:textId="77777777" w:rsidR="00663DEE" w:rsidRDefault="00663DEE" w:rsidP="00663DEE">
      <w:pPr>
        <w:pStyle w:val="Heading1"/>
      </w:pPr>
      <w:r>
        <w:t>References</w:t>
      </w:r>
    </w:p>
    <w:p w14:paraId="7642B169" w14:textId="06422A7F" w:rsidR="00627EC4" w:rsidRPr="00AD1DBA" w:rsidRDefault="00C06601" w:rsidP="000C4A37">
      <w:pPr>
        <w:pStyle w:val="BodyText"/>
      </w:pPr>
      <w:r w:rsidRPr="003E6904" w:rsidDel="00C06601">
        <w:t xml:space="preserve"> </w:t>
      </w:r>
      <w:r w:rsidR="00F81355" w:rsidRPr="003E6904">
        <w:t>[</w:t>
      </w:r>
      <w:r>
        <w:t>1</w:t>
      </w:r>
      <w:r w:rsidR="00F81355" w:rsidRPr="003E6904">
        <w:t xml:space="preserve">] </w:t>
      </w:r>
      <w:r w:rsidR="00F81355" w:rsidRPr="000F5010">
        <w:t>R1-</w:t>
      </w:r>
      <w:r w:rsidRPr="000F5010">
        <w:t>181</w:t>
      </w:r>
      <w:r w:rsidR="00B4767E" w:rsidRPr="000F5010">
        <w:t>3478</w:t>
      </w:r>
      <w:r w:rsidRPr="003E6904">
        <w:t xml:space="preserve"> </w:t>
      </w:r>
      <w:r w:rsidR="00F81355" w:rsidRPr="003E6904">
        <w:t>– “</w:t>
      </w:r>
      <w:r w:rsidR="00332C28" w:rsidRPr="003E6904">
        <w:rPr>
          <w:lang w:val="en-AU"/>
        </w:rPr>
        <w:t>SRS power scaling in UL power control</w:t>
      </w:r>
      <w:r w:rsidR="00F81355" w:rsidRPr="003E6904">
        <w:t xml:space="preserve">”, </w:t>
      </w:r>
      <w:r>
        <w:t>Ericsson, 3GPP TSG-RAN WG1 Meeting #95, Spokane, USA, November 12th – 16th, 2018</w:t>
      </w:r>
    </w:p>
    <w:sectPr w:rsidR="00627EC4" w:rsidRPr="00AD1DBA">
      <w:headerReference w:type="default" r:id="rId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24D6B" w14:textId="77777777" w:rsidR="00F363E2" w:rsidRDefault="00F363E2">
      <w:r>
        <w:separator/>
      </w:r>
    </w:p>
  </w:endnote>
  <w:endnote w:type="continuationSeparator" w:id="0">
    <w:p w14:paraId="1C180858" w14:textId="77777777" w:rsidR="00F363E2" w:rsidRDefault="00F3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0A63" w14:textId="77777777" w:rsidR="00F363E2" w:rsidRDefault="00F363E2">
      <w:r>
        <w:separator/>
      </w:r>
    </w:p>
  </w:footnote>
  <w:footnote w:type="continuationSeparator" w:id="0">
    <w:p w14:paraId="2B83FF56" w14:textId="77777777" w:rsidR="00F363E2" w:rsidRDefault="00F3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6F0B4" w14:textId="77777777" w:rsidR="00F00C5A" w:rsidRDefault="00F00C5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85E94D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9586AB04"/>
    <w:lvl w:ilvl="0" w:tplc="4BC2A8F4">
      <w:start w:val="1"/>
      <w:numFmt w:val="bullet"/>
      <w:lvlText w:val=""/>
      <w:lvlJc w:val="left"/>
      <w:pPr>
        <w:ind w:left="720" w:hanging="360"/>
      </w:pPr>
      <w:rPr>
        <w:rFonts w:ascii="Symbol" w:hAnsi="Symbol" w:hint="default"/>
        <w:lang w:val="en-US"/>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DAB057A"/>
    <w:multiLevelType w:val="hybridMultilevel"/>
    <w:tmpl w:val="6CA8E74C"/>
    <w:lvl w:ilvl="0" w:tplc="6CE4CA60">
      <w:start w:val="1"/>
      <w:numFmt w:val="lowerRoman"/>
      <w:lvlText w:val="%1)"/>
      <w:lvlJc w:val="left"/>
      <w:pPr>
        <w:ind w:left="1080" w:hanging="72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6" w15:restartNumberingAfterBreak="0">
    <w:nsid w:val="121E4A79"/>
    <w:multiLevelType w:val="hybridMultilevel"/>
    <w:tmpl w:val="7CEE5A6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2516437"/>
    <w:multiLevelType w:val="hybridMultilevel"/>
    <w:tmpl w:val="99F0F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C7331"/>
    <w:multiLevelType w:val="hybridMultilevel"/>
    <w:tmpl w:val="E8A6CF84"/>
    <w:lvl w:ilvl="0" w:tplc="081D0001">
      <w:start w:val="1"/>
      <w:numFmt w:val="bullet"/>
      <w:lvlText w:val=""/>
      <w:lvlJc w:val="left"/>
      <w:pPr>
        <w:ind w:left="1080" w:hanging="360"/>
      </w:pPr>
      <w:rPr>
        <w:rFonts w:ascii="Symbol" w:hAnsi="Symbol" w:hint="default"/>
      </w:rPr>
    </w:lvl>
    <w:lvl w:ilvl="1" w:tplc="081D0003" w:tentative="1">
      <w:start w:val="1"/>
      <w:numFmt w:val="bullet"/>
      <w:lvlText w:val="o"/>
      <w:lvlJc w:val="left"/>
      <w:pPr>
        <w:ind w:left="1800" w:hanging="360"/>
      </w:pPr>
      <w:rPr>
        <w:rFonts w:ascii="Courier New" w:hAnsi="Courier New" w:cs="Courier New" w:hint="default"/>
      </w:rPr>
    </w:lvl>
    <w:lvl w:ilvl="2" w:tplc="081D0005" w:tentative="1">
      <w:start w:val="1"/>
      <w:numFmt w:val="bullet"/>
      <w:lvlText w:val=""/>
      <w:lvlJc w:val="left"/>
      <w:pPr>
        <w:ind w:left="2520" w:hanging="360"/>
      </w:pPr>
      <w:rPr>
        <w:rFonts w:ascii="Wingdings" w:hAnsi="Wingdings" w:hint="default"/>
      </w:rPr>
    </w:lvl>
    <w:lvl w:ilvl="3" w:tplc="081D0001" w:tentative="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14" w15:restartNumberingAfterBreak="0">
    <w:nsid w:val="3EAC0568"/>
    <w:multiLevelType w:val="hybridMultilevel"/>
    <w:tmpl w:val="20943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54C93"/>
    <w:multiLevelType w:val="hybridMultilevel"/>
    <w:tmpl w:val="C7E4F3E2"/>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23" w15:restartNumberingAfterBreak="0">
    <w:nsid w:val="567B7A51"/>
    <w:multiLevelType w:val="hybridMultilevel"/>
    <w:tmpl w:val="7EF86638"/>
    <w:lvl w:ilvl="0" w:tplc="081D0015">
      <w:start w:val="1"/>
      <w:numFmt w:val="upperLetter"/>
      <w:lvlText w:val="%1."/>
      <w:lvlJc w:val="left"/>
      <w:pPr>
        <w:ind w:left="1080" w:hanging="360"/>
      </w:pPr>
    </w:lvl>
    <w:lvl w:ilvl="1" w:tplc="081D0019" w:tentative="1">
      <w:start w:val="1"/>
      <w:numFmt w:val="lowerLetter"/>
      <w:lvlText w:val="%2."/>
      <w:lvlJc w:val="left"/>
      <w:pPr>
        <w:ind w:left="1800" w:hanging="360"/>
      </w:pPr>
    </w:lvl>
    <w:lvl w:ilvl="2" w:tplc="081D001B" w:tentative="1">
      <w:start w:val="1"/>
      <w:numFmt w:val="lowerRoman"/>
      <w:lvlText w:val="%3."/>
      <w:lvlJc w:val="right"/>
      <w:pPr>
        <w:ind w:left="2520" w:hanging="180"/>
      </w:pPr>
    </w:lvl>
    <w:lvl w:ilvl="3" w:tplc="081D000F" w:tentative="1">
      <w:start w:val="1"/>
      <w:numFmt w:val="decimal"/>
      <w:lvlText w:val="%4."/>
      <w:lvlJc w:val="left"/>
      <w:pPr>
        <w:ind w:left="3240" w:hanging="360"/>
      </w:pPr>
    </w:lvl>
    <w:lvl w:ilvl="4" w:tplc="081D0019" w:tentative="1">
      <w:start w:val="1"/>
      <w:numFmt w:val="lowerLetter"/>
      <w:lvlText w:val="%5."/>
      <w:lvlJc w:val="left"/>
      <w:pPr>
        <w:ind w:left="3960" w:hanging="360"/>
      </w:pPr>
    </w:lvl>
    <w:lvl w:ilvl="5" w:tplc="081D001B" w:tentative="1">
      <w:start w:val="1"/>
      <w:numFmt w:val="lowerRoman"/>
      <w:lvlText w:val="%6."/>
      <w:lvlJc w:val="right"/>
      <w:pPr>
        <w:ind w:left="4680" w:hanging="180"/>
      </w:pPr>
    </w:lvl>
    <w:lvl w:ilvl="6" w:tplc="081D000F" w:tentative="1">
      <w:start w:val="1"/>
      <w:numFmt w:val="decimal"/>
      <w:lvlText w:val="%7."/>
      <w:lvlJc w:val="left"/>
      <w:pPr>
        <w:ind w:left="5400" w:hanging="360"/>
      </w:pPr>
    </w:lvl>
    <w:lvl w:ilvl="7" w:tplc="081D0019" w:tentative="1">
      <w:start w:val="1"/>
      <w:numFmt w:val="lowerLetter"/>
      <w:lvlText w:val="%8."/>
      <w:lvlJc w:val="left"/>
      <w:pPr>
        <w:ind w:left="6120" w:hanging="360"/>
      </w:pPr>
    </w:lvl>
    <w:lvl w:ilvl="8" w:tplc="081D001B" w:tentative="1">
      <w:start w:val="1"/>
      <w:numFmt w:val="lowerRoman"/>
      <w:lvlText w:val="%9."/>
      <w:lvlJc w:val="right"/>
      <w:pPr>
        <w:ind w:left="684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B6B43"/>
    <w:multiLevelType w:val="hybridMultilevel"/>
    <w:tmpl w:val="16A6573A"/>
    <w:lvl w:ilvl="0" w:tplc="D6E476B2">
      <w:start w:val="1"/>
      <w:numFmt w:val="bullet"/>
      <w:lvlText w:val=""/>
      <w:lvlJc w:val="left"/>
      <w:pPr>
        <w:ind w:left="720" w:hanging="360"/>
      </w:pPr>
      <w:rPr>
        <w:rFonts w:ascii="Symbol" w:hAnsi="Symbol" w:hint="default"/>
        <w:lang w:val="en-US"/>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6562249F"/>
    <w:multiLevelType w:val="hybridMultilevel"/>
    <w:tmpl w:val="26E2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F6BE6"/>
    <w:multiLevelType w:val="hybridMultilevel"/>
    <w:tmpl w:val="36E0B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12"/>
  </w:num>
  <w:num w:numId="3">
    <w:abstractNumId w:val="17"/>
  </w:num>
  <w:num w:numId="4">
    <w:abstractNumId w:val="20"/>
  </w:num>
  <w:num w:numId="5">
    <w:abstractNumId w:val="15"/>
  </w:num>
  <w:num w:numId="6">
    <w:abstractNumId w:val="8"/>
  </w:num>
  <w:num w:numId="7">
    <w:abstractNumId w:val="18"/>
  </w:num>
  <w:num w:numId="8">
    <w:abstractNumId w:val="10"/>
  </w:num>
  <w:num w:numId="9">
    <w:abstractNumId w:val="0"/>
  </w:num>
  <w:num w:numId="10">
    <w:abstractNumId w:val="4"/>
  </w:num>
  <w:num w:numId="11">
    <w:abstractNumId w:val="19"/>
  </w:num>
  <w:num w:numId="12">
    <w:abstractNumId w:val="25"/>
  </w:num>
  <w:num w:numId="13">
    <w:abstractNumId w:val="24"/>
  </w:num>
  <w:num w:numId="14">
    <w:abstractNumId w:val="29"/>
  </w:num>
  <w:num w:numId="15">
    <w:abstractNumId w:val="21"/>
  </w:num>
  <w:num w:numId="16">
    <w:abstractNumId w:val="2"/>
  </w:num>
  <w:num w:numId="17">
    <w:abstractNumId w:val="3"/>
  </w:num>
  <w:num w:numId="18">
    <w:abstractNumId w:val="16"/>
  </w:num>
  <w:num w:numId="19">
    <w:abstractNumId w:val="9"/>
  </w:num>
  <w:num w:numId="20">
    <w:abstractNumId w:val="11"/>
  </w:num>
  <w:num w:numId="21">
    <w:abstractNumId w:val="30"/>
  </w:num>
  <w:num w:numId="22">
    <w:abstractNumId w:val="30"/>
  </w:num>
  <w:num w:numId="23">
    <w:abstractNumId w:val="28"/>
  </w:num>
  <w:num w:numId="24">
    <w:abstractNumId w:val="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5"/>
  </w:num>
  <w:num w:numId="29">
    <w:abstractNumId w:val="26"/>
  </w:num>
  <w:num w:numId="30">
    <w:abstractNumId w:val="14"/>
  </w:num>
  <w:num w:numId="31">
    <w:abstractNumId w:val="7"/>
  </w:num>
  <w:num w:numId="32">
    <w:abstractNumId w:val="27"/>
  </w:num>
  <w:num w:numId="33">
    <w:abstractNumId w:val="1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2B2B"/>
    <w:rsid w:val="000339BF"/>
    <w:rsid w:val="00034A85"/>
    <w:rsid w:val="00037460"/>
    <w:rsid w:val="000374E8"/>
    <w:rsid w:val="000376D7"/>
    <w:rsid w:val="00037C51"/>
    <w:rsid w:val="00041947"/>
    <w:rsid w:val="0004251E"/>
    <w:rsid w:val="00042B95"/>
    <w:rsid w:val="00043940"/>
    <w:rsid w:val="000448BB"/>
    <w:rsid w:val="00047833"/>
    <w:rsid w:val="00054BF6"/>
    <w:rsid w:val="00055C3F"/>
    <w:rsid w:val="00056F8C"/>
    <w:rsid w:val="00060759"/>
    <w:rsid w:val="000634C0"/>
    <w:rsid w:val="0006366A"/>
    <w:rsid w:val="00063E6B"/>
    <w:rsid w:val="00077EFD"/>
    <w:rsid w:val="00084446"/>
    <w:rsid w:val="00086EAD"/>
    <w:rsid w:val="0009038A"/>
    <w:rsid w:val="000944E4"/>
    <w:rsid w:val="00096460"/>
    <w:rsid w:val="000A258F"/>
    <w:rsid w:val="000A4E5A"/>
    <w:rsid w:val="000A74B8"/>
    <w:rsid w:val="000B017B"/>
    <w:rsid w:val="000B1CAD"/>
    <w:rsid w:val="000B45EF"/>
    <w:rsid w:val="000B6206"/>
    <w:rsid w:val="000B7036"/>
    <w:rsid w:val="000C02AC"/>
    <w:rsid w:val="000C294C"/>
    <w:rsid w:val="000C49ED"/>
    <w:rsid w:val="000C4A37"/>
    <w:rsid w:val="000D0970"/>
    <w:rsid w:val="000D0B30"/>
    <w:rsid w:val="000E395D"/>
    <w:rsid w:val="000E4B95"/>
    <w:rsid w:val="000F5010"/>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C86"/>
    <w:rsid w:val="001270EA"/>
    <w:rsid w:val="00131DE4"/>
    <w:rsid w:val="00137769"/>
    <w:rsid w:val="00141448"/>
    <w:rsid w:val="00142260"/>
    <w:rsid w:val="001464AC"/>
    <w:rsid w:val="001471D9"/>
    <w:rsid w:val="00160407"/>
    <w:rsid w:val="00162F9B"/>
    <w:rsid w:val="001642BA"/>
    <w:rsid w:val="0016645B"/>
    <w:rsid w:val="00171B31"/>
    <w:rsid w:val="0017310F"/>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4398"/>
    <w:rsid w:val="001D5808"/>
    <w:rsid w:val="001E21F6"/>
    <w:rsid w:val="001E5785"/>
    <w:rsid w:val="001F1207"/>
    <w:rsid w:val="001F5526"/>
    <w:rsid w:val="002029F5"/>
    <w:rsid w:val="00203121"/>
    <w:rsid w:val="00204921"/>
    <w:rsid w:val="00205AF2"/>
    <w:rsid w:val="00210105"/>
    <w:rsid w:val="0021013F"/>
    <w:rsid w:val="00212F01"/>
    <w:rsid w:val="002131B0"/>
    <w:rsid w:val="002138B0"/>
    <w:rsid w:val="00214784"/>
    <w:rsid w:val="00214ECF"/>
    <w:rsid w:val="00215911"/>
    <w:rsid w:val="00220D91"/>
    <w:rsid w:val="0022555C"/>
    <w:rsid w:val="0022659E"/>
    <w:rsid w:val="00227C72"/>
    <w:rsid w:val="00230AE5"/>
    <w:rsid w:val="0023314F"/>
    <w:rsid w:val="002406AF"/>
    <w:rsid w:val="00243F21"/>
    <w:rsid w:val="00255221"/>
    <w:rsid w:val="00255E5D"/>
    <w:rsid w:val="0025780D"/>
    <w:rsid w:val="00257C69"/>
    <w:rsid w:val="00257D9E"/>
    <w:rsid w:val="00260E2E"/>
    <w:rsid w:val="002634F0"/>
    <w:rsid w:val="00264D4E"/>
    <w:rsid w:val="002673ED"/>
    <w:rsid w:val="00276840"/>
    <w:rsid w:val="00290099"/>
    <w:rsid w:val="00290F9F"/>
    <w:rsid w:val="002A13E7"/>
    <w:rsid w:val="002A1D8F"/>
    <w:rsid w:val="002A31FC"/>
    <w:rsid w:val="002B05D8"/>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7CFE"/>
    <w:rsid w:val="00323753"/>
    <w:rsid w:val="00324829"/>
    <w:rsid w:val="003263D3"/>
    <w:rsid w:val="00331C9A"/>
    <w:rsid w:val="00332C28"/>
    <w:rsid w:val="00335CE1"/>
    <w:rsid w:val="003410DC"/>
    <w:rsid w:val="00343A18"/>
    <w:rsid w:val="00346938"/>
    <w:rsid w:val="00347030"/>
    <w:rsid w:val="00350180"/>
    <w:rsid w:val="00351AE2"/>
    <w:rsid w:val="00354D94"/>
    <w:rsid w:val="00361CA8"/>
    <w:rsid w:val="00363390"/>
    <w:rsid w:val="00363EBF"/>
    <w:rsid w:val="003729CE"/>
    <w:rsid w:val="003756BE"/>
    <w:rsid w:val="00376F9D"/>
    <w:rsid w:val="0038144A"/>
    <w:rsid w:val="003875A3"/>
    <w:rsid w:val="00397027"/>
    <w:rsid w:val="003A1432"/>
    <w:rsid w:val="003A1F9F"/>
    <w:rsid w:val="003A2C54"/>
    <w:rsid w:val="003A2FF4"/>
    <w:rsid w:val="003A3E47"/>
    <w:rsid w:val="003A4AD8"/>
    <w:rsid w:val="003B1D40"/>
    <w:rsid w:val="003B4771"/>
    <w:rsid w:val="003B515B"/>
    <w:rsid w:val="003B5644"/>
    <w:rsid w:val="003B6C67"/>
    <w:rsid w:val="003C040C"/>
    <w:rsid w:val="003C0BC9"/>
    <w:rsid w:val="003C4CC8"/>
    <w:rsid w:val="003C71AB"/>
    <w:rsid w:val="003D14C4"/>
    <w:rsid w:val="003E003F"/>
    <w:rsid w:val="003E1836"/>
    <w:rsid w:val="003E2560"/>
    <w:rsid w:val="003E3FD3"/>
    <w:rsid w:val="003E6904"/>
    <w:rsid w:val="003E6FB7"/>
    <w:rsid w:val="003F2472"/>
    <w:rsid w:val="0040411A"/>
    <w:rsid w:val="004067C0"/>
    <w:rsid w:val="004161BF"/>
    <w:rsid w:val="004165C9"/>
    <w:rsid w:val="00417CCD"/>
    <w:rsid w:val="004217B5"/>
    <w:rsid w:val="00422F7B"/>
    <w:rsid w:val="004240DE"/>
    <w:rsid w:val="00437ACB"/>
    <w:rsid w:val="00442C5A"/>
    <w:rsid w:val="00443E1F"/>
    <w:rsid w:val="00445DB1"/>
    <w:rsid w:val="00446715"/>
    <w:rsid w:val="00446E8F"/>
    <w:rsid w:val="004504CB"/>
    <w:rsid w:val="00450FDF"/>
    <w:rsid w:val="00460BA2"/>
    <w:rsid w:val="00462A51"/>
    <w:rsid w:val="00462ED8"/>
    <w:rsid w:val="00466724"/>
    <w:rsid w:val="00467EDC"/>
    <w:rsid w:val="00481AAB"/>
    <w:rsid w:val="004827A2"/>
    <w:rsid w:val="004837C7"/>
    <w:rsid w:val="00492A78"/>
    <w:rsid w:val="004A1A83"/>
    <w:rsid w:val="004A20E3"/>
    <w:rsid w:val="004B08D5"/>
    <w:rsid w:val="004B1A5E"/>
    <w:rsid w:val="004B2CA0"/>
    <w:rsid w:val="004B36A1"/>
    <w:rsid w:val="004B411A"/>
    <w:rsid w:val="004B57FD"/>
    <w:rsid w:val="004B7A4E"/>
    <w:rsid w:val="004B7C24"/>
    <w:rsid w:val="004C321E"/>
    <w:rsid w:val="004C4387"/>
    <w:rsid w:val="004D4E56"/>
    <w:rsid w:val="004D5111"/>
    <w:rsid w:val="004D7360"/>
    <w:rsid w:val="004E3878"/>
    <w:rsid w:val="004E4C82"/>
    <w:rsid w:val="004E66EF"/>
    <w:rsid w:val="004E70DB"/>
    <w:rsid w:val="004F5E12"/>
    <w:rsid w:val="00505EC1"/>
    <w:rsid w:val="005068F4"/>
    <w:rsid w:val="00511453"/>
    <w:rsid w:val="005118A7"/>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5729B"/>
    <w:rsid w:val="0056282E"/>
    <w:rsid w:val="00563B19"/>
    <w:rsid w:val="0056520D"/>
    <w:rsid w:val="00566F92"/>
    <w:rsid w:val="00567124"/>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2EFD"/>
    <w:rsid w:val="005A4D1F"/>
    <w:rsid w:val="005A5BAF"/>
    <w:rsid w:val="005B0522"/>
    <w:rsid w:val="005B123C"/>
    <w:rsid w:val="005B2B11"/>
    <w:rsid w:val="005B3DD7"/>
    <w:rsid w:val="005B4012"/>
    <w:rsid w:val="005C439D"/>
    <w:rsid w:val="005C5556"/>
    <w:rsid w:val="005D0A4E"/>
    <w:rsid w:val="005D3281"/>
    <w:rsid w:val="005D39C4"/>
    <w:rsid w:val="005D67F9"/>
    <w:rsid w:val="005E0AF0"/>
    <w:rsid w:val="005E2BCF"/>
    <w:rsid w:val="005E43C0"/>
    <w:rsid w:val="005E798F"/>
    <w:rsid w:val="005F24BC"/>
    <w:rsid w:val="005F3136"/>
    <w:rsid w:val="005F4F8A"/>
    <w:rsid w:val="005F57CF"/>
    <w:rsid w:val="005F6AD8"/>
    <w:rsid w:val="005F74F6"/>
    <w:rsid w:val="0060203F"/>
    <w:rsid w:val="00605CD2"/>
    <w:rsid w:val="0061070F"/>
    <w:rsid w:val="00610767"/>
    <w:rsid w:val="0061162E"/>
    <w:rsid w:val="0061336B"/>
    <w:rsid w:val="00613D63"/>
    <w:rsid w:val="00625696"/>
    <w:rsid w:val="006263BF"/>
    <w:rsid w:val="0062673F"/>
    <w:rsid w:val="00627EC4"/>
    <w:rsid w:val="006348C5"/>
    <w:rsid w:val="00636F01"/>
    <w:rsid w:val="00637AD0"/>
    <w:rsid w:val="0064164A"/>
    <w:rsid w:val="00641DDB"/>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6AE8"/>
    <w:rsid w:val="006A286A"/>
    <w:rsid w:val="006A4578"/>
    <w:rsid w:val="006B12B7"/>
    <w:rsid w:val="006B271B"/>
    <w:rsid w:val="006B49B1"/>
    <w:rsid w:val="006C3316"/>
    <w:rsid w:val="006C4DF9"/>
    <w:rsid w:val="006C6DDA"/>
    <w:rsid w:val="006D397D"/>
    <w:rsid w:val="006D788C"/>
    <w:rsid w:val="006E0D45"/>
    <w:rsid w:val="006E5FA5"/>
    <w:rsid w:val="006F2E3D"/>
    <w:rsid w:val="006F75C2"/>
    <w:rsid w:val="006F7BB6"/>
    <w:rsid w:val="0071094E"/>
    <w:rsid w:val="00714D20"/>
    <w:rsid w:val="00715DD1"/>
    <w:rsid w:val="0072282D"/>
    <w:rsid w:val="00723690"/>
    <w:rsid w:val="007247AC"/>
    <w:rsid w:val="00726A12"/>
    <w:rsid w:val="00726C96"/>
    <w:rsid w:val="007304E1"/>
    <w:rsid w:val="00730CBC"/>
    <w:rsid w:val="00741E68"/>
    <w:rsid w:val="00745767"/>
    <w:rsid w:val="00746EC8"/>
    <w:rsid w:val="007474D7"/>
    <w:rsid w:val="00747D24"/>
    <w:rsid w:val="007502D6"/>
    <w:rsid w:val="007506C7"/>
    <w:rsid w:val="007521D6"/>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9089C"/>
    <w:rsid w:val="00794DA9"/>
    <w:rsid w:val="0079742F"/>
    <w:rsid w:val="00797D82"/>
    <w:rsid w:val="007A018A"/>
    <w:rsid w:val="007A01C0"/>
    <w:rsid w:val="007A25F0"/>
    <w:rsid w:val="007A2C14"/>
    <w:rsid w:val="007A6C01"/>
    <w:rsid w:val="007A7C1A"/>
    <w:rsid w:val="007B0A12"/>
    <w:rsid w:val="007B56F8"/>
    <w:rsid w:val="007B5BF3"/>
    <w:rsid w:val="007C159C"/>
    <w:rsid w:val="007C217E"/>
    <w:rsid w:val="007C2B63"/>
    <w:rsid w:val="007C3936"/>
    <w:rsid w:val="007C72C0"/>
    <w:rsid w:val="007C7C69"/>
    <w:rsid w:val="007C7E65"/>
    <w:rsid w:val="007D4CBE"/>
    <w:rsid w:val="007D5C0A"/>
    <w:rsid w:val="007D6833"/>
    <w:rsid w:val="007E2C96"/>
    <w:rsid w:val="007F1741"/>
    <w:rsid w:val="007F3F65"/>
    <w:rsid w:val="00800AFA"/>
    <w:rsid w:val="008071C7"/>
    <w:rsid w:val="00811541"/>
    <w:rsid w:val="00815566"/>
    <w:rsid w:val="00817BB0"/>
    <w:rsid w:val="008246D0"/>
    <w:rsid w:val="00824DB3"/>
    <w:rsid w:val="00826C31"/>
    <w:rsid w:val="008302A2"/>
    <w:rsid w:val="0083401B"/>
    <w:rsid w:val="00834DE7"/>
    <w:rsid w:val="0083523B"/>
    <w:rsid w:val="0083689E"/>
    <w:rsid w:val="00836E6C"/>
    <w:rsid w:val="00840BC6"/>
    <w:rsid w:val="00841BE8"/>
    <w:rsid w:val="008428F6"/>
    <w:rsid w:val="00843AFF"/>
    <w:rsid w:val="00843FE9"/>
    <w:rsid w:val="00845F9D"/>
    <w:rsid w:val="00852208"/>
    <w:rsid w:val="00854EA0"/>
    <w:rsid w:val="0085759D"/>
    <w:rsid w:val="0086087F"/>
    <w:rsid w:val="00865F12"/>
    <w:rsid w:val="008739DF"/>
    <w:rsid w:val="00880D27"/>
    <w:rsid w:val="008822F4"/>
    <w:rsid w:val="008847A2"/>
    <w:rsid w:val="00885853"/>
    <w:rsid w:val="00885DEB"/>
    <w:rsid w:val="0089228F"/>
    <w:rsid w:val="00895275"/>
    <w:rsid w:val="008A0B64"/>
    <w:rsid w:val="008A3AF2"/>
    <w:rsid w:val="008A42AF"/>
    <w:rsid w:val="008A766A"/>
    <w:rsid w:val="008B1B81"/>
    <w:rsid w:val="008B23D4"/>
    <w:rsid w:val="008B29A3"/>
    <w:rsid w:val="008B38BA"/>
    <w:rsid w:val="008B6594"/>
    <w:rsid w:val="008B72B5"/>
    <w:rsid w:val="008C3B31"/>
    <w:rsid w:val="008C3BF8"/>
    <w:rsid w:val="008C5291"/>
    <w:rsid w:val="008C7431"/>
    <w:rsid w:val="008D1E1F"/>
    <w:rsid w:val="008D245B"/>
    <w:rsid w:val="008D5137"/>
    <w:rsid w:val="008D5A95"/>
    <w:rsid w:val="008D637D"/>
    <w:rsid w:val="008E1713"/>
    <w:rsid w:val="008E2308"/>
    <w:rsid w:val="008E2334"/>
    <w:rsid w:val="008E31D2"/>
    <w:rsid w:val="008E5F2A"/>
    <w:rsid w:val="008E6502"/>
    <w:rsid w:val="008E7AA2"/>
    <w:rsid w:val="008F141B"/>
    <w:rsid w:val="008F258A"/>
    <w:rsid w:val="008F4C53"/>
    <w:rsid w:val="008F661C"/>
    <w:rsid w:val="008F69BB"/>
    <w:rsid w:val="008F77A7"/>
    <w:rsid w:val="008F78F4"/>
    <w:rsid w:val="00900126"/>
    <w:rsid w:val="00901394"/>
    <w:rsid w:val="0090481E"/>
    <w:rsid w:val="0091224C"/>
    <w:rsid w:val="0091488F"/>
    <w:rsid w:val="00915932"/>
    <w:rsid w:val="00916947"/>
    <w:rsid w:val="009171F1"/>
    <w:rsid w:val="00917C1A"/>
    <w:rsid w:val="00925DF3"/>
    <w:rsid w:val="00927B9D"/>
    <w:rsid w:val="00940959"/>
    <w:rsid w:val="00944B89"/>
    <w:rsid w:val="00950DEA"/>
    <w:rsid w:val="009549B6"/>
    <w:rsid w:val="00957C49"/>
    <w:rsid w:val="0096027F"/>
    <w:rsid w:val="00967ED1"/>
    <w:rsid w:val="009702CD"/>
    <w:rsid w:val="00970632"/>
    <w:rsid w:val="009707F9"/>
    <w:rsid w:val="00973F63"/>
    <w:rsid w:val="00973F8C"/>
    <w:rsid w:val="0097401A"/>
    <w:rsid w:val="009742BF"/>
    <w:rsid w:val="00977B9E"/>
    <w:rsid w:val="00981F4F"/>
    <w:rsid w:val="00984022"/>
    <w:rsid w:val="009845C6"/>
    <w:rsid w:val="00986A77"/>
    <w:rsid w:val="00987CDC"/>
    <w:rsid w:val="00993B8B"/>
    <w:rsid w:val="00995048"/>
    <w:rsid w:val="00997D4D"/>
    <w:rsid w:val="009A6BB8"/>
    <w:rsid w:val="009A7E9E"/>
    <w:rsid w:val="009B2E48"/>
    <w:rsid w:val="009B31A3"/>
    <w:rsid w:val="009C05D5"/>
    <w:rsid w:val="009C60EA"/>
    <w:rsid w:val="009D3405"/>
    <w:rsid w:val="009D794A"/>
    <w:rsid w:val="009E2ED2"/>
    <w:rsid w:val="009E324F"/>
    <w:rsid w:val="009E4F34"/>
    <w:rsid w:val="009E70EF"/>
    <w:rsid w:val="009E7C45"/>
    <w:rsid w:val="009F05BB"/>
    <w:rsid w:val="009F0F87"/>
    <w:rsid w:val="009F4079"/>
    <w:rsid w:val="009F4B0F"/>
    <w:rsid w:val="00A04388"/>
    <w:rsid w:val="00A10529"/>
    <w:rsid w:val="00A10CC9"/>
    <w:rsid w:val="00A10F85"/>
    <w:rsid w:val="00A25022"/>
    <w:rsid w:val="00A2540F"/>
    <w:rsid w:val="00A3059E"/>
    <w:rsid w:val="00A3080D"/>
    <w:rsid w:val="00A321D8"/>
    <w:rsid w:val="00A33BC0"/>
    <w:rsid w:val="00A353BB"/>
    <w:rsid w:val="00A37001"/>
    <w:rsid w:val="00A37C74"/>
    <w:rsid w:val="00A41E84"/>
    <w:rsid w:val="00A44A4F"/>
    <w:rsid w:val="00A44F86"/>
    <w:rsid w:val="00A47015"/>
    <w:rsid w:val="00A51FD4"/>
    <w:rsid w:val="00A52E52"/>
    <w:rsid w:val="00A57560"/>
    <w:rsid w:val="00A677A0"/>
    <w:rsid w:val="00A7428A"/>
    <w:rsid w:val="00A757B8"/>
    <w:rsid w:val="00A808F6"/>
    <w:rsid w:val="00A81AA1"/>
    <w:rsid w:val="00A81EFF"/>
    <w:rsid w:val="00A82899"/>
    <w:rsid w:val="00A838B7"/>
    <w:rsid w:val="00A85E54"/>
    <w:rsid w:val="00A93AEC"/>
    <w:rsid w:val="00A942ED"/>
    <w:rsid w:val="00A9431A"/>
    <w:rsid w:val="00A94C24"/>
    <w:rsid w:val="00A96BEA"/>
    <w:rsid w:val="00AA0A42"/>
    <w:rsid w:val="00AA13EF"/>
    <w:rsid w:val="00AA7952"/>
    <w:rsid w:val="00AB37D3"/>
    <w:rsid w:val="00AB4558"/>
    <w:rsid w:val="00AB51E7"/>
    <w:rsid w:val="00AB6372"/>
    <w:rsid w:val="00AB7A25"/>
    <w:rsid w:val="00AC2A5F"/>
    <w:rsid w:val="00AC3289"/>
    <w:rsid w:val="00AC40A2"/>
    <w:rsid w:val="00AC4A7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4CD4"/>
    <w:rsid w:val="00B15ABA"/>
    <w:rsid w:val="00B15BA9"/>
    <w:rsid w:val="00B17597"/>
    <w:rsid w:val="00B20E35"/>
    <w:rsid w:val="00B20FBD"/>
    <w:rsid w:val="00B255FC"/>
    <w:rsid w:val="00B334D3"/>
    <w:rsid w:val="00B34329"/>
    <w:rsid w:val="00B34FDB"/>
    <w:rsid w:val="00B36811"/>
    <w:rsid w:val="00B368D9"/>
    <w:rsid w:val="00B421E3"/>
    <w:rsid w:val="00B4277A"/>
    <w:rsid w:val="00B42F5C"/>
    <w:rsid w:val="00B43C47"/>
    <w:rsid w:val="00B4561D"/>
    <w:rsid w:val="00B45AA1"/>
    <w:rsid w:val="00B4767E"/>
    <w:rsid w:val="00B52C5F"/>
    <w:rsid w:val="00B540ED"/>
    <w:rsid w:val="00B5516A"/>
    <w:rsid w:val="00B6042B"/>
    <w:rsid w:val="00B60B24"/>
    <w:rsid w:val="00B62C09"/>
    <w:rsid w:val="00B62C30"/>
    <w:rsid w:val="00B63298"/>
    <w:rsid w:val="00B63DFA"/>
    <w:rsid w:val="00B75D39"/>
    <w:rsid w:val="00B760DF"/>
    <w:rsid w:val="00B77867"/>
    <w:rsid w:val="00B82D41"/>
    <w:rsid w:val="00B8400F"/>
    <w:rsid w:val="00B85DCB"/>
    <w:rsid w:val="00B85FE2"/>
    <w:rsid w:val="00B90A6B"/>
    <w:rsid w:val="00B922A7"/>
    <w:rsid w:val="00B92661"/>
    <w:rsid w:val="00B93B4B"/>
    <w:rsid w:val="00B977A0"/>
    <w:rsid w:val="00BA07C4"/>
    <w:rsid w:val="00BA2CDD"/>
    <w:rsid w:val="00BA3D9B"/>
    <w:rsid w:val="00BA76BC"/>
    <w:rsid w:val="00BA7FED"/>
    <w:rsid w:val="00BB73A0"/>
    <w:rsid w:val="00BC1957"/>
    <w:rsid w:val="00BC2B9C"/>
    <w:rsid w:val="00BC3ECF"/>
    <w:rsid w:val="00BD198C"/>
    <w:rsid w:val="00BD3682"/>
    <w:rsid w:val="00BD446E"/>
    <w:rsid w:val="00BD765F"/>
    <w:rsid w:val="00BE4560"/>
    <w:rsid w:val="00BE5F05"/>
    <w:rsid w:val="00BF063E"/>
    <w:rsid w:val="00BF127F"/>
    <w:rsid w:val="00BF58B6"/>
    <w:rsid w:val="00BF7536"/>
    <w:rsid w:val="00BF7E13"/>
    <w:rsid w:val="00C04905"/>
    <w:rsid w:val="00C04B3F"/>
    <w:rsid w:val="00C04FDA"/>
    <w:rsid w:val="00C05024"/>
    <w:rsid w:val="00C06601"/>
    <w:rsid w:val="00C073DB"/>
    <w:rsid w:val="00C10D60"/>
    <w:rsid w:val="00C13452"/>
    <w:rsid w:val="00C13965"/>
    <w:rsid w:val="00C14FDB"/>
    <w:rsid w:val="00C1560A"/>
    <w:rsid w:val="00C16DB9"/>
    <w:rsid w:val="00C22F87"/>
    <w:rsid w:val="00C23D4B"/>
    <w:rsid w:val="00C23DB7"/>
    <w:rsid w:val="00C2497D"/>
    <w:rsid w:val="00C25458"/>
    <w:rsid w:val="00C25D54"/>
    <w:rsid w:val="00C310B6"/>
    <w:rsid w:val="00C325A2"/>
    <w:rsid w:val="00C326A6"/>
    <w:rsid w:val="00C43515"/>
    <w:rsid w:val="00C43B81"/>
    <w:rsid w:val="00C44D46"/>
    <w:rsid w:val="00C46D0D"/>
    <w:rsid w:val="00C50B3C"/>
    <w:rsid w:val="00C542A8"/>
    <w:rsid w:val="00C55346"/>
    <w:rsid w:val="00C61496"/>
    <w:rsid w:val="00C64D0D"/>
    <w:rsid w:val="00C64FEE"/>
    <w:rsid w:val="00C65E25"/>
    <w:rsid w:val="00C76E90"/>
    <w:rsid w:val="00C824F5"/>
    <w:rsid w:val="00C87B22"/>
    <w:rsid w:val="00C93774"/>
    <w:rsid w:val="00C9483A"/>
    <w:rsid w:val="00C95347"/>
    <w:rsid w:val="00C97E2F"/>
    <w:rsid w:val="00CA11AB"/>
    <w:rsid w:val="00CA6397"/>
    <w:rsid w:val="00CB4D3D"/>
    <w:rsid w:val="00CC4188"/>
    <w:rsid w:val="00CC599E"/>
    <w:rsid w:val="00CD4A0C"/>
    <w:rsid w:val="00CD5508"/>
    <w:rsid w:val="00CD6E52"/>
    <w:rsid w:val="00CE02E7"/>
    <w:rsid w:val="00CE0A36"/>
    <w:rsid w:val="00CE0F1F"/>
    <w:rsid w:val="00CE1E70"/>
    <w:rsid w:val="00CE28B2"/>
    <w:rsid w:val="00CE3E00"/>
    <w:rsid w:val="00CE4484"/>
    <w:rsid w:val="00CE4D9C"/>
    <w:rsid w:val="00CE4E11"/>
    <w:rsid w:val="00CE570E"/>
    <w:rsid w:val="00CE6EDD"/>
    <w:rsid w:val="00CE7B9E"/>
    <w:rsid w:val="00CE7F2E"/>
    <w:rsid w:val="00CF2225"/>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26226"/>
    <w:rsid w:val="00D338CE"/>
    <w:rsid w:val="00D342D5"/>
    <w:rsid w:val="00D349F5"/>
    <w:rsid w:val="00D350E3"/>
    <w:rsid w:val="00D367AB"/>
    <w:rsid w:val="00D40CBB"/>
    <w:rsid w:val="00D516DD"/>
    <w:rsid w:val="00D53162"/>
    <w:rsid w:val="00D5649B"/>
    <w:rsid w:val="00D57EE4"/>
    <w:rsid w:val="00D61E4B"/>
    <w:rsid w:val="00D63209"/>
    <w:rsid w:val="00D63ECA"/>
    <w:rsid w:val="00D650BD"/>
    <w:rsid w:val="00D701A0"/>
    <w:rsid w:val="00D73682"/>
    <w:rsid w:val="00D83B62"/>
    <w:rsid w:val="00D83C96"/>
    <w:rsid w:val="00D871FE"/>
    <w:rsid w:val="00D93823"/>
    <w:rsid w:val="00D958C1"/>
    <w:rsid w:val="00DA02A8"/>
    <w:rsid w:val="00DA05B7"/>
    <w:rsid w:val="00DA110D"/>
    <w:rsid w:val="00DA3D01"/>
    <w:rsid w:val="00DA3D2E"/>
    <w:rsid w:val="00DA6E23"/>
    <w:rsid w:val="00DA70E3"/>
    <w:rsid w:val="00DB14EF"/>
    <w:rsid w:val="00DB1ED1"/>
    <w:rsid w:val="00DB3BC8"/>
    <w:rsid w:val="00DB3CF0"/>
    <w:rsid w:val="00DB506B"/>
    <w:rsid w:val="00DB7C40"/>
    <w:rsid w:val="00DC085D"/>
    <w:rsid w:val="00DC0996"/>
    <w:rsid w:val="00DC1D53"/>
    <w:rsid w:val="00DC2DE3"/>
    <w:rsid w:val="00DC32CC"/>
    <w:rsid w:val="00DC509D"/>
    <w:rsid w:val="00DC7174"/>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0EF2"/>
    <w:rsid w:val="00E6268C"/>
    <w:rsid w:val="00E63D88"/>
    <w:rsid w:val="00E65BC8"/>
    <w:rsid w:val="00E724C0"/>
    <w:rsid w:val="00E74FD7"/>
    <w:rsid w:val="00E83054"/>
    <w:rsid w:val="00E9198F"/>
    <w:rsid w:val="00E92A9B"/>
    <w:rsid w:val="00E944C0"/>
    <w:rsid w:val="00E9545F"/>
    <w:rsid w:val="00E97B95"/>
    <w:rsid w:val="00EA13A0"/>
    <w:rsid w:val="00EA148A"/>
    <w:rsid w:val="00EA172F"/>
    <w:rsid w:val="00EA1984"/>
    <w:rsid w:val="00EA479A"/>
    <w:rsid w:val="00EA5015"/>
    <w:rsid w:val="00EA5EA3"/>
    <w:rsid w:val="00EB0216"/>
    <w:rsid w:val="00EB13DC"/>
    <w:rsid w:val="00EB6037"/>
    <w:rsid w:val="00EB78BF"/>
    <w:rsid w:val="00EC1E57"/>
    <w:rsid w:val="00EC329E"/>
    <w:rsid w:val="00EC4285"/>
    <w:rsid w:val="00EC61BE"/>
    <w:rsid w:val="00EC76D4"/>
    <w:rsid w:val="00ED391C"/>
    <w:rsid w:val="00ED3D7F"/>
    <w:rsid w:val="00ED3F4B"/>
    <w:rsid w:val="00ED559D"/>
    <w:rsid w:val="00ED78C7"/>
    <w:rsid w:val="00EE44BA"/>
    <w:rsid w:val="00EE478D"/>
    <w:rsid w:val="00EE6ACC"/>
    <w:rsid w:val="00EF4B30"/>
    <w:rsid w:val="00EF590C"/>
    <w:rsid w:val="00F00806"/>
    <w:rsid w:val="00F00C5A"/>
    <w:rsid w:val="00F01767"/>
    <w:rsid w:val="00F0420F"/>
    <w:rsid w:val="00F04743"/>
    <w:rsid w:val="00F0587F"/>
    <w:rsid w:val="00F13890"/>
    <w:rsid w:val="00F15802"/>
    <w:rsid w:val="00F1631F"/>
    <w:rsid w:val="00F21365"/>
    <w:rsid w:val="00F22291"/>
    <w:rsid w:val="00F233B8"/>
    <w:rsid w:val="00F2406D"/>
    <w:rsid w:val="00F24DDE"/>
    <w:rsid w:val="00F302D9"/>
    <w:rsid w:val="00F30460"/>
    <w:rsid w:val="00F33401"/>
    <w:rsid w:val="00F34087"/>
    <w:rsid w:val="00F36213"/>
    <w:rsid w:val="00F363E2"/>
    <w:rsid w:val="00F36B09"/>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5297"/>
    <w:rsid w:val="00FB74C9"/>
    <w:rsid w:val="00FC1048"/>
    <w:rsid w:val="00FD4D0F"/>
    <w:rsid w:val="00FD57DC"/>
    <w:rsid w:val="00FD6553"/>
    <w:rsid w:val="00FD6BED"/>
    <w:rsid w:val="00FD7C82"/>
    <w:rsid w:val="00FE304E"/>
    <w:rsid w:val="00FE5799"/>
    <w:rsid w:val="00FE5E61"/>
    <w:rsid w:val="00FE6E6F"/>
    <w:rsid w:val="00FF4A6B"/>
    <w:rsid w:val="00FF4D4A"/>
    <w:rsid w:val="00FF6702"/>
    <w:rsid w:val="00FF6FB8"/>
    <w:rsid w:val="00FF7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0DDF13"/>
  <w15:docId w15:val="{7E551069-9D75-43FC-9E9C-2A6379E8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标题 1"/>
    <w:basedOn w:val="Normal"/>
    <w:next w:val="BodyText"/>
    <w:link w:val="Heading1Char"/>
    <w:uiPriority w:val="9"/>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4H,4,Memo,5"/>
    <w:basedOn w:val="Normal"/>
    <w:next w:val="Normal"/>
    <w:link w:val="Heading4Char"/>
    <w:uiPriority w:val="9"/>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60EF2"/>
    <w:pPr>
      <w:keepNext/>
      <w:keepLines/>
      <w:tabs>
        <w:tab w:val="num" w:pos="1152"/>
      </w:tabs>
      <w:spacing w:before="120" w:after="160" w:line="256" w:lineRule="auto"/>
      <w:ind w:left="1152" w:hanging="1152"/>
      <w:outlineLvl w:val="5"/>
    </w:pPr>
    <w:rPr>
      <w:rFonts w:asciiTheme="minorHAnsi" w:eastAsiaTheme="minorHAnsi" w:hAnsiTheme="minorHAnsi" w:cs="Arial"/>
      <w:sz w:val="22"/>
      <w:szCs w:val="22"/>
      <w:lang w:val="sv-FI"/>
    </w:rPr>
  </w:style>
  <w:style w:type="paragraph" w:styleId="Heading7">
    <w:name w:val="heading 7"/>
    <w:basedOn w:val="Normal"/>
    <w:next w:val="Normal"/>
    <w:link w:val="Heading7Char"/>
    <w:semiHidden/>
    <w:unhideWhenUsed/>
    <w:qFormat/>
    <w:rsid w:val="00E60EF2"/>
    <w:pPr>
      <w:keepNext/>
      <w:keepLines/>
      <w:tabs>
        <w:tab w:val="num" w:pos="1296"/>
      </w:tabs>
      <w:spacing w:before="120" w:after="160" w:line="256" w:lineRule="auto"/>
      <w:ind w:left="1296" w:hanging="1296"/>
      <w:outlineLvl w:val="6"/>
    </w:pPr>
    <w:rPr>
      <w:rFonts w:asciiTheme="minorHAnsi" w:eastAsiaTheme="minorHAnsi" w:hAnsiTheme="minorHAnsi" w:cs="Arial"/>
      <w:sz w:val="22"/>
      <w:szCs w:val="22"/>
      <w:lang w:val="sv-FI"/>
    </w:rPr>
  </w:style>
  <w:style w:type="paragraph" w:styleId="Heading8">
    <w:name w:val="heading 8"/>
    <w:basedOn w:val="Heading7"/>
    <w:next w:val="Normal"/>
    <w:link w:val="Heading8Char"/>
    <w:semiHidden/>
    <w:unhideWhenUsed/>
    <w:qFormat/>
    <w:rsid w:val="00E60EF2"/>
    <w:pPr>
      <w:tabs>
        <w:tab w:val="clear" w:pos="1296"/>
        <w:tab w:val="num" w:pos="1440"/>
      </w:tabs>
      <w:ind w:left="1440" w:hanging="1440"/>
      <w:outlineLvl w:val="7"/>
    </w:pPr>
  </w:style>
  <w:style w:type="paragraph" w:styleId="Heading9">
    <w:name w:val="heading 9"/>
    <w:basedOn w:val="Heading8"/>
    <w:next w:val="Normal"/>
    <w:link w:val="Heading9Char"/>
    <w:semiHidden/>
    <w:unhideWhenUsed/>
    <w:qFormat/>
    <w:rsid w:val="00E60EF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标题 2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E5799"/>
    <w:rPr>
      <w:rFonts w:ascii="Arial"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qFormat/>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qFormat/>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3GPPHeader">
    <w:name w:val="3GPP_Header"/>
    <w:basedOn w:val="Normal"/>
    <w:qFormat/>
    <w:rsid w:val="004A1A83"/>
    <w:pPr>
      <w:tabs>
        <w:tab w:val="left" w:pos="1800"/>
        <w:tab w:val="right" w:pos="9360"/>
      </w:tabs>
      <w:spacing w:line="259" w:lineRule="auto"/>
    </w:pPr>
    <w:rPr>
      <w:rFonts w:ascii="Arial" w:eastAsiaTheme="minorHAnsi" w:hAnsi="Arial" w:cstheme="minorBidi"/>
      <w:b/>
      <w:sz w:val="22"/>
      <w:szCs w:val="22"/>
      <w:lang w:val="sv-FI"/>
    </w:rPr>
  </w:style>
  <w:style w:type="character" w:customStyle="1" w:styleId="Heading6Char">
    <w:name w:val="Heading 6 Char"/>
    <w:basedOn w:val="DefaultParagraphFont"/>
    <w:link w:val="Heading6"/>
    <w:semiHidden/>
    <w:rsid w:val="00E60EF2"/>
    <w:rPr>
      <w:rFonts w:asciiTheme="minorHAnsi" w:eastAsiaTheme="minorHAnsi" w:hAnsiTheme="minorHAnsi" w:cs="Arial"/>
      <w:sz w:val="22"/>
      <w:szCs w:val="22"/>
      <w:lang w:val="sv-FI"/>
    </w:rPr>
  </w:style>
  <w:style w:type="character" w:customStyle="1" w:styleId="Heading7Char">
    <w:name w:val="Heading 7 Char"/>
    <w:basedOn w:val="DefaultParagraphFont"/>
    <w:link w:val="Heading7"/>
    <w:semiHidden/>
    <w:rsid w:val="00E60EF2"/>
    <w:rPr>
      <w:rFonts w:asciiTheme="minorHAnsi" w:eastAsiaTheme="minorHAnsi" w:hAnsiTheme="minorHAnsi" w:cs="Arial"/>
      <w:sz w:val="22"/>
      <w:szCs w:val="22"/>
      <w:lang w:val="sv-FI"/>
    </w:rPr>
  </w:style>
  <w:style w:type="character" w:customStyle="1" w:styleId="Heading8Char">
    <w:name w:val="Heading 8 Char"/>
    <w:basedOn w:val="DefaultParagraphFont"/>
    <w:link w:val="Heading8"/>
    <w:semiHidden/>
    <w:rsid w:val="00E60EF2"/>
    <w:rPr>
      <w:rFonts w:asciiTheme="minorHAnsi" w:eastAsiaTheme="minorHAnsi" w:hAnsiTheme="minorHAnsi" w:cs="Arial"/>
      <w:sz w:val="22"/>
      <w:szCs w:val="22"/>
      <w:lang w:val="sv-FI"/>
    </w:rPr>
  </w:style>
  <w:style w:type="character" w:customStyle="1" w:styleId="Heading9Char">
    <w:name w:val="Heading 9 Char"/>
    <w:basedOn w:val="DefaultParagraphFont"/>
    <w:link w:val="Heading9"/>
    <w:semiHidden/>
    <w:rsid w:val="00E60EF2"/>
    <w:rPr>
      <w:rFonts w:asciiTheme="minorHAnsi" w:eastAsiaTheme="minorHAnsi" w:hAnsiTheme="minorHAnsi" w:cs="Arial"/>
      <w:sz w:val="22"/>
      <w:szCs w:val="22"/>
      <w:lang w:val="sv-FI"/>
    </w:rPr>
  </w:style>
  <w:style w:type="character" w:styleId="Emphasis">
    <w:name w:val="Emphasis"/>
    <w:uiPriority w:val="20"/>
    <w:qFormat/>
    <w:rsid w:val="00BD198C"/>
    <w:rPr>
      <w:i/>
      <w:iCs/>
    </w:rPr>
  </w:style>
  <w:style w:type="paragraph" w:customStyle="1" w:styleId="ZB">
    <w:name w:val="ZB"/>
    <w:rsid w:val="007521D6"/>
    <w:pPr>
      <w:framePr w:w="10206" w:h="284" w:hRule="exact" w:wrap="notBeside" w:vAnchor="page" w:hAnchor="margin" w:y="1986"/>
      <w:widowControl w:val="0"/>
      <w:ind w:right="28"/>
      <w:jc w:val="right"/>
    </w:pPr>
    <w:rPr>
      <w:rFonts w:ascii="Arial" w:eastAsia="Times New Roman" w:hAnsi="Arial"/>
      <w:i/>
      <w:noProof/>
      <w:lang w:val="en-GB"/>
    </w:rPr>
  </w:style>
  <w:style w:type="character" w:styleId="Hyperlink">
    <w:name w:val="Hyperlink"/>
    <w:uiPriority w:val="99"/>
    <w:rsid w:val="00D26226"/>
    <w:rPr>
      <w:color w:val="0000FF"/>
      <w:u w:val="single"/>
    </w:rPr>
  </w:style>
  <w:style w:type="paragraph" w:styleId="Revision">
    <w:name w:val="Revision"/>
    <w:hidden/>
    <w:uiPriority w:val="99"/>
    <w:semiHidden/>
    <w:rsid w:val="00032B2B"/>
    <w:pPr>
      <w:spacing w:after="0" w:line="240" w:lineRule="auto"/>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19108031">
      <w:bodyDiv w:val="1"/>
      <w:marLeft w:val="0"/>
      <w:marRight w:val="0"/>
      <w:marTop w:val="0"/>
      <w:marBottom w:val="0"/>
      <w:divBdr>
        <w:top w:val="none" w:sz="0" w:space="0" w:color="auto"/>
        <w:left w:val="none" w:sz="0" w:space="0" w:color="auto"/>
        <w:bottom w:val="none" w:sz="0" w:space="0" w:color="auto"/>
        <w:right w:val="none" w:sz="0" w:space="0" w:color="auto"/>
      </w:divBdr>
    </w:div>
    <w:div w:id="443155653">
      <w:bodyDiv w:val="1"/>
      <w:marLeft w:val="0"/>
      <w:marRight w:val="0"/>
      <w:marTop w:val="0"/>
      <w:marBottom w:val="0"/>
      <w:divBdr>
        <w:top w:val="none" w:sz="0" w:space="0" w:color="auto"/>
        <w:left w:val="none" w:sz="0" w:space="0" w:color="auto"/>
        <w:bottom w:val="none" w:sz="0" w:space="0" w:color="auto"/>
        <w:right w:val="none" w:sz="0" w:space="0" w:color="auto"/>
      </w:divBdr>
    </w:div>
    <w:div w:id="617493862">
      <w:bodyDiv w:val="1"/>
      <w:marLeft w:val="0"/>
      <w:marRight w:val="0"/>
      <w:marTop w:val="0"/>
      <w:marBottom w:val="0"/>
      <w:divBdr>
        <w:top w:val="none" w:sz="0" w:space="0" w:color="auto"/>
        <w:left w:val="none" w:sz="0" w:space="0" w:color="auto"/>
        <w:bottom w:val="none" w:sz="0" w:space="0" w:color="auto"/>
        <w:right w:val="none" w:sz="0" w:space="0" w:color="auto"/>
      </w:divBdr>
    </w:div>
    <w:div w:id="924538424">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406561559">
      <w:bodyDiv w:val="1"/>
      <w:marLeft w:val="0"/>
      <w:marRight w:val="0"/>
      <w:marTop w:val="0"/>
      <w:marBottom w:val="0"/>
      <w:divBdr>
        <w:top w:val="none" w:sz="0" w:space="0" w:color="auto"/>
        <w:left w:val="none" w:sz="0" w:space="0" w:color="auto"/>
        <w:bottom w:val="none" w:sz="0" w:space="0" w:color="auto"/>
        <w:right w:val="none" w:sz="0" w:space="0" w:color="auto"/>
      </w:divBdr>
    </w:div>
    <w:div w:id="1455639754">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1978798348">
      <w:bodyDiv w:val="1"/>
      <w:marLeft w:val="0"/>
      <w:marRight w:val="0"/>
      <w:marTop w:val="0"/>
      <w:marBottom w:val="0"/>
      <w:divBdr>
        <w:top w:val="none" w:sz="0" w:space="0" w:color="auto"/>
        <w:left w:val="none" w:sz="0" w:space="0" w:color="auto"/>
        <w:bottom w:val="none" w:sz="0" w:space="0" w:color="auto"/>
        <w:right w:val="none" w:sz="0" w:space="0" w:color="auto"/>
      </w:divBdr>
    </w:div>
    <w:div w:id="1989626724">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70.w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2.wmf"/><Relationship Id="rId55" Type="http://schemas.openxmlformats.org/officeDocument/2006/relationships/fontTable" Target="fontTable.xml"/><Relationship Id="rId7" Type="http://schemas.openxmlformats.org/officeDocument/2006/relationships/hyperlink" Target="http://www.3gpp.org/ftp/tsg_ran/WG1_RL1/TSGR1_94b/Docs/R1-1812041.zip" TargetMode="External"/><Relationship Id="rId12" Type="http://schemas.openxmlformats.org/officeDocument/2006/relationships/hyperlink" Target="http://www.3gpp.org/ftp/tsg_ran/WG1_RL1/TSGR1_94b/Docs/R1-1812041.zip"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image" Target="media/image80.wmf"/><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4b/Docs/R1-1812041.zip"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60.wmf"/><Relationship Id="rId40" Type="http://schemas.openxmlformats.org/officeDocument/2006/relationships/oleObject" Target="embeddings/oleObject16.bin"/><Relationship Id="rId45" Type="http://schemas.openxmlformats.org/officeDocument/2006/relationships/image" Target="media/image100.wmf"/><Relationship Id="rId53"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3.bin"/><Relationship Id="rId4"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image" Target="media/image90.wmf"/><Relationship Id="rId48" Type="http://schemas.openxmlformats.org/officeDocument/2006/relationships/image" Target="media/image11.wmf"/><Relationship Id="rId56" Type="http://schemas.openxmlformats.org/officeDocument/2006/relationships/theme" Target="theme/theme1.xml"/><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Ravikiran Nory</cp:lastModifiedBy>
  <cp:revision>13</cp:revision>
  <dcterms:created xsi:type="dcterms:W3CDTF">2018-09-29T04:41:00Z</dcterms:created>
  <dcterms:modified xsi:type="dcterms:W3CDTF">2018-11-02T23:57:00Z</dcterms:modified>
</cp:coreProperties>
</file>