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704" w:rsidRPr="00F35704" w:rsidRDefault="00F35704" w:rsidP="00F35704">
      <w:pPr>
        <w:tabs>
          <w:tab w:val="center" w:pos="4536"/>
          <w:tab w:val="right" w:pos="10078"/>
        </w:tabs>
        <w:ind w:right="2"/>
        <w:rPr>
          <w:rFonts w:cs="Arial"/>
          <w:b/>
          <w:bCs/>
          <w:sz w:val="24"/>
        </w:rPr>
      </w:pPr>
      <w:r w:rsidRPr="00F35704">
        <w:rPr>
          <w:rFonts w:cs="Arial"/>
          <w:b/>
          <w:bCs/>
          <w:sz w:val="24"/>
        </w:rPr>
        <w:t>3GPP TSG RAN WG1 Meeting #9</w:t>
      </w:r>
      <w:r w:rsidR="00005D82">
        <w:rPr>
          <w:rFonts w:cs="Arial"/>
          <w:b/>
          <w:bCs/>
          <w:sz w:val="24"/>
        </w:rPr>
        <w:t>5</w:t>
      </w:r>
      <w:r w:rsidRPr="00F35704">
        <w:rPr>
          <w:rFonts w:cs="Arial"/>
          <w:b/>
          <w:bCs/>
          <w:sz w:val="24"/>
        </w:rPr>
        <w:tab/>
      </w:r>
      <w:r w:rsidRPr="00F35704">
        <w:rPr>
          <w:rFonts w:cs="Arial"/>
          <w:b/>
          <w:bCs/>
          <w:sz w:val="24"/>
        </w:rPr>
        <w:tab/>
        <w:t xml:space="preserve">     R1-18</w:t>
      </w:r>
      <w:r w:rsidR="00005D82">
        <w:rPr>
          <w:rFonts w:eastAsia="MS Mincho" w:cs="Arial"/>
          <w:b/>
          <w:bCs/>
          <w:sz w:val="24"/>
          <w:lang w:eastAsia="ja-JP"/>
        </w:rPr>
        <w:t>12859</w:t>
      </w:r>
    </w:p>
    <w:p w:rsidR="0060603E" w:rsidRDefault="00512838" w:rsidP="0060603E">
      <w:pPr>
        <w:tabs>
          <w:tab w:val="left" w:pos="567"/>
        </w:tabs>
        <w:rPr>
          <w:rFonts w:eastAsia="Malgun Gothic" w:cstheme="minorBidi"/>
          <w:b/>
          <w:sz w:val="24"/>
          <w:szCs w:val="22"/>
          <w:lang w:eastAsia="zh-CN"/>
        </w:rPr>
      </w:pPr>
      <w:r w:rsidRPr="00512838">
        <w:rPr>
          <w:rFonts w:eastAsia="Malgun Gothic" w:cstheme="minorBidi"/>
          <w:b/>
          <w:sz w:val="24"/>
          <w:szCs w:val="22"/>
          <w:lang w:eastAsia="zh-CN"/>
        </w:rPr>
        <w:t>Chengdu, China, October 8th – 12th, 2018</w:t>
      </w:r>
    </w:p>
    <w:p w:rsidR="00512838" w:rsidRPr="005D2C51" w:rsidRDefault="00512838" w:rsidP="0060603E">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1F02DD">
        <w:rPr>
          <w:b/>
          <w:sz w:val="24"/>
          <w:szCs w:val="24"/>
        </w:rPr>
        <w:t>2.3</w:t>
      </w:r>
      <w:r w:rsidR="00C724F1">
        <w:rPr>
          <w:b/>
          <w:sz w:val="24"/>
          <w:szCs w:val="24"/>
        </w:rPr>
        <w:t>.1</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1F02DD" w:rsidRPr="001F02DD">
        <w:rPr>
          <w:b/>
          <w:sz w:val="24"/>
          <w:szCs w:val="24"/>
        </w:rPr>
        <w:t>Enhancements to support NR backhaul links</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F35704" w:rsidRDefault="00C724F1" w:rsidP="00F35704">
      <w:pPr>
        <w:rPr>
          <w:rFonts w:ascii="Calibri" w:eastAsia="Malgun Gothic" w:hAnsi="Calibri" w:cs="Batang"/>
          <w:lang w:val="en-GB" w:eastAsia="ko-KR"/>
        </w:rPr>
      </w:pPr>
      <w:r w:rsidRPr="00C724F1">
        <w:rPr>
          <w:rFonts w:ascii="Calibri" w:eastAsia="Malgun Gothic" w:hAnsi="Calibri" w:cs="Batang"/>
          <w:lang w:val="en-GB" w:eastAsia="ko-KR"/>
        </w:rPr>
        <w:t>As part of the Study Item on Integrated Access and Backhaul for NR [1], 3GPP has agreed to identify and evaluate potential solutions for efficient operation of integrated access and wireless backhaul for NR</w:t>
      </w:r>
      <w:r w:rsidR="00F35704">
        <w:rPr>
          <w:rFonts w:ascii="Calibri" w:eastAsia="Malgun Gothic" w:hAnsi="Calibri" w:cs="Batang"/>
          <w:lang w:val="en-GB" w:eastAsia="ko-KR"/>
        </w:rPr>
        <w:t xml:space="preserve">. </w:t>
      </w:r>
    </w:p>
    <w:p w:rsidR="00C724F1" w:rsidRPr="00C724F1" w:rsidRDefault="00C724F1" w:rsidP="00EE2068">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different physical layer enhancements for IAB including aspects impacting initial access/RRM, frame structure design</w:t>
      </w:r>
      <w:r w:rsidR="00F35704">
        <w:rPr>
          <w:rFonts w:ascii="Calibri" w:hAnsi="Calibri"/>
        </w:rPr>
        <w:t xml:space="preserve"> and scheduling for multiplexing access and backhaul links</w:t>
      </w:r>
      <w:r>
        <w:rPr>
          <w:rFonts w:ascii="Calibri" w:hAnsi="Calibri"/>
        </w:rPr>
        <w:t xml:space="preserve">, </w:t>
      </w:r>
      <w:r w:rsidR="00F35704">
        <w:rPr>
          <w:rFonts w:ascii="Calibri" w:hAnsi="Calibri"/>
        </w:rPr>
        <w:t xml:space="preserve">timing and synchronization, </w:t>
      </w:r>
      <w:r>
        <w:rPr>
          <w:rFonts w:ascii="Calibri" w:hAnsi="Calibri"/>
        </w:rPr>
        <w:t>cross-link interference mitigation</w:t>
      </w:r>
      <w:r w:rsidR="004C38DD">
        <w:rPr>
          <w:rFonts w:ascii="Calibri" w:hAnsi="Calibri"/>
        </w:rPr>
        <w:t xml:space="preserve">, </w:t>
      </w:r>
      <w:r w:rsidR="00F35704">
        <w:rPr>
          <w:rFonts w:ascii="Calibri" w:hAnsi="Calibri"/>
        </w:rPr>
        <w:t>power control</w:t>
      </w:r>
      <w:r w:rsidR="004C38DD">
        <w:rPr>
          <w:rFonts w:ascii="Calibri" w:hAnsi="Calibri"/>
        </w:rPr>
        <w:t>, and backhaul link spectral efficiency</w:t>
      </w:r>
      <w:r w:rsidRPr="00C724F1">
        <w:rPr>
          <w:rFonts w:ascii="Calibri" w:hAnsi="Calibri"/>
        </w:rPr>
        <w:t>.</w:t>
      </w:r>
    </w:p>
    <w:p w:rsidR="00346605" w:rsidRPr="00172743" w:rsidRDefault="00C724F1" w:rsidP="00326FF6">
      <w:pPr>
        <w:pStyle w:val="Heading1"/>
      </w:pPr>
      <w:r>
        <w:t>Physical Layer Enhancements for IAB</w:t>
      </w:r>
    </w:p>
    <w:p w:rsidR="00BB5132" w:rsidRDefault="00C724F1" w:rsidP="00BB5132">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r>
        <w:rPr>
          <w:rFonts w:ascii="Calibri" w:hAnsi="Calibri"/>
        </w:rPr>
        <w:t>T</w:t>
      </w:r>
      <w:r w:rsidRPr="00233D70">
        <w:rPr>
          <w:rFonts w:ascii="Calibri" w:hAnsi="Calibri"/>
        </w:rPr>
        <w:t xml:space="preserve">he operation of the different links may be on the same or different frequencies (also termed ‘in-band’ and ‘out-band’ relays). </w:t>
      </w:r>
      <w:r w:rsidR="00BB5132">
        <w:rPr>
          <w:rFonts w:ascii="Calibri" w:hAnsi="Calibri"/>
        </w:rPr>
        <w:t>Each IAB node</w:t>
      </w:r>
      <w:r w:rsidR="00BB5132" w:rsidRPr="00917D0F">
        <w:rPr>
          <w:rFonts w:ascii="Calibri" w:hAnsi="Calibri"/>
        </w:rPr>
        <w:t xml:space="preserve"> </w:t>
      </w:r>
      <w:r w:rsidR="00BB5132">
        <w:rPr>
          <w:rFonts w:ascii="Calibri" w:hAnsi="Calibri"/>
        </w:rPr>
        <w:t>has</w:t>
      </w:r>
      <w:r w:rsidR="00BB5132" w:rsidRPr="00917D0F">
        <w:rPr>
          <w:rFonts w:ascii="Calibri" w:hAnsi="Calibri"/>
        </w:rPr>
        <w:t xml:space="preserve"> both DU functionality </w:t>
      </w:r>
      <w:r w:rsidR="00B3707E">
        <w:rPr>
          <w:rFonts w:ascii="Calibri" w:hAnsi="Calibri"/>
        </w:rPr>
        <w:t xml:space="preserve">(DU-f) </w:t>
      </w:r>
      <w:r w:rsidR="00BB5132" w:rsidRPr="00917D0F">
        <w:rPr>
          <w:rFonts w:ascii="Calibri" w:hAnsi="Calibri"/>
        </w:rPr>
        <w:t xml:space="preserve">as well as </w:t>
      </w:r>
      <w:r w:rsidR="00BB5132">
        <w:rPr>
          <w:rFonts w:ascii="Calibri" w:hAnsi="Calibri"/>
        </w:rPr>
        <w:t xml:space="preserve">UE </w:t>
      </w:r>
      <w:r w:rsidR="00BB5132" w:rsidRPr="00917D0F">
        <w:rPr>
          <w:rFonts w:ascii="Calibri" w:hAnsi="Calibri"/>
        </w:rPr>
        <w:t>functionality</w:t>
      </w:r>
      <w:r w:rsidR="00B3707E">
        <w:rPr>
          <w:rFonts w:ascii="Calibri" w:hAnsi="Calibri"/>
        </w:rPr>
        <w:t xml:space="preserve"> (UE-f)</w:t>
      </w:r>
      <w:r w:rsidR="00BB5132" w:rsidRPr="00917D0F">
        <w:rPr>
          <w:rFonts w:ascii="Calibri" w:hAnsi="Calibri"/>
        </w:rPr>
        <w:t xml:space="preserve">. The relay </w:t>
      </w:r>
      <w:r w:rsidR="00BB5132">
        <w:rPr>
          <w:rFonts w:ascii="Calibri" w:hAnsi="Calibri"/>
        </w:rPr>
        <w:t>is connected to an IAB node</w:t>
      </w:r>
      <w:r w:rsidR="00BB5132" w:rsidRPr="00917D0F">
        <w:rPr>
          <w:rFonts w:ascii="Calibri" w:hAnsi="Calibri"/>
        </w:rPr>
        <w:t xml:space="preserve"> of a higher hop order</w:t>
      </w:r>
      <w:r w:rsidR="00BB5132">
        <w:rPr>
          <w:rFonts w:ascii="Calibri" w:hAnsi="Calibri"/>
        </w:rPr>
        <w:t xml:space="preserve"> as a UE, while the IAB node </w:t>
      </w:r>
      <w:r w:rsidR="00BB5132" w:rsidRPr="00917D0F">
        <w:rPr>
          <w:rFonts w:ascii="Calibri" w:hAnsi="Calibri"/>
        </w:rPr>
        <w:t>serves relay UEs inside IAB nodes of lower hop orders or its own access UEs.</w:t>
      </w:r>
    </w:p>
    <w:p w:rsidR="00C724F1" w:rsidRDefault="00C724F1" w:rsidP="00EE2068">
      <w:pPr>
        <w:pStyle w:val="maintext"/>
        <w:ind w:firstLineChars="0" w:firstLine="0"/>
        <w:rPr>
          <w:rFonts w:ascii="Calibri" w:hAnsi="Calibri"/>
        </w:rPr>
      </w:pPr>
    </w:p>
    <w:p w:rsidR="00C724F1" w:rsidRPr="00EC51BC" w:rsidRDefault="00DE2A3F" w:rsidP="00C724F1">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extent cx="4800600" cy="17780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0" cy="1778000"/>
                    </a:xfrm>
                    <a:prstGeom prst="rect">
                      <a:avLst/>
                    </a:prstGeom>
                    <a:noFill/>
                    <a:ln>
                      <a:noFill/>
                    </a:ln>
                  </pic:spPr>
                </pic:pic>
              </a:graphicData>
            </a:graphic>
          </wp:inline>
        </w:drawing>
      </w:r>
    </w:p>
    <w:p w:rsidR="00C724F1" w:rsidRPr="00BB5132" w:rsidRDefault="00C724F1" w:rsidP="00C724F1">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1: Integrated access and backhaul links </w:t>
      </w:r>
    </w:p>
    <w:p w:rsidR="00FD791D" w:rsidRDefault="00BB5132" w:rsidP="00BB5132">
      <w:pPr>
        <w:pStyle w:val="maintext"/>
        <w:ind w:firstLineChars="0" w:firstLine="0"/>
        <w:rPr>
          <w:rFonts w:ascii="Calibri" w:hAnsi="Calibri"/>
        </w:rPr>
      </w:pPr>
      <w:r>
        <w:rPr>
          <w:rFonts w:ascii="Calibri" w:hAnsi="Calibri"/>
        </w:rPr>
        <w:t xml:space="preserve">In addition, for in-band operation </w:t>
      </w:r>
      <w:r w:rsidR="00FD791D">
        <w:rPr>
          <w:rFonts w:ascii="Calibri" w:hAnsi="Calibri"/>
        </w:rPr>
        <w:t>IAB</w:t>
      </w:r>
      <w:r w:rsidR="00FD791D" w:rsidRPr="00BA6FDB">
        <w:rPr>
          <w:rFonts w:ascii="Calibri" w:hAnsi="Calibri"/>
        </w:rPr>
        <w:t xml:space="preserve"> nodes</w:t>
      </w:r>
      <w:r>
        <w:rPr>
          <w:rFonts w:ascii="Calibri" w:hAnsi="Calibri"/>
        </w:rPr>
        <w:t xml:space="preserve"> are assumed to operate with a half-duplex constraint as shown in Figure 2, which means they can only do the following at any given time:</w:t>
      </w:r>
    </w:p>
    <w:p w:rsidR="00FD791D" w:rsidRPr="0057145F" w:rsidRDefault="00FD791D" w:rsidP="0021262A">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rsidR="00FD791D" w:rsidRDefault="00FD791D" w:rsidP="0021262A">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rsidR="00FD791D" w:rsidRDefault="00FD791D" w:rsidP="00FD791D">
      <w:pPr>
        <w:pStyle w:val="maintext"/>
        <w:ind w:firstLineChars="0" w:firstLine="0"/>
        <w:rPr>
          <w:rFonts w:ascii="Calibri" w:hAnsi="Calibri"/>
        </w:rPr>
      </w:pPr>
    </w:p>
    <w:p w:rsidR="00FD791D" w:rsidRDefault="00DE2A3F" w:rsidP="00FD791D">
      <w:pPr>
        <w:pStyle w:val="maintext"/>
        <w:keepNext/>
        <w:ind w:firstLineChars="0" w:firstLine="0"/>
        <w:jc w:val="center"/>
      </w:pPr>
      <w:r>
        <w:rPr>
          <w:noProof/>
          <w:color w:val="1F497D"/>
          <w:lang w:val="en-US" w:eastAsia="en-US"/>
        </w:rPr>
        <w:lastRenderedPageBreak/>
        <w:drawing>
          <wp:inline distT="0" distB="0" distL="0" distR="0">
            <wp:extent cx="4184650" cy="2813050"/>
            <wp:effectExtent l="0" t="0" r="6350" b="6350"/>
            <wp:docPr id="5" name="Picture 5"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944D.5F4730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184650" cy="2813050"/>
                    </a:xfrm>
                    <a:prstGeom prst="rect">
                      <a:avLst/>
                    </a:prstGeom>
                    <a:noFill/>
                    <a:ln>
                      <a:noFill/>
                    </a:ln>
                  </pic:spPr>
                </pic:pic>
              </a:graphicData>
            </a:graphic>
          </wp:inline>
        </w:drawing>
      </w:r>
    </w:p>
    <w:p w:rsidR="00FD791D" w:rsidRDefault="00FD791D" w:rsidP="00FD791D">
      <w:pPr>
        <w:pStyle w:val="maintext"/>
        <w:ind w:firstLineChars="0" w:firstLine="0"/>
        <w:jc w:val="center"/>
        <w:rPr>
          <w:rFonts w:ascii="Calibri" w:hAnsi="Calibri"/>
          <w:b/>
        </w:rPr>
      </w:pPr>
    </w:p>
    <w:p w:rsidR="00FD791D" w:rsidRPr="006C49B6" w:rsidRDefault="00FD791D" w:rsidP="00FD791D">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 xml:space="preserve">Figure </w:t>
      </w:r>
      <w:r w:rsidR="00BB5132">
        <w:rPr>
          <w:rFonts w:ascii="Calibri" w:hAnsi="Calibri"/>
          <w:b/>
          <w:bCs/>
          <w:sz w:val="22"/>
          <w:lang w:val="en-GB" w:eastAsia="zh-CN"/>
        </w:rPr>
        <w:t>2</w:t>
      </w:r>
      <w:r w:rsidRPr="006C49B6">
        <w:rPr>
          <w:rFonts w:ascii="Calibri" w:hAnsi="Calibri"/>
          <w:b/>
          <w:bCs/>
          <w:sz w:val="22"/>
          <w:lang w:val="en-GB" w:eastAsia="zh-CN"/>
        </w:rPr>
        <w:t xml:space="preserve">: </w:t>
      </w:r>
      <w:r w:rsidR="00BB5132">
        <w:rPr>
          <w:rFonts w:ascii="Calibri" w:hAnsi="Calibri"/>
          <w:b/>
          <w:bCs/>
          <w:sz w:val="22"/>
          <w:lang w:val="en-GB" w:eastAsia="zh-CN"/>
        </w:rPr>
        <w:t>H</w:t>
      </w:r>
      <w:r w:rsidRPr="002C594E">
        <w:rPr>
          <w:rFonts w:ascii="Calibri" w:hAnsi="Calibri"/>
          <w:b/>
          <w:bCs/>
          <w:sz w:val="22"/>
          <w:lang w:val="en-GB" w:eastAsia="zh-CN"/>
        </w:rPr>
        <w:t>alf-duplex constraint at the relay</w:t>
      </w:r>
    </w:p>
    <w:p w:rsidR="0051424F" w:rsidRDefault="00BB5132" w:rsidP="00BB5132">
      <w:pPr>
        <w:pStyle w:val="maintext"/>
        <w:ind w:firstLineChars="0" w:firstLine="0"/>
        <w:rPr>
          <w:rFonts w:ascii="Calibri" w:hAnsi="Calibri"/>
        </w:rPr>
      </w:pPr>
      <w:r>
        <w:rPr>
          <w:rFonts w:ascii="Calibri" w:hAnsi="Calibri"/>
        </w:rPr>
        <w:t>The remaining sections of this document focus on solutions for IAB to enable</w:t>
      </w:r>
      <w:r w:rsidRPr="00233D70">
        <w:rPr>
          <w:rFonts w:ascii="Calibri" w:hAnsi="Calibri"/>
        </w:rPr>
        <w:t xml:space="preserve"> </w:t>
      </w:r>
      <w:r>
        <w:rPr>
          <w:rFonts w:ascii="Calibri" w:hAnsi="Calibri"/>
        </w:rPr>
        <w:t>efficient multiplexing of backhaul and</w:t>
      </w:r>
      <w:r w:rsidRPr="00233D70">
        <w:rPr>
          <w:rFonts w:ascii="Calibri" w:hAnsi="Calibri"/>
        </w:rPr>
        <w:t xml:space="preserve"> access links operating on the same frequency to accommodate</w:t>
      </w:r>
      <w:r>
        <w:rPr>
          <w:rFonts w:ascii="Calibri" w:hAnsi="Calibri"/>
        </w:rPr>
        <w:t xml:space="preserve"> half-</w:t>
      </w:r>
      <w:r w:rsidRPr="00233D70">
        <w:rPr>
          <w:rFonts w:ascii="Calibri" w:hAnsi="Calibri"/>
        </w:rPr>
        <w:t>duplex constraints an</w:t>
      </w:r>
      <w:r>
        <w:rPr>
          <w:rFonts w:ascii="Calibri" w:hAnsi="Calibri"/>
        </w:rPr>
        <w:t>d avoid/mitigate interference.</w:t>
      </w:r>
    </w:p>
    <w:p w:rsidR="00F959A1" w:rsidRDefault="00F959A1" w:rsidP="00BB5132">
      <w:pPr>
        <w:pStyle w:val="maintext"/>
        <w:ind w:firstLineChars="0" w:firstLine="0"/>
        <w:rPr>
          <w:rFonts w:ascii="Calibri" w:hAnsi="Calibri"/>
        </w:rPr>
      </w:pPr>
    </w:p>
    <w:p w:rsidR="00274677" w:rsidRPr="00172743" w:rsidRDefault="00917D0F" w:rsidP="00274677">
      <w:pPr>
        <w:pStyle w:val="Heading2"/>
      </w:pPr>
      <w:r>
        <w:t>IAB Node Discovery and Topology/Route Management</w:t>
      </w:r>
    </w:p>
    <w:p w:rsidR="00917D0F" w:rsidRDefault="00057E9B" w:rsidP="00917D0F">
      <w:pPr>
        <w:pStyle w:val="maintext"/>
        <w:ind w:firstLineChars="0" w:firstLine="0"/>
        <w:rPr>
          <w:rFonts w:ascii="Calibri" w:hAnsi="Calibri"/>
        </w:rPr>
      </w:pPr>
      <w:r>
        <w:rPr>
          <w:rFonts w:ascii="Calibri" w:hAnsi="Calibri"/>
        </w:rPr>
        <w:t>The following was agreed in RAN1#9</w:t>
      </w:r>
      <w:r w:rsidR="00F959A1">
        <w:rPr>
          <w:rFonts w:ascii="Calibri" w:hAnsi="Calibri"/>
        </w:rPr>
        <w:t>4</w:t>
      </w:r>
      <w:r>
        <w:rPr>
          <w:rFonts w:ascii="Calibri" w:hAnsi="Calibri"/>
        </w:rPr>
        <w:t>:</w:t>
      </w:r>
    </w:p>
    <w:p w:rsidR="00600F57" w:rsidRPr="000F76D1" w:rsidRDefault="00600F57" w:rsidP="00600F57">
      <w:r w:rsidRPr="000F76D1">
        <w:rPr>
          <w:highlight w:val="green"/>
        </w:rPr>
        <w:t>Agreements</w:t>
      </w:r>
      <w:r w:rsidRPr="000F76D1">
        <w:t>:</w:t>
      </w:r>
    </w:p>
    <w:p w:rsidR="00600F57" w:rsidRPr="000F76D1" w:rsidRDefault="00600F57" w:rsidP="00600F57">
      <w:pPr>
        <w:numPr>
          <w:ilvl w:val="0"/>
          <w:numId w:val="14"/>
        </w:numPr>
        <w:spacing w:before="0" w:after="0"/>
        <w:jc w:val="left"/>
      </w:pPr>
      <w:r w:rsidRPr="000F76D1">
        <w:t>In case of SA deployments, initial IAB node discovery by the MT (Stage 1) follows the Rel.15 procedure for cell search and initial access based on SSBs available for access UEs without additional required specification support.</w:t>
      </w:r>
    </w:p>
    <w:p w:rsidR="00600F57" w:rsidRPr="000F76D1" w:rsidRDefault="00600F57" w:rsidP="00600F57">
      <w:pPr>
        <w:numPr>
          <w:ilvl w:val="1"/>
          <w:numId w:val="14"/>
        </w:numPr>
        <w:spacing w:before="0" w:after="0"/>
        <w:jc w:val="left"/>
      </w:pPr>
      <w:r w:rsidRPr="000F76D1">
        <w:t>FFS: how to support NSA deployment</w:t>
      </w:r>
    </w:p>
    <w:p w:rsidR="00600F57" w:rsidRPr="000F76D1" w:rsidRDefault="00600F57" w:rsidP="00600F57">
      <w:pPr>
        <w:numPr>
          <w:ilvl w:val="1"/>
          <w:numId w:val="14"/>
        </w:numPr>
        <w:spacing w:before="0" w:after="0"/>
        <w:jc w:val="left"/>
      </w:pPr>
      <w:r w:rsidRPr="000F76D1">
        <w:t>FFS whether Stage 2 enhancements (if any) can be applied to Stage 1</w:t>
      </w:r>
    </w:p>
    <w:p w:rsidR="00886940" w:rsidRDefault="00886940" w:rsidP="00057E9B">
      <w:pPr>
        <w:pStyle w:val="maintext"/>
        <w:ind w:firstLineChars="0" w:firstLine="0"/>
        <w:rPr>
          <w:rFonts w:ascii="Calibri" w:hAnsi="Calibri"/>
        </w:rPr>
      </w:pPr>
    </w:p>
    <w:p w:rsidR="00600F57" w:rsidRDefault="00600F57" w:rsidP="00057E9B">
      <w:pPr>
        <w:pStyle w:val="maintext"/>
        <w:ind w:firstLineChars="0" w:firstLine="0"/>
        <w:rPr>
          <w:rFonts w:ascii="Calibri" w:hAnsi="Calibri"/>
        </w:rPr>
      </w:pPr>
      <w:r>
        <w:rPr>
          <w:rFonts w:ascii="Calibri" w:hAnsi="Calibri"/>
        </w:rPr>
        <w:t xml:space="preserve">In case of NSA deployments, the access UEs and IAB node MTs do not need to perform initial access procedures on the NR frequency carrier, and instead first get connected to the network via an LTE PCell and the NR frequency carrier is added as part of the EN-DC SCG setup procedure. As a result, the default SSB periodicity does </w:t>
      </w:r>
      <w:r w:rsidR="00FD6F1A">
        <w:rPr>
          <w:rFonts w:ascii="Calibri" w:hAnsi="Calibri"/>
        </w:rPr>
        <w:t>not have to be assumed by the IAB MTs when performing parent IAB node discovery/selection. Additionally, the frequency location of the SSBs on the NR carrier can be signalled to the MTs, instead of having the MT assume that only SSBs on the sync raster are transmitted.</w:t>
      </w:r>
    </w:p>
    <w:p w:rsidR="00FD6F1A" w:rsidRDefault="00FD6F1A" w:rsidP="00057E9B">
      <w:pPr>
        <w:pStyle w:val="maintext"/>
        <w:ind w:firstLineChars="0" w:firstLine="0"/>
        <w:rPr>
          <w:rFonts w:ascii="Calibri" w:hAnsi="Calibri"/>
        </w:rPr>
      </w:pPr>
      <w:r>
        <w:rPr>
          <w:rFonts w:ascii="Calibri" w:hAnsi="Calibri"/>
        </w:rPr>
        <w:t>As a result, it seems feasible that both Stage 2 Solution 1-A and Solution 1-B can be used for initial IAB node discovery by the MT in case of NSA deployments.</w:t>
      </w:r>
    </w:p>
    <w:p w:rsidR="00FD6F1A" w:rsidRDefault="00FD6F1A" w:rsidP="00057E9B">
      <w:pPr>
        <w:pStyle w:val="maintext"/>
        <w:ind w:firstLineChars="0" w:firstLine="0"/>
        <w:rPr>
          <w:rFonts w:ascii="Calibri" w:hAnsi="Calibri"/>
        </w:rPr>
      </w:pPr>
    </w:p>
    <w:p w:rsidR="00FD6F1A" w:rsidRPr="00FD6F1A" w:rsidRDefault="00FD6F1A" w:rsidP="00FD6F1A">
      <w:pPr>
        <w:pStyle w:val="maintext"/>
        <w:ind w:firstLineChars="0" w:firstLine="0"/>
        <w:rPr>
          <w:rFonts w:ascii="Calibri" w:hAnsi="Calibri"/>
          <w:b/>
        </w:rPr>
      </w:pPr>
      <w:r>
        <w:rPr>
          <w:rFonts w:ascii="Calibri" w:hAnsi="Calibri"/>
          <w:b/>
        </w:rPr>
        <w:t>Proposal 1: In the case of NSA deployments, b</w:t>
      </w:r>
      <w:r w:rsidRPr="00FD6F1A">
        <w:rPr>
          <w:rFonts w:ascii="Calibri" w:hAnsi="Calibri"/>
          <w:b/>
        </w:rPr>
        <w:t xml:space="preserve">oth Stage 2 Solution 1-A and Solution 1-B can be used for initial </w:t>
      </w:r>
      <w:r>
        <w:rPr>
          <w:rFonts w:ascii="Calibri" w:hAnsi="Calibri"/>
          <w:b/>
        </w:rPr>
        <w:t>IAB node discovery by the MT.</w:t>
      </w:r>
    </w:p>
    <w:p w:rsidR="00FD6F1A" w:rsidRDefault="00FD6F1A" w:rsidP="00057E9B">
      <w:pPr>
        <w:pStyle w:val="maintext"/>
        <w:ind w:firstLineChars="0" w:firstLine="0"/>
        <w:rPr>
          <w:rFonts w:ascii="Calibri" w:hAnsi="Calibri"/>
          <w:b/>
        </w:rPr>
      </w:pPr>
    </w:p>
    <w:p w:rsidR="00FD6F1A" w:rsidRDefault="00FD6F1A" w:rsidP="00057E9B">
      <w:pPr>
        <w:pStyle w:val="maintext"/>
        <w:ind w:firstLineChars="0" w:firstLine="0"/>
        <w:rPr>
          <w:rFonts w:ascii="Calibri" w:hAnsi="Calibri"/>
          <w:b/>
        </w:rPr>
      </w:pPr>
    </w:p>
    <w:p w:rsidR="00FD6F1A" w:rsidRDefault="00FD6F1A" w:rsidP="00057E9B">
      <w:pPr>
        <w:pStyle w:val="maintext"/>
        <w:ind w:firstLineChars="0" w:firstLine="0"/>
        <w:rPr>
          <w:rFonts w:ascii="Calibri" w:hAnsi="Calibri"/>
          <w:b/>
        </w:rPr>
      </w:pPr>
    </w:p>
    <w:p w:rsidR="00FD6F1A" w:rsidRDefault="00FD6F1A" w:rsidP="00057E9B">
      <w:pPr>
        <w:pStyle w:val="maintext"/>
        <w:ind w:firstLineChars="0" w:firstLine="0"/>
        <w:rPr>
          <w:rFonts w:ascii="Calibri" w:hAnsi="Calibri"/>
          <w:b/>
        </w:rPr>
      </w:pPr>
    </w:p>
    <w:p w:rsidR="00600F57" w:rsidRDefault="00600F57" w:rsidP="00057E9B">
      <w:pPr>
        <w:pStyle w:val="maintext"/>
        <w:ind w:firstLineChars="0" w:firstLine="0"/>
        <w:rPr>
          <w:rFonts w:ascii="Calibri" w:hAnsi="Calibri"/>
        </w:rPr>
      </w:pPr>
      <w:r>
        <w:rPr>
          <w:rFonts w:ascii="Calibri" w:hAnsi="Calibri"/>
        </w:rPr>
        <w:lastRenderedPageBreak/>
        <w:t>The following was agreed in RAN1#94bis:</w:t>
      </w:r>
    </w:p>
    <w:p w:rsidR="00600F57" w:rsidRPr="00D36DD1" w:rsidRDefault="00600F57" w:rsidP="00600F57">
      <w:pPr>
        <w:rPr>
          <w:lang w:eastAsia="x-none"/>
        </w:rPr>
      </w:pPr>
      <w:r w:rsidRPr="00D36DD1">
        <w:rPr>
          <w:highlight w:val="green"/>
          <w:lang w:eastAsia="x-none"/>
        </w:rPr>
        <w:t>Agreements</w:t>
      </w:r>
      <w:r w:rsidRPr="00D36DD1">
        <w:rPr>
          <w:lang w:eastAsia="x-none"/>
        </w:rPr>
        <w:t>:</w:t>
      </w:r>
    </w:p>
    <w:p w:rsidR="00600F57" w:rsidRPr="00D36DD1" w:rsidRDefault="00600F57" w:rsidP="00600F57">
      <w:pPr>
        <w:numPr>
          <w:ilvl w:val="0"/>
          <w:numId w:val="15"/>
        </w:numPr>
        <w:spacing w:before="0" w:after="0"/>
        <w:jc w:val="left"/>
      </w:pPr>
      <w:r w:rsidRPr="00D36DD1">
        <w:t>Solution 1-A and Solution 1-B are both supported</w:t>
      </w:r>
    </w:p>
    <w:p w:rsidR="00600F57" w:rsidRPr="00D36DD1" w:rsidRDefault="00600F57" w:rsidP="00600F57">
      <w:pPr>
        <w:numPr>
          <w:ilvl w:val="1"/>
          <w:numId w:val="15"/>
        </w:numPr>
        <w:spacing w:before="0" w:after="0"/>
        <w:jc w:val="left"/>
      </w:pPr>
      <w:r w:rsidRPr="00D36DD1">
        <w:t xml:space="preserve">Enhancements for off-raster SSB, e.g. new periodicities and time-domain mapping can be considered </w:t>
      </w:r>
    </w:p>
    <w:p w:rsidR="00600F57" w:rsidRPr="00D36DD1" w:rsidRDefault="00FD6F1A" w:rsidP="00600F57">
      <w:pPr>
        <w:numPr>
          <w:ilvl w:val="0"/>
          <w:numId w:val="15"/>
        </w:numPr>
        <w:spacing w:before="0" w:after="0"/>
        <w:jc w:val="left"/>
      </w:pPr>
      <w:r>
        <w:t>CS</w:t>
      </w:r>
      <w:r w:rsidR="00600F57" w:rsidRPr="00D36DD1">
        <w:t>I-RS can be used for inter-IAB detection in synchronous network</w:t>
      </w:r>
    </w:p>
    <w:p w:rsidR="00600F57" w:rsidRPr="00D36DD1" w:rsidRDefault="00600F57" w:rsidP="00600F57">
      <w:pPr>
        <w:numPr>
          <w:ilvl w:val="1"/>
          <w:numId w:val="15"/>
        </w:numPr>
        <w:spacing w:before="0" w:after="0"/>
        <w:jc w:val="left"/>
      </w:pPr>
      <w:r w:rsidRPr="00D36DD1">
        <w:t xml:space="preserve">Extended CSI-RS periodicities can be considered. </w:t>
      </w:r>
    </w:p>
    <w:p w:rsidR="00600F57" w:rsidRDefault="00600F57" w:rsidP="00057E9B">
      <w:pPr>
        <w:pStyle w:val="maintext"/>
        <w:ind w:firstLineChars="0" w:firstLine="0"/>
        <w:rPr>
          <w:rFonts w:ascii="Calibri" w:hAnsi="Calibri"/>
        </w:rPr>
      </w:pPr>
    </w:p>
    <w:p w:rsidR="00004522" w:rsidRDefault="0083713D" w:rsidP="00004522">
      <w:pPr>
        <w:pStyle w:val="maintext"/>
        <w:ind w:firstLineChars="0" w:firstLine="0"/>
        <w:rPr>
          <w:rFonts w:ascii="Calibri" w:hAnsi="Calibri"/>
        </w:rPr>
      </w:pPr>
      <w:r w:rsidRPr="00BA6FDB">
        <w:rPr>
          <w:rFonts w:ascii="Calibri" w:hAnsi="Calibri"/>
        </w:rPr>
        <w:t>In case</w:t>
      </w:r>
      <w:r w:rsidR="00F959A1">
        <w:rPr>
          <w:rFonts w:ascii="Calibri" w:hAnsi="Calibri"/>
        </w:rPr>
        <w:t xml:space="preserve"> of Solution 1-B</w:t>
      </w:r>
      <w:r w:rsidRPr="00BA6FDB">
        <w:rPr>
          <w:rFonts w:ascii="Calibri" w:hAnsi="Calibri"/>
        </w:rPr>
        <w:t xml:space="preserve">, not only </w:t>
      </w:r>
      <w:r>
        <w:rPr>
          <w:rFonts w:ascii="Calibri" w:hAnsi="Calibri"/>
        </w:rPr>
        <w:t xml:space="preserve">is </w:t>
      </w:r>
      <w:r w:rsidRPr="00BA6FDB">
        <w:rPr>
          <w:rFonts w:ascii="Calibri" w:hAnsi="Calibri"/>
        </w:rPr>
        <w:t>differentiation between resource</w:t>
      </w:r>
      <w:r>
        <w:rPr>
          <w:rFonts w:ascii="Calibri" w:hAnsi="Calibri"/>
        </w:rPr>
        <w:t>s</w:t>
      </w:r>
      <w:r w:rsidRPr="00BA6FDB">
        <w:rPr>
          <w:rFonts w:ascii="Calibri" w:hAnsi="Calibri"/>
        </w:rPr>
        <w:t xml:space="preserve"> used for transmission of access and backhaul</w:t>
      </w:r>
      <w:r>
        <w:rPr>
          <w:rFonts w:ascii="Calibri" w:hAnsi="Calibri"/>
        </w:rPr>
        <w:t xml:space="preserve"> link initial access signals </w:t>
      </w:r>
      <w:r w:rsidRPr="00BA6FDB">
        <w:rPr>
          <w:rFonts w:ascii="Calibri" w:hAnsi="Calibri"/>
        </w:rPr>
        <w:t>needed, but also between different hop order</w:t>
      </w:r>
      <w:r>
        <w:rPr>
          <w:rFonts w:ascii="Calibri" w:hAnsi="Calibri"/>
        </w:rPr>
        <w:t>s</w:t>
      </w:r>
      <w:r w:rsidRPr="00BA6FDB">
        <w:rPr>
          <w:rFonts w:ascii="Calibri" w:hAnsi="Calibri"/>
        </w:rPr>
        <w:t xml:space="preserve"> of </w:t>
      </w:r>
      <w:r w:rsidR="00EE2068">
        <w:rPr>
          <w:rFonts w:ascii="Calibri" w:hAnsi="Calibri"/>
        </w:rPr>
        <w:t>IAB nodes</w:t>
      </w:r>
      <w:r w:rsidRPr="00BA6FDB">
        <w:rPr>
          <w:rFonts w:ascii="Calibri" w:hAnsi="Calibri"/>
        </w:rPr>
        <w:t xml:space="preserve"> due to the half-duplex constraint. Figure</w:t>
      </w:r>
      <w:r>
        <w:rPr>
          <w:rFonts w:ascii="Calibri" w:hAnsi="Calibri"/>
        </w:rPr>
        <w:t>s</w:t>
      </w:r>
      <w:r w:rsidRPr="00BA6FDB">
        <w:rPr>
          <w:rFonts w:ascii="Calibri" w:hAnsi="Calibri"/>
        </w:rPr>
        <w:t xml:space="preserve"> 3 </w:t>
      </w:r>
      <w:r>
        <w:rPr>
          <w:rFonts w:ascii="Calibri" w:hAnsi="Calibri"/>
        </w:rPr>
        <w:t>provide</w:t>
      </w:r>
      <w:r w:rsidR="00BC704C">
        <w:rPr>
          <w:rFonts w:ascii="Calibri" w:hAnsi="Calibri"/>
        </w:rPr>
        <w:t>s</w:t>
      </w:r>
      <w:r w:rsidRPr="00BA6FDB">
        <w:rPr>
          <w:rFonts w:ascii="Calibri" w:hAnsi="Calibri"/>
        </w:rPr>
        <w:t xml:space="preserve"> an example of such multiplexing of initial access signal transmissions between access and two backhaul link hop orders.</w:t>
      </w:r>
      <w:r>
        <w:rPr>
          <w:rFonts w:ascii="Calibri" w:hAnsi="Calibri"/>
        </w:rPr>
        <w:t xml:space="preserve"> The access synchronization signal transmissions can overlap in time across hop orders since they are intended for UEs and therefore not subject to the half-duplex constrain requirement. However, orthogonal time periods are required for the transmission of the synchronization signal transmissions intended for backhaul link discovery and maintenance with a possibly different periodicity of transmission</w:t>
      </w:r>
      <w:r w:rsidR="00C735F1">
        <w:rPr>
          <w:rFonts w:ascii="Calibri" w:hAnsi="Calibri"/>
        </w:rPr>
        <w:t xml:space="preserve"> and separately configured from the parameters/resources used by access UEs</w:t>
      </w:r>
      <w:r>
        <w:rPr>
          <w:rFonts w:ascii="Calibri" w:hAnsi="Calibri"/>
        </w:rPr>
        <w:t>.</w:t>
      </w:r>
    </w:p>
    <w:p w:rsidR="00AA5160" w:rsidRPr="00AA5160" w:rsidRDefault="00DE2A3F" w:rsidP="00AA5160">
      <w:pPr>
        <w:pStyle w:val="maintext"/>
        <w:ind w:firstLineChars="0" w:firstLine="0"/>
        <w:rPr>
          <w:rFonts w:ascii="Calibri" w:hAnsi="Calibri"/>
        </w:rPr>
      </w:pPr>
      <w:r>
        <w:rPr>
          <w:rFonts w:ascii="Calibri" w:hAnsi="Calibri"/>
          <w:noProof/>
          <w:lang w:val="en-US" w:eastAsia="en-US"/>
        </w:rPr>
        <w:drawing>
          <wp:inline distT="0" distB="0" distL="0" distR="0" wp14:anchorId="72565EB6">
            <wp:extent cx="6016625" cy="191198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16625" cy="1911985"/>
                    </a:xfrm>
                    <a:prstGeom prst="rect">
                      <a:avLst/>
                    </a:prstGeom>
                    <a:noFill/>
                  </pic:spPr>
                </pic:pic>
              </a:graphicData>
            </a:graphic>
          </wp:inline>
        </w:drawing>
      </w:r>
      <w:r w:rsidR="00004522">
        <w:rPr>
          <w:rFonts w:ascii="Calibri" w:hAnsi="Calibri"/>
        </w:rPr>
        <w:t xml:space="preserve">         </w:t>
      </w:r>
      <w:r w:rsidR="0083713D">
        <w:rPr>
          <w:rFonts w:ascii="Calibri" w:hAnsi="Calibri"/>
        </w:rPr>
        <w:t xml:space="preserve">  </w:t>
      </w:r>
      <w:r w:rsidR="00EE2068">
        <w:rPr>
          <w:rFonts w:ascii="Calibri" w:hAnsi="Calibri"/>
        </w:rPr>
        <w:t xml:space="preserve">        </w:t>
      </w:r>
      <w:r w:rsidR="0083713D">
        <w:rPr>
          <w:rFonts w:ascii="Calibri" w:hAnsi="Calibri"/>
        </w:rPr>
        <w:t xml:space="preserve">         </w:t>
      </w:r>
      <w:r w:rsidR="00004522">
        <w:rPr>
          <w:rFonts w:ascii="Calibri" w:hAnsi="Calibri"/>
        </w:rPr>
        <w:t xml:space="preserve"> </w:t>
      </w:r>
    </w:p>
    <w:p w:rsidR="00AA5160" w:rsidRPr="00AA5160" w:rsidRDefault="0083713D" w:rsidP="00AA5160">
      <w:pPr>
        <w:overflowPunct w:val="0"/>
        <w:autoSpaceDE w:val="0"/>
        <w:autoSpaceDN w:val="0"/>
        <w:adjustRightInd w:val="0"/>
        <w:spacing w:after="240" w:line="360" w:lineRule="auto"/>
        <w:jc w:val="center"/>
        <w:textAlignment w:val="baseline"/>
        <w:rPr>
          <w:rFonts w:ascii="Calibri" w:hAnsi="Calibri"/>
          <w:b/>
          <w:bCs/>
          <w:sz w:val="22"/>
          <w:lang w:val="en-GB" w:eastAsia="zh-CN"/>
        </w:rPr>
      </w:pPr>
      <w:r w:rsidRPr="006C49B6">
        <w:rPr>
          <w:rFonts w:ascii="Calibri" w:hAnsi="Calibri"/>
          <w:b/>
          <w:bCs/>
          <w:sz w:val="22"/>
          <w:lang w:val="en-GB" w:eastAsia="zh-CN"/>
        </w:rPr>
        <w:t>Figure 3: TDM multiplexing of initial access signals between access and backhaul links (same periodicity)</w:t>
      </w:r>
    </w:p>
    <w:p w:rsidR="00F959A1" w:rsidRDefault="00FD6F1A" w:rsidP="004709B7">
      <w:pPr>
        <w:pStyle w:val="maintext"/>
        <w:ind w:firstLineChars="0" w:firstLine="0"/>
        <w:rPr>
          <w:rFonts w:ascii="Calibri" w:hAnsi="Calibri"/>
        </w:rPr>
      </w:pPr>
      <w:r>
        <w:rPr>
          <w:rFonts w:ascii="Calibri" w:hAnsi="Calibri"/>
        </w:rPr>
        <w:t>The orthogonal resources/periodicities and muting patterns within a given SMTC should be able to accommodate deployments with different numbers of hops and number of candidate IAB nodes (e.g. due to deployment density). However, introducing a large number of possible configurations may increase the overhead and netwo</w:t>
      </w:r>
      <w:r w:rsidR="0087144B">
        <w:rPr>
          <w:rFonts w:ascii="Calibri" w:hAnsi="Calibri"/>
        </w:rPr>
        <w:t xml:space="preserve">rk complexity. Also considering IAB scenarios evaluated in the SI </w:t>
      </w:r>
      <w:r w:rsidR="00726B84">
        <w:rPr>
          <w:rFonts w:ascii="Calibri" w:hAnsi="Calibri"/>
        </w:rPr>
        <w:t>typically do not go beyond 2-3 hops, it is reasonable for the configuration and patterns for Solutions 1-A and 1-B to potentially support a large (or arbitrary) number of hops, but is optimized for inter-hop discovery of IAB nodes up to 3 hops.</w:t>
      </w:r>
    </w:p>
    <w:p w:rsidR="00F959A1" w:rsidRDefault="00F959A1" w:rsidP="00BC704C">
      <w:pPr>
        <w:pStyle w:val="maintext"/>
        <w:ind w:firstLineChars="0" w:firstLine="0"/>
        <w:rPr>
          <w:rFonts w:ascii="Calibri" w:hAnsi="Calibri"/>
          <w:b/>
        </w:rPr>
      </w:pPr>
    </w:p>
    <w:p w:rsidR="00004522" w:rsidRDefault="001F02DD" w:rsidP="00BC704C">
      <w:pPr>
        <w:pStyle w:val="maintext"/>
        <w:ind w:firstLineChars="0" w:firstLine="0"/>
        <w:rPr>
          <w:rFonts w:ascii="Calibri" w:hAnsi="Calibri"/>
          <w:b/>
        </w:rPr>
      </w:pPr>
      <w:r>
        <w:rPr>
          <w:rFonts w:ascii="Calibri" w:hAnsi="Calibri"/>
          <w:b/>
        </w:rPr>
        <w:t>Proposal</w:t>
      </w:r>
      <w:r w:rsidR="00C735F1" w:rsidRPr="00057E9B">
        <w:rPr>
          <w:rFonts w:ascii="Calibri" w:hAnsi="Calibri"/>
          <w:b/>
        </w:rPr>
        <w:t xml:space="preserve"> </w:t>
      </w:r>
      <w:r w:rsidR="00726B84">
        <w:rPr>
          <w:rFonts w:ascii="Calibri" w:hAnsi="Calibri"/>
          <w:b/>
        </w:rPr>
        <w:t>2</w:t>
      </w:r>
      <w:r w:rsidR="00C735F1" w:rsidRPr="00057E9B">
        <w:rPr>
          <w:rFonts w:ascii="Calibri" w:hAnsi="Calibri"/>
          <w:b/>
        </w:rPr>
        <w:t xml:space="preserve">: </w:t>
      </w:r>
      <w:r>
        <w:rPr>
          <w:rFonts w:ascii="Calibri" w:hAnsi="Calibri"/>
          <w:b/>
        </w:rPr>
        <w:t>IAB should support the configuration and coordination of o</w:t>
      </w:r>
      <w:r w:rsidR="00057E9B" w:rsidRPr="00057E9B">
        <w:rPr>
          <w:rFonts w:ascii="Calibri" w:hAnsi="Calibri"/>
          <w:b/>
        </w:rPr>
        <w:t>rthogonal</w:t>
      </w:r>
      <w:r>
        <w:rPr>
          <w:rFonts w:ascii="Calibri" w:hAnsi="Calibri"/>
          <w:b/>
        </w:rPr>
        <w:t xml:space="preserve"> time/frequency</w:t>
      </w:r>
      <w:r w:rsidR="00057E9B" w:rsidRPr="00057E9B">
        <w:rPr>
          <w:rFonts w:ascii="Calibri" w:hAnsi="Calibri"/>
          <w:b/>
        </w:rPr>
        <w:t xml:space="preserve"> </w:t>
      </w:r>
      <w:r>
        <w:rPr>
          <w:rFonts w:ascii="Calibri" w:hAnsi="Calibri"/>
          <w:b/>
        </w:rPr>
        <w:t>resources</w:t>
      </w:r>
      <w:r w:rsidR="00057E9B" w:rsidRPr="00057E9B">
        <w:rPr>
          <w:rFonts w:ascii="Calibri" w:hAnsi="Calibri"/>
          <w:b/>
        </w:rPr>
        <w:t xml:space="preserve"> </w:t>
      </w:r>
      <w:r>
        <w:rPr>
          <w:rFonts w:ascii="Calibri" w:hAnsi="Calibri"/>
          <w:b/>
        </w:rPr>
        <w:t xml:space="preserve">and </w:t>
      </w:r>
      <w:r w:rsidR="00F959A1">
        <w:rPr>
          <w:rFonts w:ascii="Calibri" w:hAnsi="Calibri"/>
          <w:b/>
        </w:rPr>
        <w:t xml:space="preserve">introduce new </w:t>
      </w:r>
      <w:r>
        <w:rPr>
          <w:rFonts w:ascii="Calibri" w:hAnsi="Calibri"/>
          <w:b/>
        </w:rPr>
        <w:t>periodicities</w:t>
      </w:r>
      <w:r w:rsidR="00F959A1">
        <w:rPr>
          <w:rFonts w:ascii="Calibri" w:hAnsi="Calibri"/>
          <w:b/>
        </w:rPr>
        <w:t xml:space="preserve"> and time-domain mapping patterns</w:t>
      </w:r>
      <w:r>
        <w:rPr>
          <w:rFonts w:ascii="Calibri" w:hAnsi="Calibri"/>
          <w:b/>
        </w:rPr>
        <w:t xml:space="preserve"> </w:t>
      </w:r>
      <w:r w:rsidR="00B3707E">
        <w:rPr>
          <w:rFonts w:ascii="Calibri" w:hAnsi="Calibri"/>
          <w:b/>
        </w:rPr>
        <w:t>for SSB</w:t>
      </w:r>
      <w:r w:rsidR="00057E9B" w:rsidRPr="00057E9B">
        <w:rPr>
          <w:rFonts w:ascii="Calibri" w:hAnsi="Calibri"/>
          <w:b/>
        </w:rPr>
        <w:t xml:space="preserve"> transmissions </w:t>
      </w:r>
      <w:r>
        <w:rPr>
          <w:rFonts w:ascii="Calibri" w:hAnsi="Calibri"/>
          <w:b/>
        </w:rPr>
        <w:t>(</w:t>
      </w:r>
      <w:r w:rsidR="00726B84">
        <w:rPr>
          <w:rFonts w:ascii="Calibri" w:hAnsi="Calibri"/>
          <w:b/>
        </w:rPr>
        <w:t>i.e. Solution 1-A, Solution 1-B) which are optimized for inter-hop discovery of IAB nodes up to 3 hops</w:t>
      </w:r>
      <w:r w:rsidR="00F463C9">
        <w:rPr>
          <w:rFonts w:ascii="Calibri" w:hAnsi="Calibri"/>
          <w:b/>
        </w:rPr>
        <w:t>.</w:t>
      </w:r>
    </w:p>
    <w:p w:rsidR="009550DA" w:rsidRDefault="009550DA" w:rsidP="00BC704C">
      <w:pPr>
        <w:pStyle w:val="maintext"/>
        <w:ind w:firstLineChars="0" w:firstLine="0"/>
        <w:rPr>
          <w:rFonts w:ascii="Calibri" w:hAnsi="Calibri"/>
          <w:b/>
        </w:rPr>
      </w:pPr>
    </w:p>
    <w:p w:rsidR="009550DA" w:rsidRDefault="009550DA" w:rsidP="00BC704C">
      <w:pPr>
        <w:pStyle w:val="maintext"/>
        <w:ind w:firstLineChars="0" w:firstLine="0"/>
        <w:rPr>
          <w:rFonts w:ascii="Calibri" w:hAnsi="Calibri"/>
          <w:b/>
        </w:rPr>
      </w:pPr>
    </w:p>
    <w:p w:rsidR="009550DA" w:rsidRDefault="009550DA" w:rsidP="00BC704C">
      <w:pPr>
        <w:pStyle w:val="maintext"/>
        <w:ind w:firstLineChars="0" w:firstLine="0"/>
        <w:rPr>
          <w:rFonts w:ascii="Calibri" w:hAnsi="Calibri"/>
          <w:b/>
        </w:rPr>
      </w:pPr>
    </w:p>
    <w:p w:rsidR="009550DA" w:rsidRDefault="009550DA" w:rsidP="00BC704C">
      <w:pPr>
        <w:pStyle w:val="maintext"/>
        <w:ind w:firstLineChars="0" w:firstLine="0"/>
        <w:rPr>
          <w:rFonts w:ascii="Calibri" w:hAnsi="Calibri"/>
          <w:b/>
        </w:rPr>
      </w:pPr>
    </w:p>
    <w:p w:rsidR="00004522" w:rsidRDefault="00004522" w:rsidP="00BC704C">
      <w:pPr>
        <w:pStyle w:val="maintext"/>
        <w:ind w:firstLineChars="0" w:firstLine="0"/>
        <w:rPr>
          <w:rFonts w:ascii="Calibri" w:hAnsi="Calibri"/>
        </w:rPr>
      </w:pPr>
    </w:p>
    <w:p w:rsidR="00512838" w:rsidRDefault="00512838" w:rsidP="00512838">
      <w:pPr>
        <w:pStyle w:val="Heading2"/>
      </w:pPr>
      <w:r>
        <w:lastRenderedPageBreak/>
        <w:t xml:space="preserve">Enhancements for Backhaul Link Management </w:t>
      </w:r>
    </w:p>
    <w:p w:rsidR="00F959A1" w:rsidRDefault="00F959A1" w:rsidP="00575859">
      <w:r w:rsidRPr="00F959A1">
        <w:t>During</w:t>
      </w:r>
      <w:r>
        <w:t xml:space="preserve"> RAN1#94 the following agreements were made related to RLM/RLF and the interac</w:t>
      </w:r>
      <w:r w:rsidR="006703A8">
        <w:t>tion with beam failure recovery:</w:t>
      </w:r>
    </w:p>
    <w:p w:rsidR="00575859" w:rsidRPr="00874D7E" w:rsidRDefault="00575859" w:rsidP="00575859">
      <w:pPr>
        <w:rPr>
          <w:lang w:eastAsia="x-none"/>
        </w:rPr>
      </w:pPr>
      <w:r w:rsidRPr="00874D7E">
        <w:rPr>
          <w:highlight w:val="green"/>
          <w:lang w:eastAsia="x-none"/>
        </w:rPr>
        <w:t>Agreements</w:t>
      </w:r>
      <w:r w:rsidRPr="00874D7E">
        <w:rPr>
          <w:lang w:eastAsia="x-none"/>
        </w:rPr>
        <w:t>:</w:t>
      </w:r>
    </w:p>
    <w:p w:rsidR="00575859" w:rsidRPr="00874D7E" w:rsidRDefault="00575859" w:rsidP="00575859">
      <w:pPr>
        <w:numPr>
          <w:ilvl w:val="0"/>
          <w:numId w:val="9"/>
        </w:numPr>
        <w:spacing w:before="0" w:after="0"/>
        <w:jc w:val="left"/>
      </w:pPr>
      <w:r w:rsidRPr="00874D7E">
        <w:t xml:space="preserve">To support RLM/RLF procedures for IAB nodes, the following should be further studied: </w:t>
      </w:r>
    </w:p>
    <w:p w:rsidR="00575859" w:rsidRPr="00874D7E" w:rsidRDefault="00575859" w:rsidP="00575859">
      <w:pPr>
        <w:numPr>
          <w:ilvl w:val="1"/>
          <w:numId w:val="9"/>
        </w:numPr>
        <w:spacing w:before="0" w:after="0"/>
        <w:jc w:val="left"/>
      </w:pPr>
      <w:r w:rsidRPr="00874D7E">
        <w:t xml:space="preserve">Enhancements to support interaction between Beam Failure Recovery success indication and RLF </w:t>
      </w:r>
    </w:p>
    <w:p w:rsidR="00575859" w:rsidRPr="00874D7E" w:rsidRDefault="00575859" w:rsidP="00575859">
      <w:pPr>
        <w:numPr>
          <w:ilvl w:val="1"/>
          <w:numId w:val="9"/>
        </w:numPr>
        <w:spacing w:before="0" w:after="0"/>
        <w:jc w:val="left"/>
      </w:pPr>
      <w:r w:rsidRPr="00874D7E">
        <w:t>Enhancements to existing beam management procedures for faster beam switching/coordination/recovery to avoid backhaul link outages should be considered for IAB nodes</w:t>
      </w:r>
    </w:p>
    <w:p w:rsidR="00575859" w:rsidRPr="004B1319" w:rsidRDefault="00575859" w:rsidP="00575859">
      <w:pPr>
        <w:rPr>
          <w:lang w:eastAsia="x-none"/>
        </w:rPr>
      </w:pPr>
      <w:r w:rsidRPr="004B1319">
        <w:rPr>
          <w:highlight w:val="green"/>
          <w:lang w:eastAsia="x-none"/>
        </w:rPr>
        <w:t>Agreements</w:t>
      </w:r>
      <w:r w:rsidRPr="004B1319">
        <w:rPr>
          <w:lang w:eastAsia="x-none"/>
        </w:rPr>
        <w:t>:</w:t>
      </w:r>
    </w:p>
    <w:p w:rsidR="00575859" w:rsidRPr="004B1319" w:rsidRDefault="00575859" w:rsidP="00575859">
      <w:pPr>
        <w:numPr>
          <w:ilvl w:val="0"/>
          <w:numId w:val="9"/>
        </w:numPr>
        <w:spacing w:before="0" w:after="0"/>
        <w:jc w:val="left"/>
      </w:pPr>
      <w:r w:rsidRPr="004B1319">
        <w:t>Study the need for additional backhaul link condition notification mechanism from the parent IAB node DU to the child IAB node as well as corresponding IAB node behavior.</w:t>
      </w:r>
    </w:p>
    <w:p w:rsidR="00575859" w:rsidRPr="004B1319" w:rsidRDefault="00575859" w:rsidP="00575859">
      <w:pPr>
        <w:numPr>
          <w:ilvl w:val="1"/>
          <w:numId w:val="9"/>
        </w:numPr>
        <w:spacing w:before="0" w:after="0"/>
        <w:jc w:val="left"/>
      </w:pPr>
      <w:r w:rsidRPr="004B1319">
        <w:t xml:space="preserve">E.g., if the parent IAB node’s backhaul link fails (RLF or BF) </w:t>
      </w:r>
    </w:p>
    <w:p w:rsidR="00575859" w:rsidRPr="004B1319" w:rsidRDefault="00575859" w:rsidP="00575859">
      <w:pPr>
        <w:numPr>
          <w:ilvl w:val="1"/>
          <w:numId w:val="9"/>
        </w:numPr>
        <w:spacing w:before="0" w:after="0"/>
        <w:jc w:val="left"/>
      </w:pPr>
      <w:r w:rsidRPr="004B1319">
        <w:t>Note: this study is intended to focus on RAN1 aspecs only (any higher layers aspects are to be handled by other WGs)</w:t>
      </w:r>
    </w:p>
    <w:p w:rsidR="00512838" w:rsidRDefault="00512838" w:rsidP="00512838"/>
    <w:p w:rsidR="00512838" w:rsidRDefault="00512838" w:rsidP="00512838">
      <w:pPr>
        <w:pStyle w:val="Heading4"/>
      </w:pPr>
      <w:r>
        <w:t>RLM for IAB nodes</w:t>
      </w:r>
    </w:p>
    <w:p w:rsidR="00F959A1" w:rsidRDefault="006703A8" w:rsidP="00F959A1">
      <w:pPr>
        <w:pStyle w:val="maintext"/>
        <w:ind w:firstLineChars="0" w:firstLine="0"/>
        <w:rPr>
          <w:rFonts w:ascii="Calibri" w:hAnsi="Calibri"/>
        </w:rPr>
      </w:pPr>
      <w:r>
        <w:rPr>
          <w:rFonts w:ascii="Calibri" w:hAnsi="Calibri"/>
        </w:rPr>
        <w:t>RLM utilizes</w:t>
      </w:r>
      <w:r w:rsidR="00F959A1">
        <w:rPr>
          <w:rFonts w:ascii="Calibri" w:hAnsi="Calibri"/>
        </w:rPr>
        <w:t xml:space="preserve"> periodic IS and OOS indications to estimate the link quality corresponding to hypothetical PDCCH BLER based on configured RLM-RS resources. This is</w:t>
      </w:r>
      <w:r>
        <w:rPr>
          <w:rFonts w:ascii="Calibri" w:hAnsi="Calibri"/>
        </w:rPr>
        <w:t xml:space="preserve"> further illustrated in Figure 4, where</w:t>
      </w:r>
      <w:r w:rsidR="00F959A1">
        <w:rPr>
          <w:rFonts w:ascii="Calibri" w:hAnsi="Calibri"/>
        </w:rPr>
        <w:t xml:space="preserve"> RLM-RS resources are used to trigger the RLF procedure. In addition to periodic IS and OOS indications, </w:t>
      </w:r>
      <w:r>
        <w:rPr>
          <w:rFonts w:ascii="Calibri" w:hAnsi="Calibri"/>
        </w:rPr>
        <w:t>IAB nodes</w:t>
      </w:r>
      <w:r w:rsidR="00F959A1">
        <w:rPr>
          <w:rFonts w:ascii="Calibri" w:hAnsi="Calibri"/>
        </w:rPr>
        <w:t xml:space="preserve"> should </w:t>
      </w:r>
      <w:r>
        <w:rPr>
          <w:rFonts w:ascii="Calibri" w:hAnsi="Calibri"/>
        </w:rPr>
        <w:t>support</w:t>
      </w:r>
      <w:r w:rsidR="00F959A1">
        <w:rPr>
          <w:rFonts w:ascii="Calibri" w:hAnsi="Calibri"/>
        </w:rPr>
        <w:t xml:space="preserve"> assis</w:t>
      </w:r>
      <w:r>
        <w:rPr>
          <w:rFonts w:ascii="Calibri" w:hAnsi="Calibri"/>
        </w:rPr>
        <w:t>ting</w:t>
      </w:r>
      <w:r w:rsidR="00F959A1">
        <w:rPr>
          <w:rFonts w:ascii="Calibri" w:hAnsi="Calibri"/>
        </w:rPr>
        <w:t xml:space="preserve"> the RLF procedure through aperiodic indications based on the beam failure recover</w:t>
      </w:r>
      <w:r>
        <w:rPr>
          <w:rFonts w:ascii="Calibri" w:hAnsi="Calibri"/>
        </w:rPr>
        <w:t>y procedure as shown in Figure 4</w:t>
      </w:r>
      <w:r w:rsidR="00F959A1">
        <w:rPr>
          <w:rFonts w:ascii="Calibri" w:hAnsi="Calibri"/>
        </w:rPr>
        <w:t xml:space="preserve">, in the dashed lines connecting beam failure and the RLM procedure.  For example an out-of-sync indication may be triggered once all the serving/monitored beams of the </w:t>
      </w:r>
      <w:r>
        <w:rPr>
          <w:rFonts w:ascii="Calibri" w:hAnsi="Calibri"/>
        </w:rPr>
        <w:t>IAB-MT</w:t>
      </w:r>
      <w:r w:rsidR="00F959A1">
        <w:rPr>
          <w:rFonts w:ascii="Calibri" w:hAnsi="Calibri"/>
        </w:rPr>
        <w:t xml:space="preserve"> have experienced beam failure for a configured number of consecutive intervals, while an in-sync indication may be triggered (aperiodically) once one or more of the beams are restored as part of a beam recovery procedure.</w:t>
      </w:r>
    </w:p>
    <w:p w:rsidR="00F959A1" w:rsidRPr="00FB6ED2" w:rsidRDefault="006703A8" w:rsidP="00F959A1">
      <w:pPr>
        <w:pStyle w:val="maintext"/>
        <w:ind w:firstLineChars="0" w:firstLine="0"/>
        <w:rPr>
          <w:rFonts w:ascii="Calibri" w:hAnsi="Calibri"/>
          <w:b/>
        </w:rPr>
      </w:pPr>
      <w:r>
        <w:rPr>
          <w:rFonts w:ascii="Calibri" w:hAnsi="Calibri"/>
          <w:b/>
        </w:rPr>
        <w:t xml:space="preserve">Proposal </w:t>
      </w:r>
      <w:r w:rsidR="00726B84">
        <w:rPr>
          <w:rFonts w:ascii="Calibri" w:hAnsi="Calibri"/>
          <w:b/>
        </w:rPr>
        <w:t>3</w:t>
      </w:r>
      <w:r w:rsidR="00F959A1" w:rsidRPr="00FB6ED2">
        <w:rPr>
          <w:rFonts w:ascii="Calibri" w:hAnsi="Calibri"/>
          <w:b/>
        </w:rPr>
        <w:t xml:space="preserve">: The use of aperiodic out-of-sync and in-sync indications based on </w:t>
      </w:r>
      <w:r>
        <w:rPr>
          <w:rFonts w:ascii="Calibri" w:hAnsi="Calibri"/>
          <w:b/>
        </w:rPr>
        <w:t xml:space="preserve">the </w:t>
      </w:r>
      <w:r w:rsidR="00F959A1" w:rsidRPr="00FB6ED2">
        <w:rPr>
          <w:rFonts w:ascii="Calibri" w:hAnsi="Calibri"/>
          <w:b/>
        </w:rPr>
        <w:t xml:space="preserve">beam failure recovery procedure should be </w:t>
      </w:r>
      <w:r>
        <w:rPr>
          <w:rFonts w:ascii="Calibri" w:hAnsi="Calibri"/>
          <w:b/>
        </w:rPr>
        <w:t>supported</w:t>
      </w:r>
      <w:r w:rsidR="00F959A1" w:rsidRPr="00FB6ED2">
        <w:rPr>
          <w:rFonts w:ascii="Calibri" w:hAnsi="Calibri"/>
          <w:b/>
        </w:rPr>
        <w:t xml:space="preserve"> to assist the RLF procedure</w:t>
      </w:r>
      <w:r>
        <w:rPr>
          <w:rFonts w:ascii="Calibri" w:hAnsi="Calibri"/>
          <w:b/>
        </w:rPr>
        <w:t xml:space="preserve"> for IAB-nodes</w:t>
      </w:r>
      <w:r w:rsidR="00F959A1" w:rsidRPr="00FB6ED2">
        <w:rPr>
          <w:rFonts w:ascii="Calibri" w:hAnsi="Calibri"/>
          <w:b/>
        </w:rPr>
        <w:t>.</w:t>
      </w:r>
    </w:p>
    <w:p w:rsidR="00F959A1" w:rsidRDefault="00F959A1" w:rsidP="00F959A1">
      <w:pPr>
        <w:pStyle w:val="maintext"/>
        <w:ind w:firstLineChars="0" w:firstLine="0"/>
        <w:rPr>
          <w:rFonts w:ascii="Calibri" w:hAnsi="Calibri"/>
        </w:rPr>
      </w:pPr>
    </w:p>
    <w:p w:rsidR="00F959A1" w:rsidRDefault="009550DA" w:rsidP="00F959A1">
      <w:pPr>
        <w:pStyle w:val="maintext"/>
        <w:ind w:firstLineChars="0" w:firstLine="420"/>
        <w:jc w:val="center"/>
        <w:rPr>
          <w:rFonts w:ascii="Calibri" w:hAnsi="Calibri"/>
          <w:b/>
        </w:rPr>
      </w:pPr>
      <w:r>
        <w:rPr>
          <w:rFonts w:ascii="Calibri" w:hAnsi="Calibri"/>
          <w:b/>
        </w:rPr>
        <w:object w:dxaOrig="9471" w:dyaOrig="5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27.25pt" o:ole="">
            <v:imagedata r:id="rId12" o:title=""/>
          </v:shape>
          <o:OLEObject Type="Embed" ProgID="PowerPoint.Show.12" ShapeID="_x0000_i1025" DrawAspect="Content" ObjectID="_1602676768" r:id="rId13"/>
        </w:object>
      </w:r>
    </w:p>
    <w:p w:rsidR="00F959A1" w:rsidRDefault="00F959A1" w:rsidP="00F959A1">
      <w:pPr>
        <w:pStyle w:val="maintext"/>
        <w:ind w:firstLineChars="0" w:firstLine="420"/>
        <w:jc w:val="center"/>
        <w:rPr>
          <w:rFonts w:ascii="Calibri" w:hAnsi="Calibri"/>
          <w:b/>
        </w:rPr>
      </w:pPr>
    </w:p>
    <w:p w:rsidR="00F959A1" w:rsidRPr="006703A8" w:rsidRDefault="00F959A1" w:rsidP="00F959A1">
      <w:pPr>
        <w:pStyle w:val="maintext"/>
        <w:ind w:firstLineChars="0" w:firstLine="420"/>
        <w:jc w:val="center"/>
        <w:rPr>
          <w:rFonts w:ascii="Calibri" w:eastAsia="Times New Roman" w:hAnsi="Calibri" w:cs="Times New Roman"/>
          <w:b/>
          <w:bCs/>
          <w:sz w:val="22"/>
          <w:lang w:eastAsia="zh-CN"/>
        </w:rPr>
      </w:pPr>
      <w:r w:rsidRPr="006703A8">
        <w:rPr>
          <w:rFonts w:ascii="Calibri" w:eastAsia="Times New Roman" w:hAnsi="Calibri" w:cs="Times New Roman"/>
          <w:b/>
          <w:bCs/>
          <w:sz w:val="22"/>
          <w:lang w:eastAsia="zh-CN"/>
        </w:rPr>
        <w:t xml:space="preserve">Figure </w:t>
      </w:r>
      <w:r w:rsidR="006703A8" w:rsidRPr="006703A8">
        <w:rPr>
          <w:rFonts w:ascii="Calibri" w:eastAsia="Times New Roman" w:hAnsi="Calibri" w:cs="Times New Roman"/>
          <w:b/>
          <w:bCs/>
          <w:sz w:val="22"/>
          <w:lang w:eastAsia="zh-CN"/>
        </w:rPr>
        <w:t>4</w:t>
      </w:r>
      <w:r w:rsidRPr="006703A8">
        <w:rPr>
          <w:rFonts w:ascii="Calibri" w:eastAsia="Times New Roman" w:hAnsi="Calibri" w:cs="Times New Roman"/>
          <w:b/>
          <w:bCs/>
          <w:sz w:val="22"/>
          <w:lang w:eastAsia="zh-CN"/>
        </w:rPr>
        <w:t>: Beam recovery and RLM/RLF procedures</w:t>
      </w:r>
    </w:p>
    <w:p w:rsidR="00512838" w:rsidRDefault="00512838" w:rsidP="00512838">
      <w:pPr>
        <w:pStyle w:val="Heading4"/>
      </w:pPr>
      <w:r>
        <w:lastRenderedPageBreak/>
        <w:t>Beam Management for IAB nodes</w:t>
      </w:r>
    </w:p>
    <w:p w:rsidR="006C0BAC" w:rsidRDefault="006C0BAC" w:rsidP="004011AC">
      <w:pPr>
        <w:spacing w:line="288" w:lineRule="auto"/>
        <w:rPr>
          <w:rFonts w:asciiTheme="minorHAnsi" w:eastAsia="MS Mincho" w:hAnsiTheme="minorHAnsi" w:cstheme="minorHAnsi"/>
          <w:lang w:eastAsia="ja-JP"/>
        </w:rPr>
      </w:pPr>
      <w:r>
        <w:rPr>
          <w:rFonts w:asciiTheme="minorHAnsi" w:eastAsia="MS Mincho" w:hAnsiTheme="minorHAnsi" w:cstheme="minorHAnsi"/>
          <w:lang w:eastAsia="ja-JP"/>
        </w:rPr>
        <w:t>For IAB,</w:t>
      </w:r>
      <w:r w:rsidR="004011AC">
        <w:rPr>
          <w:rFonts w:asciiTheme="minorHAnsi" w:eastAsia="MS Mincho" w:hAnsiTheme="minorHAnsi" w:cstheme="minorHAnsi"/>
          <w:lang w:eastAsia="ja-JP"/>
        </w:rPr>
        <w:t xml:space="preserve"> </w:t>
      </w:r>
      <w:r>
        <w:rPr>
          <w:rFonts w:asciiTheme="minorHAnsi" w:eastAsia="MS Mincho" w:hAnsiTheme="minorHAnsi" w:cstheme="minorHAnsi"/>
          <w:lang w:eastAsia="ja-JP"/>
        </w:rPr>
        <w:t xml:space="preserve">the MT </w:t>
      </w:r>
      <w:r w:rsidR="004011AC">
        <w:rPr>
          <w:rFonts w:asciiTheme="minorHAnsi" w:eastAsia="MS Mincho" w:hAnsiTheme="minorHAnsi" w:cstheme="minorHAnsi"/>
          <w:lang w:eastAsia="ja-JP"/>
        </w:rPr>
        <w:t xml:space="preserve">is expected to have a large number </w:t>
      </w:r>
      <w:r w:rsidR="00070728">
        <w:rPr>
          <w:rFonts w:asciiTheme="minorHAnsi" w:eastAsia="MS Mincho" w:hAnsiTheme="minorHAnsi" w:cstheme="minorHAnsi"/>
          <w:lang w:eastAsia="ja-JP"/>
        </w:rPr>
        <w:t xml:space="preserve">of antennas, and correspondingly a large number of Rx </w:t>
      </w:r>
      <w:r w:rsidR="004011AC">
        <w:rPr>
          <w:rFonts w:asciiTheme="minorHAnsi" w:eastAsia="MS Mincho" w:hAnsiTheme="minorHAnsi" w:cstheme="minorHAnsi"/>
          <w:lang w:eastAsia="ja-JP"/>
        </w:rPr>
        <w:t xml:space="preserve">beams to do </w:t>
      </w:r>
      <w:r w:rsidR="00070728">
        <w:rPr>
          <w:rFonts w:asciiTheme="minorHAnsi" w:eastAsia="MS Mincho" w:hAnsiTheme="minorHAnsi" w:cstheme="minorHAnsi"/>
          <w:lang w:eastAsia="ja-JP"/>
        </w:rPr>
        <w:t>measurement and reporting on</w:t>
      </w:r>
      <w:r w:rsidR="004011AC">
        <w:rPr>
          <w:rFonts w:asciiTheme="minorHAnsi" w:eastAsia="MS Mincho" w:hAnsiTheme="minorHAnsi" w:cstheme="minorHAnsi"/>
          <w:lang w:eastAsia="ja-JP"/>
        </w:rPr>
        <w:t>, resulting in a large overhead and a considerable</w:t>
      </w:r>
      <w:r w:rsidR="00070728">
        <w:rPr>
          <w:rFonts w:asciiTheme="minorHAnsi" w:eastAsia="MS Mincho" w:hAnsiTheme="minorHAnsi" w:cstheme="minorHAnsi"/>
          <w:lang w:eastAsia="ja-JP"/>
        </w:rPr>
        <w:t xml:space="preserve"> latency. </w:t>
      </w:r>
      <w:r>
        <w:rPr>
          <w:rFonts w:asciiTheme="minorHAnsi" w:eastAsia="MS Mincho" w:hAnsiTheme="minorHAnsi" w:cstheme="minorHAnsi"/>
          <w:lang w:eastAsia="ja-JP"/>
        </w:rPr>
        <w:t>In the beam management procedure, the</w:t>
      </w:r>
      <w:r w:rsidR="004011AC">
        <w:rPr>
          <w:rFonts w:asciiTheme="minorHAnsi" w:eastAsia="MS Mincho" w:hAnsiTheme="minorHAnsi" w:cstheme="minorHAnsi"/>
          <w:lang w:eastAsia="ja-JP"/>
        </w:rPr>
        <w:t xml:space="preserve"> basic concept of NZP-CSI-RS resource set repetition ‘on’ is to repeat the transmission for multiple times to allow the receiver to sweep its receive beam</w:t>
      </w:r>
      <w:r w:rsidR="00BD15E1">
        <w:rPr>
          <w:rFonts w:asciiTheme="minorHAnsi" w:eastAsia="MS Mincho" w:hAnsiTheme="minorHAnsi" w:cstheme="minorHAnsi"/>
          <w:lang w:eastAsia="ja-JP"/>
        </w:rPr>
        <w:t>s to measure the Rx</w:t>
      </w:r>
      <w:r w:rsidR="004011AC">
        <w:rPr>
          <w:rFonts w:asciiTheme="minorHAnsi" w:eastAsia="MS Mincho" w:hAnsiTheme="minorHAnsi" w:cstheme="minorHAnsi"/>
          <w:lang w:eastAsia="ja-JP"/>
        </w:rPr>
        <w:t xml:space="preserve"> beam q</w:t>
      </w:r>
      <w:r w:rsidR="00BD15E1">
        <w:rPr>
          <w:rFonts w:asciiTheme="minorHAnsi" w:eastAsia="MS Mincho" w:hAnsiTheme="minorHAnsi" w:cstheme="minorHAnsi"/>
          <w:lang w:eastAsia="ja-JP"/>
        </w:rPr>
        <w:t xml:space="preserve">uality and identify the Rx </w:t>
      </w:r>
      <w:r w:rsidR="004011AC">
        <w:rPr>
          <w:rFonts w:asciiTheme="minorHAnsi" w:eastAsia="MS Mincho" w:hAnsiTheme="minorHAnsi" w:cstheme="minorHAnsi"/>
          <w:lang w:eastAsia="ja-JP"/>
        </w:rPr>
        <w:t>beam at the UE. The network does not know how many beams or resources the UE needs to sweep to identify the best receiving beams. In fact, the details of the receive beam measurement at the UE in the beam management procedure are transparent to the network, and the network triggers the receive beam measurement without k</w:t>
      </w:r>
      <w:r w:rsidR="00BD15E1">
        <w:rPr>
          <w:rFonts w:asciiTheme="minorHAnsi" w:eastAsia="MS Mincho" w:hAnsiTheme="minorHAnsi" w:cstheme="minorHAnsi"/>
          <w:lang w:eastAsia="ja-JP"/>
        </w:rPr>
        <w:t>nowing the status of the Rx</w:t>
      </w:r>
      <w:r w:rsidR="004011AC">
        <w:rPr>
          <w:rFonts w:asciiTheme="minorHAnsi" w:eastAsia="MS Mincho" w:hAnsiTheme="minorHAnsi" w:cstheme="minorHAnsi"/>
          <w:lang w:eastAsia="ja-JP"/>
        </w:rPr>
        <w:t xml:space="preserve"> beam</w:t>
      </w:r>
      <w:r w:rsidR="00BD15E1">
        <w:rPr>
          <w:rFonts w:asciiTheme="minorHAnsi" w:eastAsia="MS Mincho" w:hAnsiTheme="minorHAnsi" w:cstheme="minorHAnsi"/>
          <w:lang w:eastAsia="ja-JP"/>
        </w:rPr>
        <w:t>s</w:t>
      </w:r>
      <w:r w:rsidR="004011AC">
        <w:rPr>
          <w:rFonts w:asciiTheme="minorHAnsi" w:eastAsia="MS Mincho" w:hAnsiTheme="minorHAnsi" w:cstheme="minorHAnsi"/>
          <w:lang w:eastAsia="ja-JP"/>
        </w:rPr>
        <w:t xml:space="preserve"> at the UE.</w:t>
      </w:r>
      <w:r>
        <w:rPr>
          <w:rFonts w:asciiTheme="minorHAnsi" w:eastAsia="MS Mincho" w:hAnsiTheme="minorHAnsi" w:cstheme="minorHAnsi"/>
          <w:lang w:eastAsia="ja-JP"/>
        </w:rPr>
        <w:t xml:space="preserve"> </w:t>
      </w:r>
      <w:r w:rsidR="004011AC">
        <w:rPr>
          <w:rFonts w:asciiTheme="minorHAnsi" w:eastAsia="MS Mincho" w:hAnsiTheme="minorHAnsi" w:cstheme="minorHAnsi"/>
          <w:lang w:eastAsia="ja-JP"/>
        </w:rPr>
        <w:t>Having the beam management procedure solely triggered by the network presents a potential problem since the network does not have readily information on when the receiver beam training procedure needs to be triggered, leading to a large overhead</w:t>
      </w:r>
      <w:r>
        <w:rPr>
          <w:rFonts w:asciiTheme="minorHAnsi" w:eastAsia="MS Mincho" w:hAnsiTheme="minorHAnsi" w:cstheme="minorHAnsi"/>
          <w:lang w:eastAsia="ja-JP"/>
        </w:rPr>
        <w:t>.</w:t>
      </w:r>
    </w:p>
    <w:p w:rsidR="004011AC" w:rsidRPr="00FC70FC" w:rsidRDefault="004011AC" w:rsidP="004011AC">
      <w:pPr>
        <w:spacing w:line="288" w:lineRule="auto"/>
        <w:rPr>
          <w:rFonts w:asciiTheme="minorHAnsi" w:eastAsia="MS Mincho" w:hAnsiTheme="minorHAnsi" w:cstheme="minorHAnsi"/>
          <w:b/>
          <w:lang w:eastAsia="ja-JP"/>
        </w:rPr>
      </w:pPr>
      <w:r w:rsidRPr="00FC70FC">
        <w:rPr>
          <w:rFonts w:asciiTheme="minorHAnsi" w:eastAsia="MS Mincho" w:hAnsiTheme="minorHAnsi" w:cstheme="minorHAnsi"/>
          <w:b/>
          <w:lang w:eastAsia="ja-JP"/>
        </w:rPr>
        <w:t xml:space="preserve">Observation </w:t>
      </w:r>
      <w:r w:rsidR="006703A8">
        <w:rPr>
          <w:rFonts w:asciiTheme="minorHAnsi" w:eastAsia="MS Mincho" w:hAnsiTheme="minorHAnsi" w:cstheme="minorHAnsi"/>
          <w:b/>
          <w:lang w:eastAsia="ja-JP"/>
        </w:rPr>
        <w:t>1</w:t>
      </w:r>
      <w:r w:rsidRPr="00FC70FC">
        <w:rPr>
          <w:rFonts w:asciiTheme="minorHAnsi" w:eastAsia="MS Mincho" w:hAnsiTheme="minorHAnsi" w:cstheme="minorHAnsi"/>
          <w:b/>
          <w:lang w:eastAsia="ja-JP"/>
        </w:rPr>
        <w:t xml:space="preserve">: Network triggered Rx beam management procedure may lead to an increased overhead </w:t>
      </w:r>
    </w:p>
    <w:p w:rsidR="004011AC" w:rsidRDefault="00070728" w:rsidP="00D10682">
      <w:pPr>
        <w:spacing w:line="288" w:lineRule="auto"/>
        <w:rPr>
          <w:rFonts w:asciiTheme="minorHAnsi" w:eastAsia="MS Mincho" w:hAnsiTheme="minorHAnsi" w:cstheme="minorHAnsi"/>
          <w:lang w:eastAsia="ja-JP"/>
        </w:rPr>
      </w:pPr>
      <w:r>
        <w:rPr>
          <w:rFonts w:asciiTheme="minorHAnsi" w:eastAsia="MS Mincho" w:hAnsiTheme="minorHAnsi" w:cstheme="minorHAnsi"/>
          <w:lang w:eastAsia="ja-JP"/>
        </w:rPr>
        <w:t xml:space="preserve">To reduce the overhead of the beam management procedure, a </w:t>
      </w:r>
      <w:r w:rsidR="00980746">
        <w:rPr>
          <w:rFonts w:asciiTheme="minorHAnsi" w:eastAsia="MS Mincho" w:hAnsiTheme="minorHAnsi" w:cstheme="minorHAnsi"/>
          <w:lang w:eastAsia="ja-JP"/>
        </w:rPr>
        <w:t>MT</w:t>
      </w:r>
      <w:r>
        <w:rPr>
          <w:rFonts w:asciiTheme="minorHAnsi" w:eastAsia="MS Mincho" w:hAnsiTheme="minorHAnsi" w:cstheme="minorHAnsi"/>
          <w:lang w:eastAsia="ja-JP"/>
        </w:rPr>
        <w:t xml:space="preserve">-triggered beam management procedure can be implemented. </w:t>
      </w:r>
      <w:r w:rsidR="004011AC">
        <w:rPr>
          <w:rFonts w:asciiTheme="minorHAnsi" w:eastAsia="MS Mincho" w:hAnsiTheme="minorHAnsi" w:cstheme="minorHAnsi"/>
          <w:lang w:eastAsia="ja-JP"/>
        </w:rPr>
        <w:t xml:space="preserve">The </w:t>
      </w:r>
      <w:r w:rsidR="00980746">
        <w:rPr>
          <w:rFonts w:asciiTheme="minorHAnsi" w:eastAsia="MS Mincho" w:hAnsiTheme="minorHAnsi" w:cstheme="minorHAnsi"/>
          <w:lang w:eastAsia="ja-JP"/>
        </w:rPr>
        <w:t>MT</w:t>
      </w:r>
      <w:r w:rsidR="004011AC">
        <w:rPr>
          <w:rFonts w:asciiTheme="minorHAnsi" w:eastAsia="MS Mincho" w:hAnsiTheme="minorHAnsi" w:cstheme="minorHAnsi"/>
          <w:lang w:eastAsia="ja-JP"/>
        </w:rPr>
        <w:t xml:space="preserve"> may identify the need for a Rx beam switch before a beam management procedure is triggered by the network. This identification can be the result of a failure in PDSCH decoding, for example</w:t>
      </w:r>
      <w:r w:rsidR="00D10682">
        <w:rPr>
          <w:rFonts w:asciiTheme="minorHAnsi" w:eastAsia="MS Mincho" w:hAnsiTheme="minorHAnsi" w:cstheme="minorHAnsi"/>
          <w:lang w:eastAsia="ja-JP"/>
        </w:rPr>
        <w:t xml:space="preserve">. </w:t>
      </w:r>
      <w:r w:rsidR="004011AC">
        <w:rPr>
          <w:rFonts w:asciiTheme="minorHAnsi" w:eastAsia="MS Mincho" w:hAnsiTheme="minorHAnsi" w:cstheme="minorHAnsi"/>
          <w:lang w:eastAsia="ja-JP"/>
        </w:rPr>
        <w:t xml:space="preserve">Once the </w:t>
      </w:r>
      <w:r w:rsidR="00980746">
        <w:rPr>
          <w:rFonts w:asciiTheme="minorHAnsi" w:eastAsia="MS Mincho" w:hAnsiTheme="minorHAnsi" w:cstheme="minorHAnsi"/>
          <w:lang w:eastAsia="ja-JP"/>
        </w:rPr>
        <w:t>MT</w:t>
      </w:r>
      <w:r w:rsidR="004011AC">
        <w:rPr>
          <w:rFonts w:asciiTheme="minorHAnsi" w:eastAsia="MS Mincho" w:hAnsiTheme="minorHAnsi" w:cstheme="minorHAnsi"/>
          <w:lang w:eastAsia="ja-JP"/>
        </w:rPr>
        <w:t xml:space="preserve"> identifies that there is a need to do receive beam training, it</w:t>
      </w:r>
      <w:r w:rsidR="00D10682">
        <w:rPr>
          <w:rFonts w:asciiTheme="minorHAnsi" w:eastAsia="MS Mincho" w:hAnsiTheme="minorHAnsi" w:cstheme="minorHAnsi"/>
          <w:lang w:eastAsia="ja-JP"/>
        </w:rPr>
        <w:t xml:space="preserve"> can send </w:t>
      </w:r>
      <w:r w:rsidR="004011AC">
        <w:rPr>
          <w:rFonts w:asciiTheme="minorHAnsi" w:eastAsia="MS Mincho" w:hAnsiTheme="minorHAnsi" w:cstheme="minorHAnsi"/>
          <w:lang w:eastAsia="ja-JP"/>
        </w:rPr>
        <w:t xml:space="preserve">the network a request to trigger </w:t>
      </w:r>
      <w:r>
        <w:rPr>
          <w:rFonts w:asciiTheme="minorHAnsi" w:eastAsia="MS Mincho" w:hAnsiTheme="minorHAnsi" w:cstheme="minorHAnsi"/>
          <w:lang w:eastAsia="ja-JP"/>
        </w:rPr>
        <w:t>beam management</w:t>
      </w:r>
      <w:r w:rsidR="00D10682">
        <w:rPr>
          <w:rFonts w:asciiTheme="minorHAnsi" w:eastAsia="MS Mincho" w:hAnsiTheme="minorHAnsi" w:cstheme="minorHAnsi"/>
          <w:lang w:eastAsia="ja-JP"/>
        </w:rPr>
        <w:t>, at the first available transmission opportunity</w:t>
      </w:r>
      <w:r w:rsidR="004011AC">
        <w:rPr>
          <w:rFonts w:asciiTheme="minorHAnsi" w:eastAsia="MS Mincho" w:hAnsiTheme="minorHAnsi" w:cstheme="minorHAnsi"/>
          <w:lang w:eastAsia="ja-JP"/>
        </w:rPr>
        <w:t xml:space="preserve">. </w:t>
      </w:r>
    </w:p>
    <w:p w:rsidR="004011AC" w:rsidRDefault="004011AC" w:rsidP="004011AC">
      <w:pPr>
        <w:rPr>
          <w:rFonts w:asciiTheme="minorHAnsi" w:eastAsia="MS Mincho" w:hAnsiTheme="minorHAnsi" w:cstheme="minorHAnsi"/>
          <w:b/>
          <w:lang w:eastAsia="ja-JP"/>
        </w:rPr>
      </w:pPr>
      <w:r w:rsidRPr="00257B32">
        <w:rPr>
          <w:rFonts w:asciiTheme="minorHAnsi" w:eastAsia="MS Mincho" w:hAnsiTheme="minorHAnsi" w:cstheme="minorHAnsi"/>
          <w:b/>
          <w:lang w:eastAsia="ja-JP"/>
        </w:rPr>
        <w:t xml:space="preserve">Proposal </w:t>
      </w:r>
      <w:r w:rsidR="00726B84">
        <w:rPr>
          <w:rFonts w:asciiTheme="minorHAnsi" w:eastAsia="MS Mincho" w:hAnsiTheme="minorHAnsi" w:cstheme="minorHAnsi"/>
          <w:b/>
          <w:lang w:eastAsia="ja-JP"/>
        </w:rPr>
        <w:t>4</w:t>
      </w:r>
      <w:r w:rsidRPr="00257B32">
        <w:rPr>
          <w:rFonts w:asciiTheme="minorHAnsi" w:eastAsia="MS Mincho" w:hAnsiTheme="minorHAnsi" w:cstheme="minorHAnsi"/>
          <w:b/>
          <w:lang w:eastAsia="ja-JP"/>
        </w:rPr>
        <w:t xml:space="preserve">: </w:t>
      </w:r>
      <w:r w:rsidR="005A18B4">
        <w:rPr>
          <w:rFonts w:asciiTheme="minorHAnsi" w:eastAsia="MS Mincho" w:hAnsiTheme="minorHAnsi" w:cstheme="minorHAnsi"/>
          <w:b/>
          <w:lang w:eastAsia="ja-JP"/>
        </w:rPr>
        <w:t>A</w:t>
      </w:r>
      <w:r w:rsidRPr="00257B32">
        <w:rPr>
          <w:rFonts w:asciiTheme="minorHAnsi" w:eastAsia="MS Mincho" w:hAnsiTheme="minorHAnsi" w:cstheme="minorHAnsi"/>
          <w:b/>
          <w:lang w:eastAsia="ja-JP"/>
        </w:rPr>
        <w:t xml:space="preserve"> </w:t>
      </w:r>
      <w:r w:rsidR="00980746">
        <w:rPr>
          <w:rFonts w:asciiTheme="minorHAnsi" w:eastAsia="MS Mincho" w:hAnsiTheme="minorHAnsi" w:cstheme="minorHAnsi"/>
          <w:b/>
          <w:lang w:eastAsia="ja-JP"/>
        </w:rPr>
        <w:t>MT</w:t>
      </w:r>
      <w:r w:rsidRPr="00257B32">
        <w:rPr>
          <w:rFonts w:asciiTheme="minorHAnsi" w:eastAsia="MS Mincho" w:hAnsiTheme="minorHAnsi" w:cstheme="minorHAnsi"/>
          <w:b/>
          <w:lang w:eastAsia="ja-JP"/>
        </w:rPr>
        <w:t xml:space="preserve"> triggered beam management procedure should be </w:t>
      </w:r>
      <w:r>
        <w:rPr>
          <w:rFonts w:asciiTheme="minorHAnsi" w:eastAsia="MS Mincho" w:hAnsiTheme="minorHAnsi" w:cstheme="minorHAnsi"/>
          <w:b/>
          <w:lang w:eastAsia="ja-JP"/>
        </w:rPr>
        <w:t>studied</w:t>
      </w:r>
      <w:r w:rsidRPr="00257B32">
        <w:rPr>
          <w:rFonts w:asciiTheme="minorHAnsi" w:eastAsia="MS Mincho" w:hAnsiTheme="minorHAnsi" w:cstheme="minorHAnsi"/>
          <w:b/>
          <w:lang w:eastAsia="ja-JP"/>
        </w:rPr>
        <w:t xml:space="preserve"> </w:t>
      </w:r>
      <w:r w:rsidR="00980746">
        <w:rPr>
          <w:rFonts w:asciiTheme="minorHAnsi" w:eastAsia="MS Mincho" w:hAnsiTheme="minorHAnsi" w:cstheme="minorHAnsi"/>
          <w:b/>
          <w:lang w:eastAsia="ja-JP"/>
        </w:rPr>
        <w:t>for</w:t>
      </w:r>
      <w:r>
        <w:rPr>
          <w:rFonts w:asciiTheme="minorHAnsi" w:eastAsia="MS Mincho" w:hAnsiTheme="minorHAnsi" w:cstheme="minorHAnsi"/>
          <w:b/>
          <w:lang w:eastAsia="ja-JP"/>
        </w:rPr>
        <w:t xml:space="preserve"> overhead reduction</w:t>
      </w:r>
      <w:r w:rsidR="00FD2C8C">
        <w:rPr>
          <w:rFonts w:asciiTheme="minorHAnsi" w:eastAsia="MS Mincho" w:hAnsiTheme="minorHAnsi" w:cstheme="minorHAnsi"/>
          <w:b/>
          <w:lang w:eastAsia="ja-JP"/>
        </w:rPr>
        <w:t xml:space="preserve"> in IAB</w:t>
      </w:r>
    </w:p>
    <w:p w:rsidR="004011AC" w:rsidRPr="00CE1FF5" w:rsidRDefault="0078708D" w:rsidP="004011AC">
      <w:pPr>
        <w:spacing w:line="288" w:lineRule="auto"/>
        <w:jc w:val="left"/>
        <w:rPr>
          <w:rFonts w:asciiTheme="minorHAnsi" w:eastAsia="MS Mincho" w:hAnsiTheme="minorHAnsi" w:cstheme="minorHAnsi"/>
          <w:lang w:eastAsia="ja-JP"/>
        </w:rPr>
      </w:pPr>
      <w:r w:rsidRPr="00CE1FF5">
        <w:rPr>
          <w:rFonts w:asciiTheme="minorHAnsi" w:eastAsia="MS Mincho" w:hAnsiTheme="minorHAnsi" w:cstheme="minorHAnsi"/>
          <w:lang w:eastAsia="ja-JP"/>
        </w:rPr>
        <w:t xml:space="preserve">Furthermore, the MT might have multiple Tx/Rx antenna panels. The ability to transmit on multiple antenna panels, or indicate antenna panel switching, is crucial to reduce the overhead and the latency associated with the beam management procedure. </w:t>
      </w:r>
      <w:r w:rsidR="00A456B1" w:rsidRPr="00CE1FF5">
        <w:rPr>
          <w:rFonts w:asciiTheme="minorHAnsi" w:eastAsia="MS Mincho" w:hAnsiTheme="minorHAnsi" w:cstheme="minorHAnsi"/>
          <w:lang w:eastAsia="ja-JP"/>
        </w:rPr>
        <w:t xml:space="preserve">In fact, indicating the group of beams that the MT is receiving or transmitting on, whether it belongs to one or multiple panels, is important to reduce overhead. </w:t>
      </w:r>
      <w:r w:rsidR="00D4645D" w:rsidRPr="00CE1FF5">
        <w:rPr>
          <w:rFonts w:asciiTheme="minorHAnsi" w:eastAsia="MS Mincho" w:hAnsiTheme="minorHAnsi" w:cstheme="minorHAnsi"/>
          <w:lang w:eastAsia="ja-JP"/>
        </w:rPr>
        <w:t xml:space="preserve">As an example, for the DL beam management procedure, a configured hierarchical Rx beam sweeping structure at the MT </w:t>
      </w:r>
      <w:r w:rsidR="00D10682" w:rsidRPr="00CE1FF5">
        <w:rPr>
          <w:rFonts w:asciiTheme="minorHAnsi" w:eastAsia="MS Mincho" w:hAnsiTheme="minorHAnsi" w:cstheme="minorHAnsi"/>
          <w:lang w:eastAsia="ja-JP"/>
        </w:rPr>
        <w:t xml:space="preserve">where the receive beams are grouped </w:t>
      </w:r>
      <w:r w:rsidR="00BD15E1" w:rsidRPr="00CE1FF5">
        <w:rPr>
          <w:rFonts w:asciiTheme="minorHAnsi" w:eastAsia="MS Mincho" w:hAnsiTheme="minorHAnsi" w:cstheme="minorHAnsi"/>
          <w:lang w:eastAsia="ja-JP"/>
        </w:rPr>
        <w:t xml:space="preserve">according to different </w:t>
      </w:r>
      <w:r w:rsidR="00347824" w:rsidRPr="00CE1FF5">
        <w:rPr>
          <w:rFonts w:asciiTheme="minorHAnsi" w:eastAsia="MS Mincho" w:hAnsiTheme="minorHAnsi" w:cstheme="minorHAnsi"/>
          <w:lang w:eastAsia="ja-JP"/>
        </w:rPr>
        <w:t>beam widths</w:t>
      </w:r>
      <w:r w:rsidR="00BD15E1" w:rsidRPr="00CE1FF5">
        <w:rPr>
          <w:rFonts w:asciiTheme="minorHAnsi" w:eastAsia="MS Mincho" w:hAnsiTheme="minorHAnsi" w:cstheme="minorHAnsi"/>
          <w:lang w:eastAsia="ja-JP"/>
        </w:rPr>
        <w:t>, different Rx beam panel, etc. and</w:t>
      </w:r>
      <w:r w:rsidR="000C05C0" w:rsidRPr="00CE1FF5">
        <w:rPr>
          <w:rFonts w:asciiTheme="minorHAnsi" w:eastAsia="MS Mincho" w:hAnsiTheme="minorHAnsi" w:cstheme="minorHAnsi"/>
          <w:lang w:eastAsia="ja-JP"/>
        </w:rPr>
        <w:t xml:space="preserve"> the </w:t>
      </w:r>
      <w:r w:rsidR="00980746" w:rsidRPr="00CE1FF5">
        <w:rPr>
          <w:rFonts w:asciiTheme="minorHAnsi" w:eastAsia="MS Mincho" w:hAnsiTheme="minorHAnsi" w:cstheme="minorHAnsi"/>
          <w:lang w:eastAsia="ja-JP"/>
        </w:rPr>
        <w:t>MT</w:t>
      </w:r>
      <w:r w:rsidR="000C05C0" w:rsidRPr="00CE1FF5">
        <w:rPr>
          <w:rFonts w:asciiTheme="minorHAnsi" w:eastAsia="MS Mincho" w:hAnsiTheme="minorHAnsi" w:cstheme="minorHAnsi"/>
          <w:lang w:eastAsia="ja-JP"/>
        </w:rPr>
        <w:t xml:space="preserve"> indicates to the network to which group the best Rx beam belongs to. </w:t>
      </w:r>
      <w:r w:rsidR="00D10682" w:rsidRPr="00CE1FF5">
        <w:rPr>
          <w:rFonts w:asciiTheme="minorHAnsi" w:eastAsia="MS Mincho" w:hAnsiTheme="minorHAnsi" w:cstheme="minorHAnsi"/>
          <w:lang w:eastAsia="ja-JP"/>
        </w:rPr>
        <w:t xml:space="preserve">  </w:t>
      </w:r>
      <w:r w:rsidR="000C05C0" w:rsidRPr="00CE1FF5">
        <w:rPr>
          <w:rFonts w:asciiTheme="minorHAnsi" w:eastAsia="MS Mincho" w:hAnsiTheme="minorHAnsi" w:cstheme="minorHAnsi"/>
          <w:lang w:eastAsia="ja-JP"/>
        </w:rPr>
        <w:t xml:space="preserve">Such grouping of the </w:t>
      </w:r>
      <w:r w:rsidR="00980746" w:rsidRPr="00CE1FF5">
        <w:rPr>
          <w:rFonts w:asciiTheme="minorHAnsi" w:eastAsia="MS Mincho" w:hAnsiTheme="minorHAnsi" w:cstheme="minorHAnsi"/>
          <w:lang w:eastAsia="ja-JP"/>
        </w:rPr>
        <w:t>MT</w:t>
      </w:r>
      <w:r w:rsidR="000C05C0" w:rsidRPr="00CE1FF5">
        <w:rPr>
          <w:rFonts w:asciiTheme="minorHAnsi" w:eastAsia="MS Mincho" w:hAnsiTheme="minorHAnsi" w:cstheme="minorHAnsi"/>
          <w:lang w:eastAsia="ja-JP"/>
        </w:rPr>
        <w:t xml:space="preserve"> Rx beams results in a smaller overhead for the Rx beam procedure, especially in the presence of a large number of antennas at the MT. </w:t>
      </w:r>
    </w:p>
    <w:p w:rsidR="00A456B1" w:rsidRDefault="00A456B1" w:rsidP="00A456B1">
      <w:pPr>
        <w:rPr>
          <w:rFonts w:asciiTheme="minorHAnsi" w:eastAsia="MS Mincho" w:hAnsiTheme="minorHAnsi" w:cstheme="minorHAnsi"/>
          <w:b/>
          <w:sz w:val="22"/>
          <w:szCs w:val="22"/>
        </w:rPr>
      </w:pPr>
      <w:r w:rsidRPr="00CE1FF5">
        <w:rPr>
          <w:rFonts w:asciiTheme="minorHAnsi" w:eastAsia="MS Mincho" w:hAnsiTheme="minorHAnsi" w:cstheme="minorHAnsi"/>
          <w:b/>
          <w:sz w:val="22"/>
          <w:szCs w:val="22"/>
        </w:rPr>
        <w:t xml:space="preserve">Proposal 5:  Indication of beam grouping at the MT </w:t>
      </w:r>
      <w:r w:rsidR="00CE1FF5" w:rsidRPr="00CE1FF5">
        <w:rPr>
          <w:rFonts w:asciiTheme="minorHAnsi" w:eastAsia="MS Mincho" w:hAnsiTheme="minorHAnsi" w:cstheme="minorHAnsi"/>
          <w:b/>
          <w:sz w:val="22"/>
          <w:szCs w:val="22"/>
        </w:rPr>
        <w:t xml:space="preserve">should </w:t>
      </w:r>
      <w:r w:rsidRPr="00CE1FF5">
        <w:rPr>
          <w:rFonts w:asciiTheme="minorHAnsi" w:eastAsia="MS Mincho" w:hAnsiTheme="minorHAnsi" w:cstheme="minorHAnsi"/>
          <w:b/>
          <w:sz w:val="22"/>
          <w:szCs w:val="22"/>
        </w:rPr>
        <w:t>be supported</w:t>
      </w:r>
      <w:r w:rsidRPr="007F0B01">
        <w:rPr>
          <w:rFonts w:asciiTheme="minorHAnsi" w:eastAsia="MS Mincho" w:hAnsiTheme="minorHAnsi" w:cstheme="minorHAnsi"/>
          <w:b/>
          <w:sz w:val="22"/>
          <w:szCs w:val="22"/>
        </w:rPr>
        <w:t xml:space="preserve"> </w:t>
      </w:r>
      <w:r w:rsidR="00201870">
        <w:rPr>
          <w:rFonts w:asciiTheme="minorHAnsi" w:eastAsia="MS Mincho" w:hAnsiTheme="minorHAnsi" w:cstheme="minorHAnsi"/>
          <w:b/>
          <w:sz w:val="22"/>
          <w:szCs w:val="22"/>
        </w:rPr>
        <w:t>.</w:t>
      </w:r>
    </w:p>
    <w:p w:rsidR="00512838" w:rsidRDefault="00512838" w:rsidP="00BC704C">
      <w:pPr>
        <w:pStyle w:val="maintext"/>
        <w:ind w:firstLineChars="0" w:firstLine="0"/>
        <w:rPr>
          <w:rFonts w:ascii="Calibri" w:hAnsi="Calibri"/>
        </w:rPr>
      </w:pPr>
    </w:p>
    <w:p w:rsidR="001F02DD" w:rsidRDefault="001F02DD"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Pr="00057E9B" w:rsidRDefault="006703A8" w:rsidP="00BC704C">
      <w:pPr>
        <w:pStyle w:val="maintext"/>
        <w:ind w:firstLineChars="0" w:firstLine="0"/>
        <w:rPr>
          <w:rFonts w:ascii="Calibri" w:hAnsi="Calibri"/>
          <w:b/>
        </w:rPr>
      </w:pPr>
    </w:p>
    <w:p w:rsidR="001A5A68" w:rsidRDefault="00C724F1" w:rsidP="0033513A">
      <w:pPr>
        <w:pStyle w:val="Heading2"/>
      </w:pPr>
      <w:r>
        <w:lastRenderedPageBreak/>
        <w:t>Frame Structure</w:t>
      </w:r>
      <w:r w:rsidR="00097DC6">
        <w:t xml:space="preserve"> </w:t>
      </w:r>
      <w:r>
        <w:t>Design</w:t>
      </w:r>
      <w:r w:rsidR="00097DC6">
        <w:t xml:space="preserve"> and Access and Backhaul Multiplexing</w:t>
      </w:r>
    </w:p>
    <w:p w:rsidR="00632789" w:rsidRPr="00222811" w:rsidRDefault="00C724F1" w:rsidP="00632789">
      <w:pPr>
        <w:pStyle w:val="maintext"/>
        <w:ind w:firstLineChars="0" w:firstLine="0"/>
        <w:rPr>
          <w:rFonts w:ascii="Calibri" w:eastAsia="Times New Roman" w:hAnsi="Calibri" w:cs="Times New Roman"/>
          <w:color w:val="000000"/>
          <w:lang w:eastAsia="zh-CN"/>
        </w:rPr>
      </w:pPr>
      <w:r>
        <w:rPr>
          <w:rFonts w:ascii="Calibri" w:hAnsi="Calibri"/>
        </w:rPr>
        <w:t>A key advantage of IAB is that b</w:t>
      </w:r>
      <w:r w:rsidRPr="00E725D9">
        <w:rPr>
          <w:rFonts w:ascii="Calibri" w:hAnsi="Calibri"/>
        </w:rPr>
        <w:t>ackhaul and access are integrated and multiplexed in the scheduler, allowing very dynamic resource allocation between the backhaul and access links</w:t>
      </w:r>
      <w:r>
        <w:rPr>
          <w:rFonts w:ascii="Calibri" w:hAnsi="Calibri"/>
        </w:rPr>
        <w:t xml:space="preserve"> (in both DL and UL directions)</w:t>
      </w:r>
      <w:r w:rsidRPr="00E725D9">
        <w:rPr>
          <w:rFonts w:ascii="Calibri" w:hAnsi="Calibri"/>
        </w:rPr>
        <w:t>.</w:t>
      </w:r>
      <w:r>
        <w:rPr>
          <w:rFonts w:ascii="Calibri" w:hAnsi="Calibri"/>
        </w:rPr>
        <w:t xml:space="preserve"> </w:t>
      </w:r>
      <w:r w:rsidR="00632789" w:rsidRPr="00222811">
        <w:rPr>
          <w:rFonts w:ascii="Calibri" w:eastAsia="Times New Roman" w:hAnsi="Calibri" w:cs="Times New Roman"/>
          <w:color w:val="000000"/>
          <w:lang w:eastAsia="zh-CN"/>
        </w:rPr>
        <w:t xml:space="preserve">Even though the IAB relay node consists of </w:t>
      </w:r>
      <w:r w:rsidR="00B3707E">
        <w:rPr>
          <w:rFonts w:ascii="Calibri" w:eastAsia="Times New Roman" w:hAnsi="Calibri" w:cs="Times New Roman"/>
          <w:color w:val="000000"/>
          <w:lang w:eastAsia="zh-CN"/>
        </w:rPr>
        <w:t>two</w:t>
      </w:r>
      <w:r w:rsidR="00632789" w:rsidRPr="00222811">
        <w:rPr>
          <w:rFonts w:ascii="Calibri" w:eastAsia="Times New Roman" w:hAnsi="Calibri" w:cs="Times New Roman"/>
          <w:color w:val="000000"/>
          <w:lang w:eastAsia="zh-CN"/>
        </w:rPr>
        <w:t xml:space="preserve"> logical nodes each with its own</w:t>
      </w:r>
      <w:r w:rsidR="00B3707E">
        <w:rPr>
          <w:rFonts w:ascii="Calibri" w:eastAsia="Times New Roman" w:hAnsi="Calibri" w:cs="Times New Roman"/>
          <w:color w:val="000000"/>
          <w:lang w:eastAsia="zh-CN"/>
        </w:rPr>
        <w:t xml:space="preserve"> protocol</w:t>
      </w:r>
      <w:r w:rsidR="00632789" w:rsidRPr="00222811">
        <w:rPr>
          <w:rFonts w:ascii="Calibri" w:eastAsia="Times New Roman" w:hAnsi="Calibri" w:cs="Times New Roman"/>
          <w:color w:val="000000"/>
          <w:lang w:eastAsia="zh-CN"/>
        </w:rPr>
        <w:t xml:space="preserve"> stack, the physical transceiver is shared between them. In other words the PHY of the </w:t>
      </w:r>
      <w:r w:rsidR="001E02F3">
        <w:rPr>
          <w:rFonts w:ascii="Calibri" w:eastAsia="Times New Roman" w:hAnsi="Calibri" w:cs="Times New Roman"/>
          <w:color w:val="000000"/>
          <w:lang w:eastAsia="zh-CN"/>
        </w:rPr>
        <w:t>MT</w:t>
      </w:r>
      <w:r w:rsidR="00632789" w:rsidRPr="00222811">
        <w:rPr>
          <w:rFonts w:ascii="Calibri" w:eastAsia="Times New Roman" w:hAnsi="Calibri" w:cs="Times New Roman"/>
          <w:color w:val="000000"/>
          <w:lang w:eastAsia="zh-CN"/>
        </w:rPr>
        <w:t xml:space="preserve"> and the PHY of the DU run on the same transceiver systems. The backhaul link and the access link can therefore be multiplexed in the following manner: </w:t>
      </w:r>
    </w:p>
    <w:p w:rsidR="00632789" w:rsidRPr="00222811" w:rsidRDefault="00632789" w:rsidP="0021262A">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Time Division Multiplexing</w:t>
      </w:r>
      <w:r w:rsidRPr="00222811">
        <w:rPr>
          <w:rFonts w:ascii="Calibri" w:eastAsia="Times New Roman" w:hAnsi="Calibri" w:cs="Times New Roman"/>
          <w:color w:val="000000"/>
          <w:lang w:eastAsia="zh-CN"/>
        </w:rPr>
        <w:t xml:space="preserve">: The access link and the backhaul link are time multiplexed with each other. This implies that </w:t>
      </w:r>
      <w:r w:rsidR="006703A8">
        <w:rPr>
          <w:rFonts w:ascii="Calibri" w:eastAsia="Times New Roman" w:hAnsi="Calibri" w:cs="Times New Roman"/>
          <w:color w:val="000000"/>
          <w:lang w:eastAsia="zh-CN"/>
        </w:rPr>
        <w:t>IAB-MT</w:t>
      </w:r>
      <w:r w:rsidRPr="00222811">
        <w:rPr>
          <w:rFonts w:ascii="Calibri" w:eastAsia="Times New Roman" w:hAnsi="Calibri" w:cs="Times New Roman"/>
          <w:color w:val="000000"/>
          <w:lang w:eastAsia="zh-CN"/>
        </w:rPr>
        <w:t xml:space="preserve"> PHY and </w:t>
      </w:r>
      <w:r w:rsidR="006703A8">
        <w:rPr>
          <w:rFonts w:ascii="Calibri" w:eastAsia="Times New Roman" w:hAnsi="Calibri" w:cs="Times New Roman"/>
          <w:color w:val="000000"/>
          <w:lang w:eastAsia="zh-CN"/>
        </w:rPr>
        <w:t>IAB-DU</w:t>
      </w:r>
      <w:r w:rsidRPr="00222811">
        <w:rPr>
          <w:rFonts w:ascii="Calibri" w:eastAsia="Times New Roman" w:hAnsi="Calibri" w:cs="Times New Roman"/>
          <w:color w:val="000000"/>
          <w:lang w:eastAsia="zh-CN"/>
        </w:rPr>
        <w:t xml:space="preserve"> PHY are not active simultaneously. </w:t>
      </w:r>
    </w:p>
    <w:p w:rsidR="00632789" w:rsidRPr="00222811" w:rsidRDefault="00632789" w:rsidP="0021262A">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Frequency Division Multiplexing</w:t>
      </w:r>
      <w:r w:rsidRPr="00222811">
        <w:rPr>
          <w:rFonts w:ascii="Calibri" w:eastAsia="Times New Roman" w:hAnsi="Calibri" w:cs="Times New Roman"/>
          <w:color w:val="000000"/>
          <w:lang w:eastAsia="zh-CN"/>
        </w:rPr>
        <w:t xml:space="preserve">: The access link and the backhaul link are active at the same time but on different frequency resources, e.g. on separate CC or on separate PRB on the same CC. </w:t>
      </w:r>
    </w:p>
    <w:p w:rsidR="00632789" w:rsidRPr="00222811" w:rsidRDefault="00632789" w:rsidP="0021262A">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Spatial Multiplexing</w:t>
      </w:r>
      <w:r w:rsidRPr="00222811">
        <w:rPr>
          <w:rFonts w:ascii="Calibri" w:eastAsia="Times New Roman" w:hAnsi="Calibri" w:cs="Times New Roman"/>
          <w:color w:val="000000"/>
          <w:lang w:eastAsia="zh-CN"/>
        </w:rPr>
        <w:t xml:space="preserve">: The access link and the backhaul link are active at the same time on the same frequency resources. This case further be divided in to the two following cases: </w:t>
      </w:r>
    </w:p>
    <w:p w:rsidR="00632789" w:rsidRPr="00222811" w:rsidRDefault="00632789" w:rsidP="0021262A">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Intra Panel SDM: The access and backhaul use the same panel but different spatial layers</w:t>
      </w:r>
    </w:p>
    <w:p w:rsidR="00632789" w:rsidRPr="00222811" w:rsidRDefault="00632789" w:rsidP="0021262A">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Inter Panel SDM: The access and backhaul use different panels</w:t>
      </w:r>
    </w:p>
    <w:p w:rsidR="00504C05" w:rsidRDefault="00632789" w:rsidP="00632789">
      <w:pPr>
        <w:pStyle w:val="maintext"/>
        <w:ind w:firstLineChars="0" w:firstLine="0"/>
        <w:rPr>
          <w:rFonts w:ascii="Calibri" w:hAnsi="Calibri"/>
        </w:rPr>
      </w:pPr>
      <w:r w:rsidRPr="00222811">
        <w:rPr>
          <w:rFonts w:ascii="Calibri" w:hAnsi="Calibri"/>
        </w:rPr>
        <w:t xml:space="preserve">Due to the half-duplex constraint at each relay node it can only transmit or receive at any given instance but not both. The </w:t>
      </w:r>
      <w:r w:rsidR="001E02F3">
        <w:rPr>
          <w:rFonts w:ascii="Calibri" w:hAnsi="Calibri"/>
        </w:rPr>
        <w:t xml:space="preserve">MT </w:t>
      </w:r>
      <w:r w:rsidRPr="00222811">
        <w:rPr>
          <w:rFonts w:ascii="Calibri" w:hAnsi="Calibri"/>
        </w:rPr>
        <w:t xml:space="preserve">PHY is in receive mode during a backhaul DL allocation and in transmit mode during a backhaul UL allocation. Similarly </w:t>
      </w:r>
      <w:r w:rsidR="001E02F3">
        <w:rPr>
          <w:rFonts w:ascii="Calibri" w:hAnsi="Calibri"/>
        </w:rPr>
        <w:t>the DU</w:t>
      </w:r>
      <w:r w:rsidRPr="00222811">
        <w:rPr>
          <w:rFonts w:ascii="Calibri" w:hAnsi="Calibri"/>
        </w:rPr>
        <w:t xml:space="preserve"> PHY is i</w:t>
      </w:r>
      <w:r w:rsidR="006703A8">
        <w:rPr>
          <w:rFonts w:ascii="Calibri" w:hAnsi="Calibri"/>
        </w:rPr>
        <w:t xml:space="preserve">n receive mode during an </w:t>
      </w:r>
      <w:r w:rsidRPr="00222811">
        <w:rPr>
          <w:rFonts w:ascii="Calibri" w:hAnsi="Calibri"/>
        </w:rPr>
        <w:t>UL allocation and in</w:t>
      </w:r>
      <w:r w:rsidR="006703A8">
        <w:rPr>
          <w:rFonts w:ascii="Calibri" w:hAnsi="Calibri"/>
        </w:rPr>
        <w:t xml:space="preserve"> transmit mode during a </w:t>
      </w:r>
      <w:r w:rsidRPr="00222811">
        <w:rPr>
          <w:rFonts w:ascii="Calibri" w:hAnsi="Calibri"/>
        </w:rPr>
        <w:t>DL allocation</w:t>
      </w:r>
      <w:r w:rsidR="006703A8">
        <w:rPr>
          <w:rFonts w:ascii="Calibri" w:hAnsi="Calibri"/>
        </w:rPr>
        <w:t xml:space="preserve"> as shown in Figure 5</w:t>
      </w:r>
      <w:r w:rsidRPr="00222811">
        <w:rPr>
          <w:rFonts w:ascii="Calibri" w:hAnsi="Calibri"/>
        </w:rPr>
        <w:t xml:space="preserve">. </w:t>
      </w:r>
    </w:p>
    <w:p w:rsidR="00504C05" w:rsidRDefault="00504C05" w:rsidP="00632789">
      <w:pPr>
        <w:pStyle w:val="maintext"/>
        <w:ind w:firstLineChars="0" w:firstLine="0"/>
        <w:rPr>
          <w:rFonts w:ascii="Calibri" w:hAnsi="Calibri"/>
        </w:rPr>
      </w:pPr>
    </w:p>
    <w:p w:rsidR="00504C05" w:rsidRDefault="00DE2A3F" w:rsidP="00504C05">
      <w:pPr>
        <w:pStyle w:val="maintext"/>
        <w:keepNext/>
        <w:ind w:firstLineChars="0" w:firstLine="0"/>
        <w:jc w:val="center"/>
      </w:pPr>
      <w:r>
        <w:rPr>
          <w:noProof/>
          <w:color w:val="1F497D"/>
          <w:lang w:val="en-US" w:eastAsia="en-US"/>
        </w:rPr>
        <w:drawing>
          <wp:inline distT="0" distB="0" distL="0" distR="0">
            <wp:extent cx="3584818" cy="2409825"/>
            <wp:effectExtent l="0" t="0" r="0" b="0"/>
            <wp:docPr id="6" name="Picture 6"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5.png@01D3944D.5F4730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593840" cy="2415890"/>
                    </a:xfrm>
                    <a:prstGeom prst="rect">
                      <a:avLst/>
                    </a:prstGeom>
                    <a:noFill/>
                    <a:ln>
                      <a:noFill/>
                    </a:ln>
                  </pic:spPr>
                </pic:pic>
              </a:graphicData>
            </a:graphic>
          </wp:inline>
        </w:drawing>
      </w:r>
    </w:p>
    <w:p w:rsidR="00504C05" w:rsidRDefault="00504C05" w:rsidP="00504C05">
      <w:pPr>
        <w:pStyle w:val="maintext"/>
        <w:ind w:firstLineChars="0" w:firstLine="0"/>
        <w:jc w:val="center"/>
        <w:rPr>
          <w:rFonts w:ascii="Calibri" w:hAnsi="Calibri"/>
          <w:b/>
        </w:rPr>
      </w:pPr>
    </w:p>
    <w:p w:rsidR="00504C05" w:rsidRPr="006C49B6" w:rsidRDefault="009550DA" w:rsidP="00504C05">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5</w:t>
      </w:r>
      <w:r w:rsidR="00504C05" w:rsidRPr="006C49B6">
        <w:rPr>
          <w:rFonts w:ascii="Calibri" w:hAnsi="Calibri"/>
          <w:b/>
          <w:bCs/>
          <w:sz w:val="22"/>
          <w:lang w:val="en-GB" w:eastAsia="zh-CN"/>
        </w:rPr>
        <w:t xml:space="preserve">: </w:t>
      </w:r>
      <w:r w:rsidR="00504C05">
        <w:rPr>
          <w:rFonts w:ascii="Calibri" w:hAnsi="Calibri"/>
          <w:b/>
          <w:bCs/>
          <w:sz w:val="22"/>
          <w:lang w:val="en-GB" w:eastAsia="zh-CN"/>
        </w:rPr>
        <w:t>H</w:t>
      </w:r>
      <w:r w:rsidR="00504C05" w:rsidRPr="002C594E">
        <w:rPr>
          <w:rFonts w:ascii="Calibri" w:hAnsi="Calibri"/>
          <w:b/>
          <w:bCs/>
          <w:sz w:val="22"/>
          <w:lang w:val="en-GB" w:eastAsia="zh-CN"/>
        </w:rPr>
        <w:t>alf-duplex constraint at the relay</w:t>
      </w:r>
    </w:p>
    <w:p w:rsidR="00504C05" w:rsidRDefault="009550DA" w:rsidP="00504C05">
      <w:pPr>
        <w:pStyle w:val="maintext"/>
        <w:ind w:firstLineChars="0" w:firstLine="0"/>
        <w:rPr>
          <w:rFonts w:ascii="Calibri" w:eastAsia="Times New Roman" w:hAnsi="Calibri" w:cs="Times New Roman"/>
          <w:lang w:val="en-US"/>
        </w:rPr>
      </w:pPr>
      <w:r>
        <w:rPr>
          <w:rFonts w:ascii="Calibri" w:hAnsi="Calibri"/>
        </w:rPr>
        <w:t>In Figure 6</w:t>
      </w:r>
      <w:r w:rsidR="00504C05" w:rsidRPr="00DD27CD">
        <w:rPr>
          <w:rFonts w:ascii="Calibri" w:hAnsi="Calibri"/>
        </w:rPr>
        <w:t>,</w:t>
      </w:r>
      <w:r w:rsidR="00504C05">
        <w:rPr>
          <w:rFonts w:ascii="Calibri" w:hAnsi="Calibri"/>
        </w:rPr>
        <w:t xml:space="preserve"> TDM partitioning is shown with</w:t>
      </w:r>
      <w:r w:rsidR="00504C05" w:rsidRPr="00DD27CD">
        <w:rPr>
          <w:rFonts w:ascii="Calibri" w:hAnsi="Calibri"/>
        </w:rPr>
        <w:t xml:space="preserve"> </w:t>
      </w:r>
      <w:r w:rsidR="00504C05">
        <w:rPr>
          <w:rFonts w:ascii="Calibri" w:hAnsi="Calibri"/>
        </w:rPr>
        <w:t xml:space="preserve">DL/UL switching gaps </w:t>
      </w:r>
      <w:r w:rsidR="00504C05" w:rsidRPr="00DD27CD">
        <w:rPr>
          <w:rFonts w:ascii="Calibri" w:hAnsi="Calibri"/>
        </w:rPr>
        <w:t xml:space="preserve">between both the backhaul directions as well as </w:t>
      </w:r>
      <w:r w:rsidR="00504C05">
        <w:rPr>
          <w:rFonts w:ascii="Calibri" w:hAnsi="Calibri"/>
        </w:rPr>
        <w:t>for the</w:t>
      </w:r>
      <w:r w:rsidR="00504C05" w:rsidRPr="00DD27CD">
        <w:rPr>
          <w:rFonts w:ascii="Calibri" w:hAnsi="Calibri"/>
        </w:rPr>
        <w:t xml:space="preserve"> access links while a guard band is introduced between backhaul subframes in the case of FDM</w:t>
      </w:r>
      <w:r w:rsidR="006703A8">
        <w:rPr>
          <w:rFonts w:ascii="Calibri" w:hAnsi="Calibri"/>
        </w:rPr>
        <w:t>.</w:t>
      </w:r>
      <w:r w:rsidR="00504C05">
        <w:rPr>
          <w:rFonts w:ascii="Calibri" w:hAnsi="Calibri"/>
        </w:rPr>
        <w:t xml:space="preserve"> </w:t>
      </w:r>
    </w:p>
    <w:p w:rsidR="00886940" w:rsidRDefault="00886940" w:rsidP="00504C05">
      <w:pPr>
        <w:pStyle w:val="maintext"/>
        <w:ind w:firstLineChars="0" w:firstLine="0"/>
        <w:rPr>
          <w:rFonts w:ascii="Calibri" w:hAnsi="Calibri"/>
        </w:rPr>
      </w:pPr>
    </w:p>
    <w:p w:rsidR="00C724F1" w:rsidRDefault="00DE2A3F" w:rsidP="00C724F1">
      <w:pPr>
        <w:pStyle w:val="maintext"/>
        <w:ind w:firstLineChars="90" w:firstLine="180"/>
        <w:jc w:val="center"/>
      </w:pPr>
      <w:r w:rsidRPr="00C724F1">
        <w:rPr>
          <w:noProof/>
          <w:lang w:val="en-US" w:eastAsia="en-US"/>
        </w:rPr>
        <w:drawing>
          <wp:inline distT="0" distB="0" distL="0" distR="0">
            <wp:extent cx="4371975" cy="944259"/>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30273" cy="956850"/>
                    </a:xfrm>
                    <a:prstGeom prst="rect">
                      <a:avLst/>
                    </a:prstGeom>
                    <a:noFill/>
                    <a:ln>
                      <a:noFill/>
                    </a:ln>
                  </pic:spPr>
                </pic:pic>
              </a:graphicData>
            </a:graphic>
          </wp:inline>
        </w:drawing>
      </w:r>
    </w:p>
    <w:p w:rsidR="00C724F1" w:rsidRPr="00077712" w:rsidRDefault="00C724F1" w:rsidP="00C724F1">
      <w:pPr>
        <w:pStyle w:val="Caption"/>
        <w:ind w:left="720"/>
        <w:rPr>
          <w:rFonts w:ascii="Calibri" w:hAnsi="Calibri"/>
        </w:rPr>
      </w:pPr>
      <w:bookmarkStart w:id="2" w:name="_Ref450668998"/>
      <w:r w:rsidRPr="00077712">
        <w:rPr>
          <w:rFonts w:ascii="Calibri" w:hAnsi="Calibri"/>
        </w:rPr>
        <w:t xml:space="preserve">Figure </w:t>
      </w:r>
      <w:bookmarkEnd w:id="2"/>
      <w:r w:rsidR="009550DA">
        <w:rPr>
          <w:rFonts w:ascii="Calibri" w:hAnsi="Calibri"/>
        </w:rPr>
        <w:t>6</w:t>
      </w:r>
      <w:r w:rsidRPr="00077712">
        <w:rPr>
          <w:rFonts w:ascii="Calibri" w:hAnsi="Calibri"/>
        </w:rPr>
        <w:t>: TDM/FDM of access and backhaul links</w:t>
      </w:r>
    </w:p>
    <w:p w:rsidR="005B69C2" w:rsidRDefault="006703A8" w:rsidP="00504C05">
      <w:pPr>
        <w:pStyle w:val="maintext"/>
        <w:ind w:firstLineChars="0" w:firstLine="0"/>
        <w:rPr>
          <w:rFonts w:ascii="Calibri" w:eastAsia="Times New Roman" w:hAnsi="Calibri" w:cs="Times New Roman"/>
          <w:lang w:val="en-US"/>
        </w:rPr>
      </w:pPr>
      <w:r>
        <w:rPr>
          <w:rFonts w:ascii="Calibri" w:hAnsi="Calibri"/>
        </w:rPr>
        <w:lastRenderedPageBreak/>
        <w:t xml:space="preserve">In addition, the multiplexing of the access and backhaul links should be backwards compatible to ensure Rel.15 UEs can be supported by IAB. </w:t>
      </w:r>
      <w:r w:rsidRPr="00DD27CD">
        <w:rPr>
          <w:rFonts w:ascii="Calibri" w:hAnsi="Calibri"/>
        </w:rPr>
        <w:t>Specifically, the latency/overhead introduced by orthogonal partitioning of resources in either time or frequency should be carefully considered</w:t>
      </w:r>
      <w:r>
        <w:rPr>
          <w:rFonts w:ascii="Calibri" w:hAnsi="Calibri"/>
        </w:rPr>
        <w:t>, especially for mmWave frequencies which are typically TDD</w:t>
      </w:r>
      <w:r>
        <w:rPr>
          <w:rFonts w:ascii="Calibri" w:eastAsia="Times New Roman" w:hAnsi="Calibri" w:cs="Times New Roman"/>
          <w:lang w:val="en-US"/>
        </w:rPr>
        <w:t xml:space="preserve">.  </w:t>
      </w:r>
    </w:p>
    <w:p w:rsidR="005B69C2" w:rsidRDefault="005B69C2" w:rsidP="00504C05">
      <w:pPr>
        <w:pStyle w:val="maintext"/>
        <w:ind w:firstLineChars="0" w:firstLine="0"/>
        <w:rPr>
          <w:rFonts w:ascii="Calibri" w:eastAsia="Times New Roman" w:hAnsi="Calibri" w:cs="Times New Roman"/>
          <w:lang w:val="en-US"/>
        </w:rPr>
      </w:pPr>
    </w:p>
    <w:p w:rsidR="002013B3" w:rsidRDefault="002013B3" w:rsidP="00504C05">
      <w:pPr>
        <w:pStyle w:val="maintext"/>
        <w:ind w:firstLineChars="0" w:firstLine="0"/>
        <w:rPr>
          <w:rFonts w:ascii="Calibri" w:hAnsi="Calibri"/>
        </w:rPr>
      </w:pPr>
      <w:r>
        <w:rPr>
          <w:rFonts w:ascii="Calibri" w:hAnsi="Calibri"/>
        </w:rPr>
        <w:t>During RAN1#94</w:t>
      </w:r>
      <w:r w:rsidR="00E46D61">
        <w:rPr>
          <w:rFonts w:ascii="Calibri" w:hAnsi="Calibri"/>
        </w:rPr>
        <w:t>bis</w:t>
      </w:r>
      <w:r>
        <w:rPr>
          <w:rFonts w:ascii="Calibri" w:hAnsi="Calibri"/>
        </w:rPr>
        <w:t xml:space="preserve"> the following agreements were made</w:t>
      </w:r>
      <w:r w:rsidR="009550DA">
        <w:rPr>
          <w:rFonts w:ascii="Calibri" w:hAnsi="Calibri"/>
        </w:rPr>
        <w:t xml:space="preserve"> for </w:t>
      </w:r>
      <w:r w:rsidR="00E46D61">
        <w:rPr>
          <w:rFonts w:ascii="Calibri" w:hAnsi="Calibri"/>
        </w:rPr>
        <w:t>partitioning of resources for IAB nodes MTs and DUs</w:t>
      </w:r>
      <w:r>
        <w:rPr>
          <w:rFonts w:ascii="Calibri" w:hAnsi="Calibri"/>
        </w:rPr>
        <w:t>:</w:t>
      </w:r>
    </w:p>
    <w:p w:rsidR="00E46D61" w:rsidRPr="00AB1198" w:rsidRDefault="00E46D61" w:rsidP="00E46D61">
      <w:pPr>
        <w:rPr>
          <w:b/>
          <w:lang w:eastAsia="x-none"/>
        </w:rPr>
      </w:pPr>
      <w:r w:rsidRPr="00AB1198">
        <w:rPr>
          <w:highlight w:val="green"/>
          <w:lang w:eastAsia="x-none"/>
        </w:rPr>
        <w:t>Agreements</w:t>
      </w:r>
      <w:r w:rsidRPr="00AB1198">
        <w:rPr>
          <w:b/>
          <w:lang w:eastAsia="x-none"/>
        </w:rPr>
        <w:t>:</w:t>
      </w:r>
    </w:p>
    <w:p w:rsidR="00E46D61" w:rsidRPr="00AB1198" w:rsidRDefault="00E46D61" w:rsidP="00E46D61">
      <w:pPr>
        <w:rPr>
          <w:rFonts w:ascii="Calibri" w:hAnsi="Calibri"/>
        </w:rPr>
      </w:pPr>
      <w:r w:rsidRPr="00AB1198">
        <w:rPr>
          <w:rFonts w:ascii="Calibri" w:hAnsi="Calibri"/>
        </w:rPr>
        <w:t>From an MT point-of-view, the following time-domain resources can be indicated for the parent link:</w:t>
      </w:r>
    </w:p>
    <w:p w:rsidR="00E46D61" w:rsidRPr="00AB1198" w:rsidRDefault="00E46D61" w:rsidP="00E46D61">
      <w:pPr>
        <w:numPr>
          <w:ilvl w:val="0"/>
          <w:numId w:val="17"/>
        </w:numPr>
        <w:spacing w:before="0" w:after="160" w:line="252" w:lineRule="auto"/>
        <w:contextualSpacing/>
        <w:jc w:val="left"/>
        <w:rPr>
          <w:rFonts w:ascii="Calibri" w:hAnsi="Calibri"/>
          <w:lang w:eastAsia="sv-SE"/>
        </w:rPr>
      </w:pPr>
      <w:r w:rsidRPr="00AB1198">
        <w:rPr>
          <w:rFonts w:ascii="Calibri" w:hAnsi="Calibri"/>
        </w:rPr>
        <w:t>Downlink time resource,</w:t>
      </w:r>
    </w:p>
    <w:p w:rsidR="00E46D61" w:rsidRPr="00AB1198" w:rsidRDefault="00E46D61" w:rsidP="00E46D61">
      <w:pPr>
        <w:numPr>
          <w:ilvl w:val="0"/>
          <w:numId w:val="17"/>
        </w:numPr>
        <w:spacing w:before="0" w:after="160" w:line="252" w:lineRule="auto"/>
        <w:contextualSpacing/>
        <w:jc w:val="left"/>
        <w:rPr>
          <w:rFonts w:ascii="Calibri" w:hAnsi="Calibri"/>
        </w:rPr>
      </w:pPr>
      <w:r w:rsidRPr="00AB1198">
        <w:rPr>
          <w:rFonts w:ascii="Calibri" w:hAnsi="Calibri"/>
        </w:rPr>
        <w:t xml:space="preserve">uplink time resource, </w:t>
      </w:r>
    </w:p>
    <w:p w:rsidR="00E46D61" w:rsidRPr="00AB1198" w:rsidRDefault="00E46D61" w:rsidP="00E46D61">
      <w:pPr>
        <w:numPr>
          <w:ilvl w:val="0"/>
          <w:numId w:val="17"/>
        </w:numPr>
        <w:spacing w:before="0" w:after="160" w:line="252" w:lineRule="auto"/>
        <w:contextualSpacing/>
        <w:jc w:val="left"/>
        <w:rPr>
          <w:rFonts w:ascii="Calibri" w:hAnsi="Calibri"/>
        </w:rPr>
      </w:pPr>
      <w:r w:rsidRPr="00AB1198">
        <w:rPr>
          <w:rFonts w:ascii="Calibri" w:hAnsi="Calibri"/>
        </w:rPr>
        <w:t xml:space="preserve">flexible time resource </w:t>
      </w:r>
    </w:p>
    <w:p w:rsidR="00E46D61" w:rsidRPr="00AB1198" w:rsidRDefault="00E46D61" w:rsidP="00E46D61">
      <w:pPr>
        <w:rPr>
          <w:rFonts w:ascii="SimSun" w:hAnsi="SimSun"/>
        </w:rPr>
      </w:pPr>
      <w:r w:rsidRPr="00AB1198">
        <w:rPr>
          <w:rFonts w:ascii="Calibri" w:hAnsi="Calibri"/>
        </w:rPr>
        <w:t>as in release 15.</w:t>
      </w:r>
    </w:p>
    <w:p w:rsidR="00E46D61" w:rsidRPr="00AB1198" w:rsidRDefault="00E46D61" w:rsidP="00E46D61">
      <w:r w:rsidRPr="00AB1198">
        <w:rPr>
          <w:rFonts w:ascii="Calibri" w:hAnsi="Calibri"/>
        </w:rPr>
        <w:t>From a DU point-of-view, the child link has the following types of time resources</w:t>
      </w:r>
    </w:p>
    <w:p w:rsidR="00E46D61" w:rsidRPr="00AB1198" w:rsidRDefault="00E46D61" w:rsidP="00E46D61">
      <w:pPr>
        <w:numPr>
          <w:ilvl w:val="0"/>
          <w:numId w:val="17"/>
        </w:numPr>
        <w:spacing w:before="0" w:after="160" w:line="252" w:lineRule="auto"/>
        <w:contextualSpacing/>
        <w:jc w:val="left"/>
        <w:rPr>
          <w:rFonts w:ascii="Calibri" w:hAnsi="Calibri"/>
        </w:rPr>
      </w:pPr>
      <w:r w:rsidRPr="00AB1198">
        <w:rPr>
          <w:rFonts w:ascii="Calibri" w:hAnsi="Calibri"/>
        </w:rPr>
        <w:t>Downlink time resource,</w:t>
      </w:r>
    </w:p>
    <w:p w:rsidR="00E46D61" w:rsidRPr="00AB1198" w:rsidRDefault="00E46D61" w:rsidP="00E46D61">
      <w:pPr>
        <w:numPr>
          <w:ilvl w:val="0"/>
          <w:numId w:val="17"/>
        </w:numPr>
        <w:spacing w:before="0" w:after="160" w:line="252" w:lineRule="auto"/>
        <w:contextualSpacing/>
        <w:jc w:val="left"/>
        <w:rPr>
          <w:rFonts w:ascii="Calibri" w:hAnsi="Calibri"/>
        </w:rPr>
      </w:pPr>
      <w:r w:rsidRPr="00AB1198">
        <w:rPr>
          <w:rFonts w:ascii="Calibri" w:hAnsi="Calibri"/>
        </w:rPr>
        <w:t xml:space="preserve">uplink time resource, </w:t>
      </w:r>
    </w:p>
    <w:p w:rsidR="00E46D61" w:rsidRPr="00AB1198" w:rsidRDefault="00E46D61" w:rsidP="00E46D61">
      <w:pPr>
        <w:numPr>
          <w:ilvl w:val="0"/>
          <w:numId w:val="17"/>
        </w:numPr>
        <w:spacing w:before="0" w:after="160" w:line="252" w:lineRule="auto"/>
        <w:contextualSpacing/>
        <w:jc w:val="left"/>
        <w:rPr>
          <w:rFonts w:ascii="Calibri" w:hAnsi="Calibri"/>
        </w:rPr>
      </w:pPr>
      <w:r w:rsidRPr="00AB1198">
        <w:rPr>
          <w:rFonts w:ascii="Calibri" w:hAnsi="Calibri"/>
        </w:rPr>
        <w:t xml:space="preserve">flexible time resource </w:t>
      </w:r>
    </w:p>
    <w:p w:rsidR="00E46D61" w:rsidRPr="00AB1198" w:rsidRDefault="00E46D61" w:rsidP="00E46D61">
      <w:pPr>
        <w:numPr>
          <w:ilvl w:val="0"/>
          <w:numId w:val="17"/>
        </w:numPr>
        <w:spacing w:before="0" w:after="160" w:line="252" w:lineRule="auto"/>
        <w:contextualSpacing/>
        <w:jc w:val="left"/>
        <w:rPr>
          <w:rFonts w:ascii="Calibri" w:hAnsi="Calibri"/>
        </w:rPr>
      </w:pPr>
      <w:r w:rsidRPr="00AB1198">
        <w:rPr>
          <w:rFonts w:ascii="Calibri" w:hAnsi="Calibri"/>
        </w:rPr>
        <w:t xml:space="preserve">not available time resources (not to be used for communication on the DU child links) </w:t>
      </w:r>
    </w:p>
    <w:p w:rsidR="00E46D61" w:rsidRPr="00AB1198" w:rsidRDefault="00E46D61" w:rsidP="00E46D61">
      <w:pPr>
        <w:rPr>
          <w:rFonts w:ascii="Calibri" w:hAnsi="Calibri"/>
        </w:rPr>
      </w:pPr>
      <w:r w:rsidRPr="00AB1198">
        <w:rPr>
          <w:rFonts w:ascii="Calibri" w:hAnsi="Calibri"/>
        </w:rPr>
        <w:t>Exact configuration for DU is FFS</w:t>
      </w:r>
    </w:p>
    <w:p w:rsidR="009550DA" w:rsidRDefault="009550DA" w:rsidP="00E46D61">
      <w:pPr>
        <w:pStyle w:val="3GPPNormalText"/>
        <w:ind w:left="0" w:firstLine="0"/>
        <w:jc w:val="left"/>
        <w:rPr>
          <w:sz w:val="20"/>
          <w:szCs w:val="20"/>
        </w:rPr>
      </w:pPr>
    </w:p>
    <w:p w:rsidR="009550DA" w:rsidRDefault="00E46D61" w:rsidP="009550DA">
      <w:pPr>
        <w:pStyle w:val="maintext"/>
        <w:ind w:firstLineChars="0" w:firstLine="0"/>
        <w:rPr>
          <w:rFonts w:ascii="Calibri" w:hAnsi="Calibri"/>
        </w:rPr>
      </w:pPr>
      <w:r>
        <w:rPr>
          <w:rFonts w:ascii="Calibri" w:hAnsi="Calibri"/>
        </w:rPr>
        <w:t xml:space="preserve">Considering </w:t>
      </w:r>
      <w:r w:rsidR="009550DA">
        <w:rPr>
          <w:rFonts w:ascii="Calibri" w:hAnsi="Calibri"/>
        </w:rPr>
        <w:t xml:space="preserve">the multi-hop nature of the IAB network, more efficient usage of the DL/UL resources </w:t>
      </w:r>
      <w:r>
        <w:rPr>
          <w:rFonts w:ascii="Calibri" w:hAnsi="Calibri"/>
        </w:rPr>
        <w:t xml:space="preserve">than strict TDM between parent and child links </w:t>
      </w:r>
      <w:r w:rsidR="009550DA">
        <w:rPr>
          <w:rFonts w:ascii="Calibri" w:hAnsi="Calibri"/>
        </w:rPr>
        <w:t xml:space="preserve">can be used even when taking into account the </w:t>
      </w:r>
      <w:r w:rsidR="009550DA">
        <w:rPr>
          <w:rFonts w:ascii="Calibri" w:eastAsia="Times New Roman" w:hAnsi="Calibri" w:cs="Times New Roman"/>
          <w:lang w:val="en-US"/>
        </w:rPr>
        <w:t xml:space="preserve">half-duplex constraint. When the donor gNB (hop 0) sends DL transmissions to the relay node of hop order 1, said rely node is receiving, hence it can schedule access UEs whose gNB it is in the UL. Alternatively, a second order relay node can transmit to the first order relay node when the latter is receiving from the donor node (hop 0). The resulting frame structure can result in cross-link interference at the UE which will be discussed in the next section. At the network side, the frame structure, and hence the interference, can be coordinated though. </w:t>
      </w:r>
      <w:r w:rsidR="009550DA" w:rsidRPr="00222811">
        <w:rPr>
          <w:rFonts w:ascii="Calibri" w:hAnsi="Calibri"/>
        </w:rPr>
        <w:t xml:space="preserve">This implies that the frame-structure across the multiple hops need to staggered as shown in Figure </w:t>
      </w:r>
      <w:r w:rsidR="009550DA">
        <w:rPr>
          <w:rFonts w:ascii="Calibri" w:hAnsi="Calibri"/>
        </w:rPr>
        <w:t>7</w:t>
      </w:r>
      <w:r w:rsidR="009550DA" w:rsidRPr="00222811">
        <w:rPr>
          <w:rFonts w:ascii="Calibri" w:hAnsi="Calibri"/>
        </w:rPr>
        <w:t>.</w:t>
      </w:r>
    </w:p>
    <w:p w:rsidR="009550DA" w:rsidRPr="00222811" w:rsidRDefault="009550DA" w:rsidP="009550DA">
      <w:pPr>
        <w:pStyle w:val="maintext"/>
        <w:ind w:firstLineChars="0" w:firstLine="0"/>
        <w:rPr>
          <w:rFonts w:ascii="Calibri" w:hAnsi="Calibri"/>
        </w:rPr>
      </w:pPr>
    </w:p>
    <w:p w:rsidR="009550DA" w:rsidRDefault="009550DA" w:rsidP="009550DA">
      <w:pPr>
        <w:pStyle w:val="maintext"/>
        <w:ind w:firstLineChars="0" w:firstLine="0"/>
        <w:jc w:val="center"/>
        <w:rPr>
          <w:color w:val="1F497D"/>
        </w:rPr>
      </w:pPr>
      <w:r>
        <w:rPr>
          <w:noProof/>
          <w:color w:val="1F497D"/>
          <w:lang w:val="en-US" w:eastAsia="en-US"/>
        </w:rPr>
        <w:drawing>
          <wp:inline distT="0" distB="0" distL="0" distR="0" wp14:anchorId="4AEB70FD" wp14:editId="455A740D">
            <wp:extent cx="4362450" cy="2387600"/>
            <wp:effectExtent l="0" t="0" r="0" b="0"/>
            <wp:docPr id="8" name="Picture 8" descr="cid:image002.png@01D39440.04523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D39440.045232F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362450" cy="2387600"/>
                    </a:xfrm>
                    <a:prstGeom prst="rect">
                      <a:avLst/>
                    </a:prstGeom>
                    <a:noFill/>
                    <a:ln>
                      <a:noFill/>
                    </a:ln>
                  </pic:spPr>
                </pic:pic>
              </a:graphicData>
            </a:graphic>
          </wp:inline>
        </w:drawing>
      </w:r>
    </w:p>
    <w:p w:rsidR="009550DA" w:rsidRDefault="009550DA" w:rsidP="009550DA">
      <w:pPr>
        <w:pStyle w:val="Caption"/>
        <w:ind w:left="720"/>
        <w:rPr>
          <w:rFonts w:ascii="Calibri" w:hAnsi="Calibri"/>
        </w:rPr>
      </w:pPr>
      <w:r w:rsidRPr="00077712">
        <w:rPr>
          <w:rFonts w:ascii="Calibri" w:hAnsi="Calibri"/>
        </w:rPr>
        <w:t xml:space="preserve">Figure </w:t>
      </w:r>
      <w:r>
        <w:rPr>
          <w:rFonts w:ascii="Calibri" w:hAnsi="Calibri"/>
        </w:rPr>
        <w:t>7</w:t>
      </w:r>
      <w:r w:rsidRPr="00077712">
        <w:rPr>
          <w:rFonts w:ascii="Calibri" w:hAnsi="Calibri"/>
        </w:rPr>
        <w:t xml:space="preserve">: </w:t>
      </w:r>
      <w:r>
        <w:rPr>
          <w:rFonts w:ascii="Calibri" w:hAnsi="Calibri"/>
        </w:rPr>
        <w:t>IAB frame structure</w:t>
      </w:r>
    </w:p>
    <w:p w:rsidR="009550DA" w:rsidRDefault="009550DA" w:rsidP="009550DA">
      <w:pPr>
        <w:pStyle w:val="maintext"/>
        <w:ind w:firstLineChars="0" w:firstLine="0"/>
        <w:rPr>
          <w:rFonts w:ascii="Calibri" w:hAnsi="Calibri"/>
          <w:b/>
        </w:rPr>
      </w:pPr>
      <w:r w:rsidRPr="00057E9B">
        <w:rPr>
          <w:rFonts w:ascii="Calibri" w:hAnsi="Calibri"/>
          <w:b/>
        </w:rPr>
        <w:t xml:space="preserve">Proposal </w:t>
      </w:r>
      <w:r w:rsidR="00CE1FF5">
        <w:rPr>
          <w:rFonts w:ascii="Calibri" w:hAnsi="Calibri"/>
          <w:b/>
        </w:rPr>
        <w:t>6</w:t>
      </w:r>
      <w:r w:rsidRPr="00057E9B">
        <w:rPr>
          <w:rFonts w:ascii="Calibri" w:hAnsi="Calibri"/>
          <w:b/>
        </w:rPr>
        <w:t xml:space="preserve">: </w:t>
      </w:r>
      <w:r>
        <w:rPr>
          <w:rFonts w:ascii="Calibri" w:hAnsi="Calibri"/>
          <w:b/>
        </w:rPr>
        <w:t>In addition to TDM partitioning of parent and child links, IAB should support frame structure coordination mechanisms which enable alignment of DL transmissions of the IAB node’s DU with UL transmission slots of the IAB node’s MT as well as alignment of DL reception slots of the IAB nodes’ MT with UL reception slots at the IAB node’s DU.</w:t>
      </w:r>
    </w:p>
    <w:p w:rsidR="009550DA" w:rsidRPr="00E46D61" w:rsidRDefault="00E46D61" w:rsidP="002013B3">
      <w:pPr>
        <w:pStyle w:val="3GPPNormalText"/>
        <w:jc w:val="left"/>
        <w:rPr>
          <w:sz w:val="20"/>
          <w:szCs w:val="20"/>
          <w:lang w:val="en-US"/>
        </w:rPr>
      </w:pPr>
      <w:r>
        <w:rPr>
          <w:sz w:val="20"/>
          <w:szCs w:val="20"/>
          <w:lang w:val="en-US"/>
        </w:rPr>
        <w:lastRenderedPageBreak/>
        <w:t>In addition, during RAN1#94bis the following agreements were made:</w:t>
      </w:r>
    </w:p>
    <w:p w:rsidR="00E46D61" w:rsidRPr="001213E7" w:rsidRDefault="00E46D61" w:rsidP="00E46D61">
      <w:pPr>
        <w:pStyle w:val="3GPPNormalText"/>
        <w:spacing w:line="259" w:lineRule="auto"/>
        <w:rPr>
          <w:b/>
          <w:iCs/>
          <w:color w:val="0D0D0D"/>
          <w:sz w:val="20"/>
          <w:szCs w:val="20"/>
          <w:lang w:val="en-GB"/>
        </w:rPr>
      </w:pPr>
      <w:r w:rsidRPr="001213E7">
        <w:rPr>
          <w:iCs/>
          <w:color w:val="0D0D0D"/>
          <w:sz w:val="20"/>
          <w:szCs w:val="20"/>
          <w:highlight w:val="green"/>
          <w:lang w:val="en-GB"/>
        </w:rPr>
        <w:t>Agreements</w:t>
      </w:r>
      <w:r w:rsidRPr="001213E7">
        <w:rPr>
          <w:b/>
          <w:iCs/>
          <w:color w:val="0D0D0D"/>
          <w:sz w:val="20"/>
          <w:szCs w:val="20"/>
          <w:lang w:val="en-GB"/>
        </w:rPr>
        <w:t>:</w:t>
      </w:r>
    </w:p>
    <w:p w:rsidR="00E46D61" w:rsidRPr="001213E7" w:rsidRDefault="00E46D61" w:rsidP="00E46D61">
      <w:pPr>
        <w:numPr>
          <w:ilvl w:val="0"/>
          <w:numId w:val="16"/>
        </w:numPr>
        <w:spacing w:before="0" w:after="0"/>
        <w:jc w:val="left"/>
      </w:pPr>
      <w:r w:rsidRPr="001213E7">
        <w:t>For each of the downlink, uplink and flexible time-resource types of the DU child link there are two flavors, hard and soft:</w:t>
      </w:r>
    </w:p>
    <w:p w:rsidR="00E46D61" w:rsidRPr="001213E7" w:rsidRDefault="00E46D61" w:rsidP="00E46D61">
      <w:pPr>
        <w:numPr>
          <w:ilvl w:val="1"/>
          <w:numId w:val="16"/>
        </w:numPr>
        <w:spacing w:before="0" w:after="0"/>
        <w:jc w:val="left"/>
      </w:pPr>
      <w:r w:rsidRPr="001213E7">
        <w:t xml:space="preserve">Hard: The corresponding time resource is always available for the DU child link </w:t>
      </w:r>
    </w:p>
    <w:p w:rsidR="00E46D61" w:rsidRPr="001213E7" w:rsidRDefault="00E46D61" w:rsidP="00E46D61">
      <w:pPr>
        <w:numPr>
          <w:ilvl w:val="1"/>
          <w:numId w:val="16"/>
        </w:numPr>
        <w:spacing w:before="0" w:after="0"/>
        <w:jc w:val="left"/>
      </w:pPr>
      <w:r w:rsidRPr="001213E7">
        <w:t xml:space="preserve">Soft: The availability of the corresponding time resource for the DU child link is explicitly and/or implicitly controlled by the parent node. </w:t>
      </w:r>
    </w:p>
    <w:p w:rsidR="002013B3" w:rsidRDefault="002013B3" w:rsidP="00504C05">
      <w:pPr>
        <w:pStyle w:val="maintext"/>
        <w:ind w:firstLineChars="0" w:firstLine="0"/>
        <w:rPr>
          <w:rFonts w:ascii="Calibri" w:hAnsi="Calibri"/>
        </w:rPr>
      </w:pPr>
    </w:p>
    <w:p w:rsidR="001E02F3" w:rsidRPr="001E02F3" w:rsidRDefault="00004522" w:rsidP="001E02F3">
      <w:pPr>
        <w:pStyle w:val="maintext"/>
        <w:ind w:firstLineChars="0" w:firstLine="0"/>
        <w:rPr>
          <w:rFonts w:ascii="Calibri" w:hAnsi="Calibri" w:cs="Arial"/>
        </w:rPr>
      </w:pPr>
      <w:r>
        <w:rPr>
          <w:rFonts w:ascii="Calibri" w:hAnsi="Calibri" w:cs="Arial"/>
        </w:rPr>
        <w:t>To support the different resource partitions discussed in this section</w:t>
      </w:r>
      <w:r w:rsidRPr="004F7571">
        <w:rPr>
          <w:rFonts w:ascii="Calibri" w:hAnsi="Calibri" w:cs="Arial"/>
        </w:rPr>
        <w:t xml:space="preserve"> the network </w:t>
      </w:r>
      <w:r>
        <w:rPr>
          <w:rFonts w:ascii="Calibri" w:hAnsi="Calibri" w:cs="Arial"/>
        </w:rPr>
        <w:t>may utilize</w:t>
      </w:r>
      <w:r w:rsidRPr="004F7571">
        <w:rPr>
          <w:rFonts w:ascii="Calibri" w:hAnsi="Calibri" w:cs="Arial"/>
        </w:rPr>
        <w:t xml:space="preserve"> semi-static TDD UL/DL configuration</w:t>
      </w:r>
      <w:r>
        <w:rPr>
          <w:rFonts w:ascii="Calibri" w:hAnsi="Calibri" w:cs="Arial"/>
        </w:rPr>
        <w:t>s to coordinate between DU functions of different IAB nodes</w:t>
      </w:r>
      <w:r w:rsidR="00901B67">
        <w:rPr>
          <w:rFonts w:ascii="Calibri" w:hAnsi="Calibri" w:cs="Arial"/>
        </w:rPr>
        <w:t xml:space="preserve"> (e.g. using the F1 interface)</w:t>
      </w:r>
      <w:r>
        <w:rPr>
          <w:rFonts w:ascii="Calibri" w:hAnsi="Calibri" w:cs="Arial"/>
        </w:rPr>
        <w:t xml:space="preserve">. However, </w:t>
      </w:r>
      <w:r w:rsidR="001E02F3">
        <w:rPr>
          <w:rFonts w:ascii="Calibri" w:hAnsi="Calibri" w:cs="Arial"/>
        </w:rPr>
        <w:t>more dynamic mechanisms for resource coordination should be studied. For example,</w:t>
      </w:r>
      <w:r w:rsidR="001E02F3" w:rsidRPr="001E02F3">
        <w:rPr>
          <w:rFonts w:ascii="Calibri" w:hAnsi="Calibri" w:cs="Arial"/>
        </w:rPr>
        <w:t xml:space="preserve"> the available DL/UL resources shared between access and backhaul links at a given IAB node may be dynamically optimized, depending on traffic load variations or radio measurements including RSRP or CLI </w:t>
      </w:r>
      <w:r w:rsidR="001E02F3">
        <w:rPr>
          <w:rFonts w:ascii="Calibri" w:hAnsi="Calibri" w:cs="Arial"/>
        </w:rPr>
        <w:t>measurements.</w:t>
      </w:r>
    </w:p>
    <w:p w:rsidR="001E02F3" w:rsidRPr="001E02F3" w:rsidRDefault="009550DA" w:rsidP="001E02F3">
      <w:pPr>
        <w:pStyle w:val="maintext"/>
        <w:ind w:firstLineChars="0" w:firstLine="0"/>
        <w:rPr>
          <w:rFonts w:ascii="Calibri" w:hAnsi="Calibri" w:cs="Arial"/>
        </w:rPr>
      </w:pPr>
      <w:r>
        <w:rPr>
          <w:rFonts w:ascii="Calibri" w:hAnsi="Calibri" w:cs="Arial"/>
        </w:rPr>
        <w:t>Figure 8</w:t>
      </w:r>
      <w:r w:rsidR="001E02F3">
        <w:rPr>
          <w:rFonts w:ascii="Calibri" w:hAnsi="Calibri" w:cs="Arial"/>
        </w:rPr>
        <w:t xml:space="preserve"> gives an example where </w:t>
      </w:r>
      <w:r w:rsidR="001E02F3" w:rsidRPr="001E02F3">
        <w:rPr>
          <w:rFonts w:ascii="Calibri" w:hAnsi="Calibri" w:cs="Arial"/>
        </w:rPr>
        <w:t xml:space="preserve">the DL and UL alternates to ensure the half-duplex constraint is maintained at the IAB node, however during slot t + 1 and slot t + 2, the IAB parent node does not have any DL traffic to schedule (e.g. </w:t>
      </w:r>
      <w:r w:rsidR="001E02F3">
        <w:rPr>
          <w:rFonts w:ascii="Calibri" w:hAnsi="Calibri" w:cs="Arial"/>
        </w:rPr>
        <w:t>for access and backhaul links</w:t>
      </w:r>
      <w:r w:rsidR="001E02F3" w:rsidRPr="001E02F3">
        <w:rPr>
          <w:rFonts w:ascii="Calibri" w:hAnsi="Calibri" w:cs="Arial"/>
        </w:rPr>
        <w:t xml:space="preserve">) for the </w:t>
      </w:r>
      <w:r w:rsidR="001E02F3">
        <w:rPr>
          <w:rFonts w:ascii="Calibri" w:hAnsi="Calibri" w:cs="Arial"/>
        </w:rPr>
        <w:t>child IAB node</w:t>
      </w:r>
      <w:r w:rsidR="001E02F3" w:rsidRPr="001E02F3">
        <w:rPr>
          <w:rFonts w:ascii="Calibri" w:hAnsi="Calibri" w:cs="Arial"/>
        </w:rPr>
        <w:t>. However since the frame structure is semi-statically coordinated, the IAB DU cannot adapt the frame structure to allow DL transmissions (to access UEs or other IAB nodes) since it is not aware of the potential scheduling of the IAB parent node.</w:t>
      </w:r>
    </w:p>
    <w:p w:rsidR="001E02F3" w:rsidRDefault="001E02F3" w:rsidP="001E02F3">
      <w:pPr>
        <w:spacing w:after="160" w:line="259" w:lineRule="auto"/>
        <w:rPr>
          <w:rFonts w:asciiTheme="minorHAnsi" w:hAnsiTheme="minorHAnsi"/>
          <w:color w:val="000000"/>
          <w:sz w:val="22"/>
          <w:szCs w:val="22"/>
        </w:rPr>
      </w:pPr>
      <w:r>
        <w:rPr>
          <w:rFonts w:asciiTheme="minorHAnsi" w:hAnsiTheme="minorHAnsi"/>
          <w:noProof/>
          <w:color w:val="000000"/>
          <w:sz w:val="22"/>
          <w:szCs w:val="22"/>
        </w:rPr>
        <w:drawing>
          <wp:inline distT="0" distB="0" distL="0" distR="0" wp14:anchorId="2A805780">
            <wp:extent cx="6394817" cy="20383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03606" cy="2041151"/>
                    </a:xfrm>
                    <a:prstGeom prst="rect">
                      <a:avLst/>
                    </a:prstGeom>
                    <a:noFill/>
                  </pic:spPr>
                </pic:pic>
              </a:graphicData>
            </a:graphic>
          </wp:inline>
        </w:drawing>
      </w:r>
    </w:p>
    <w:p w:rsidR="001E02F3" w:rsidRPr="001E02F3" w:rsidRDefault="001E02F3" w:rsidP="001E02F3">
      <w:pPr>
        <w:pStyle w:val="Caption"/>
        <w:ind w:left="720"/>
        <w:rPr>
          <w:rFonts w:ascii="Calibri" w:hAnsi="Calibri"/>
        </w:rPr>
      </w:pPr>
      <w:r w:rsidRPr="001E02F3">
        <w:rPr>
          <w:rFonts w:ascii="Calibri" w:hAnsi="Calibri"/>
        </w:rPr>
        <w:t xml:space="preserve">Figure </w:t>
      </w:r>
      <w:r w:rsidR="009550DA">
        <w:rPr>
          <w:rFonts w:ascii="Calibri" w:hAnsi="Calibri"/>
        </w:rPr>
        <w:t>8</w:t>
      </w:r>
      <w:r w:rsidRPr="001E02F3">
        <w:rPr>
          <w:rFonts w:ascii="Calibri" w:hAnsi="Calibri"/>
        </w:rPr>
        <w:t>: IAB frame structure without coordination</w:t>
      </w:r>
    </w:p>
    <w:p w:rsidR="001E02F3" w:rsidRDefault="001E02F3" w:rsidP="001E02F3">
      <w:pPr>
        <w:pStyle w:val="maintext"/>
        <w:ind w:firstLineChars="0" w:firstLine="0"/>
        <w:rPr>
          <w:rFonts w:ascii="Calibri" w:hAnsi="Calibri" w:cs="Arial"/>
        </w:rPr>
      </w:pPr>
      <w:r w:rsidRPr="001E02F3">
        <w:rPr>
          <w:rFonts w:ascii="Calibri" w:hAnsi="Calibri" w:cs="Arial"/>
        </w:rPr>
        <w:t xml:space="preserve">However, if the IAB parent and IAB node can perform dynamic frame structure coordination (DFSC), the parent node can indicate to the IAB MT function that a set of resources are available or released, overriding the semi-statically coordinated and configured DL/UL resource pattern. The IAB </w:t>
      </w:r>
      <w:r>
        <w:rPr>
          <w:rFonts w:ascii="Calibri" w:hAnsi="Calibri" w:cs="Arial"/>
        </w:rPr>
        <w:t>node can internally determine</w:t>
      </w:r>
      <w:r w:rsidRPr="001E02F3">
        <w:rPr>
          <w:rFonts w:ascii="Calibri" w:hAnsi="Calibri" w:cs="Arial"/>
        </w:rPr>
        <w:t xml:space="preserve"> </w:t>
      </w:r>
      <w:r>
        <w:rPr>
          <w:rFonts w:ascii="Calibri" w:hAnsi="Calibri" w:cs="Arial"/>
        </w:rPr>
        <w:t xml:space="preserve">whether to </w:t>
      </w:r>
      <w:r w:rsidRPr="001E02F3">
        <w:rPr>
          <w:rFonts w:ascii="Calibri" w:hAnsi="Calibri" w:cs="Arial"/>
        </w:rPr>
        <w:t>utilize those</w:t>
      </w:r>
      <w:r>
        <w:rPr>
          <w:rFonts w:ascii="Calibri" w:hAnsi="Calibri" w:cs="Arial"/>
        </w:rPr>
        <w:t xml:space="preserve"> newly available resources</w:t>
      </w:r>
      <w:r w:rsidRPr="001E02F3">
        <w:rPr>
          <w:rFonts w:ascii="Calibri" w:hAnsi="Calibri" w:cs="Arial"/>
        </w:rPr>
        <w:t xml:space="preserve">. Figure </w:t>
      </w:r>
      <w:r w:rsidR="00FC3DE0">
        <w:rPr>
          <w:rFonts w:ascii="Calibri" w:hAnsi="Calibri" w:cs="Arial"/>
        </w:rPr>
        <w:t>9</w:t>
      </w:r>
      <w:r w:rsidRPr="001E02F3">
        <w:rPr>
          <w:rFonts w:ascii="Calibri" w:hAnsi="Calibri" w:cs="Arial"/>
        </w:rPr>
        <w:t xml:space="preserve"> gives an example of DFSC signalling and coordination, where at the beginning of the DL portion of slot t + 1 the IAB parent node indicates that the remaining DL resources in slot t + 1 and slot t + 2 are available for usage by the IAB DU for DL transmissions instead of UL </w:t>
      </w:r>
      <w:r>
        <w:rPr>
          <w:rFonts w:ascii="Calibri" w:hAnsi="Calibri" w:cs="Arial"/>
        </w:rPr>
        <w:t>taking into account</w:t>
      </w:r>
      <w:r w:rsidRPr="001E02F3">
        <w:rPr>
          <w:rFonts w:ascii="Calibri" w:hAnsi="Calibri" w:cs="Arial"/>
        </w:rPr>
        <w:t xml:space="preserve"> </w:t>
      </w:r>
      <w:r>
        <w:rPr>
          <w:rFonts w:ascii="Calibri" w:hAnsi="Calibri" w:cs="Arial"/>
        </w:rPr>
        <w:t>delays associated with</w:t>
      </w:r>
      <w:r w:rsidRPr="001E02F3">
        <w:rPr>
          <w:rFonts w:ascii="Calibri" w:hAnsi="Calibri" w:cs="Arial"/>
        </w:rPr>
        <w:t xml:space="preserve"> the reception processing time at the IAB </w:t>
      </w:r>
      <w:r>
        <w:rPr>
          <w:rFonts w:ascii="Calibri" w:hAnsi="Calibri" w:cs="Arial"/>
        </w:rPr>
        <w:t>node’s MT</w:t>
      </w:r>
      <w:r w:rsidRPr="001E02F3">
        <w:rPr>
          <w:rFonts w:ascii="Calibri" w:hAnsi="Calibri" w:cs="Arial"/>
        </w:rPr>
        <w:t xml:space="preserve"> and scheduling processing time at the IAB</w:t>
      </w:r>
      <w:r>
        <w:rPr>
          <w:rFonts w:ascii="Calibri" w:hAnsi="Calibri" w:cs="Arial"/>
        </w:rPr>
        <w:t xml:space="preserve"> node’s</w:t>
      </w:r>
      <w:r w:rsidRPr="001E02F3">
        <w:rPr>
          <w:rFonts w:ascii="Calibri" w:hAnsi="Calibri" w:cs="Arial"/>
        </w:rPr>
        <w:t xml:space="preserve"> DU.</w:t>
      </w:r>
    </w:p>
    <w:p w:rsidR="00872D80" w:rsidRDefault="00872D80" w:rsidP="001E02F3">
      <w:pPr>
        <w:pStyle w:val="maintext"/>
        <w:ind w:firstLineChars="0" w:firstLine="0"/>
        <w:rPr>
          <w:rFonts w:ascii="Calibri" w:hAnsi="Calibri" w:cs="Arial"/>
        </w:rPr>
      </w:pPr>
      <w:r>
        <w:rPr>
          <w:rFonts w:ascii="Calibri" w:hAnsi="Calibri" w:cs="Arial"/>
        </w:rPr>
        <w:t>While the configuration of the “hard” DL/UL/Flexible resources is performed in a semi-static manner using F1/RRC signalling for the DU and MT respectively, in order to perform DFSC, existing Rel.15 signalling mechanisms can be used, namely the use of the GC-PDCCH to indicate the slot format(s) which can be used in the case of soft resources. In addition, potentially new slot formats can be defined in Rel.16 which can be optimized for TDM/SDM multiplexing of access and backhaul links.</w:t>
      </w:r>
    </w:p>
    <w:p w:rsidR="00A72B33" w:rsidRDefault="00A72B33" w:rsidP="00A72B33">
      <w:pPr>
        <w:pStyle w:val="maintext"/>
        <w:ind w:firstLineChars="0" w:firstLine="0"/>
        <w:rPr>
          <w:rFonts w:ascii="Calibri" w:hAnsi="Calibri"/>
          <w:b/>
        </w:rPr>
      </w:pPr>
      <w:r w:rsidRPr="00057E9B">
        <w:rPr>
          <w:rFonts w:ascii="Calibri" w:hAnsi="Calibri"/>
          <w:b/>
        </w:rPr>
        <w:t xml:space="preserve">Proposal </w:t>
      </w:r>
      <w:r w:rsidR="00CE1FF5">
        <w:rPr>
          <w:rFonts w:ascii="Calibri" w:hAnsi="Calibri"/>
          <w:b/>
        </w:rPr>
        <w:t>7</w:t>
      </w:r>
      <w:r w:rsidRPr="00057E9B">
        <w:rPr>
          <w:rFonts w:ascii="Calibri" w:hAnsi="Calibri"/>
          <w:b/>
        </w:rPr>
        <w:t xml:space="preserve">: </w:t>
      </w:r>
      <w:r>
        <w:rPr>
          <w:rFonts w:ascii="Calibri" w:hAnsi="Calibri"/>
          <w:b/>
        </w:rPr>
        <w:t>IAB should support dynamic frame structure coordination by using GC-PDCCH signalling from the parent IAB node to the child IAB node to indicate existing Rel.15 slot formats and potentially newly defined Rel.16 slot formats which are optimized for TDM/SDM multiplexing of access and backhaul links.</w:t>
      </w:r>
    </w:p>
    <w:p w:rsidR="001E02F3" w:rsidRPr="001E02F3" w:rsidRDefault="00886940" w:rsidP="001E02F3">
      <w:pPr>
        <w:pStyle w:val="maintext"/>
        <w:ind w:firstLineChars="0" w:firstLine="0"/>
        <w:rPr>
          <w:rFonts w:ascii="Calibri" w:hAnsi="Calibri" w:cs="Arial"/>
        </w:rPr>
      </w:pPr>
      <w:r>
        <w:rPr>
          <w:rFonts w:ascii="Calibri" w:hAnsi="Calibri" w:cs="Arial"/>
          <w:noProof/>
          <w:lang w:val="en-US" w:eastAsia="en-US"/>
        </w:rPr>
        <w:lastRenderedPageBreak/>
        <w:drawing>
          <wp:inline distT="0" distB="0" distL="0" distR="0" wp14:anchorId="3C6607BD">
            <wp:extent cx="6316652" cy="1968275"/>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4175" cy="1973735"/>
                    </a:xfrm>
                    <a:prstGeom prst="rect">
                      <a:avLst/>
                    </a:prstGeom>
                    <a:noFill/>
                  </pic:spPr>
                </pic:pic>
              </a:graphicData>
            </a:graphic>
          </wp:inline>
        </w:drawing>
      </w:r>
    </w:p>
    <w:p w:rsidR="00886940" w:rsidRPr="00886940" w:rsidRDefault="00886940" w:rsidP="00886940">
      <w:pPr>
        <w:pStyle w:val="Caption"/>
        <w:ind w:left="720"/>
        <w:rPr>
          <w:rFonts w:ascii="Calibri" w:hAnsi="Calibri"/>
        </w:rPr>
      </w:pPr>
      <w:r w:rsidRPr="00886940">
        <w:rPr>
          <w:rFonts w:ascii="Calibri" w:hAnsi="Calibri"/>
        </w:rPr>
        <w:t xml:space="preserve">Figure </w:t>
      </w:r>
      <w:r w:rsidR="009550DA">
        <w:rPr>
          <w:rFonts w:ascii="Calibri" w:hAnsi="Calibri"/>
        </w:rPr>
        <w:t>9</w:t>
      </w:r>
      <w:r w:rsidRPr="00886940">
        <w:rPr>
          <w:rFonts w:ascii="Calibri" w:hAnsi="Calibri"/>
        </w:rPr>
        <w:t>: IAB frame structure with dynamic coordination</w:t>
      </w:r>
    </w:p>
    <w:p w:rsidR="00004522" w:rsidRDefault="00004522" w:rsidP="004C6DC3">
      <w:pPr>
        <w:pStyle w:val="maintext"/>
        <w:ind w:firstLineChars="0" w:firstLine="0"/>
        <w:rPr>
          <w:rFonts w:ascii="Calibri" w:hAnsi="Calibri"/>
          <w:b/>
        </w:rPr>
      </w:pPr>
    </w:p>
    <w:p w:rsidR="00287D4D" w:rsidRDefault="00287D4D" w:rsidP="00287D4D">
      <w:pPr>
        <w:pStyle w:val="Heading2"/>
      </w:pPr>
      <w:r>
        <w:t>Timing alignment for IAB</w:t>
      </w:r>
    </w:p>
    <w:p w:rsidR="00512838" w:rsidRDefault="00512838" w:rsidP="00512838">
      <w:pPr>
        <w:spacing w:before="0" w:after="0" w:line="288" w:lineRule="auto"/>
        <w:rPr>
          <w:rFonts w:ascii="Calibri" w:hAnsi="Calibri"/>
          <w:color w:val="000000"/>
          <w:kern w:val="24"/>
        </w:rPr>
      </w:pPr>
      <w:r w:rsidRPr="00F35DD7">
        <w:rPr>
          <w:rFonts w:ascii="Calibri" w:hAnsi="Calibri"/>
          <w:color w:val="000000"/>
          <w:kern w:val="24"/>
        </w:rPr>
        <w:t xml:space="preserve">One of the key requirements of NR when operating in TDD band is the synchronization and symbol level alignment of the DL across all the gNB DUs. For IAB the relay DUs do not have any wired backhaul, therefore they must derive their timing synchronization over the air. </w:t>
      </w:r>
    </w:p>
    <w:p w:rsidR="00512838" w:rsidRDefault="00512838" w:rsidP="00512838">
      <w:pPr>
        <w:spacing w:before="0" w:after="0" w:line="288" w:lineRule="auto"/>
        <w:rPr>
          <w:rFonts w:ascii="Calibri" w:hAnsi="Calibri"/>
          <w:color w:val="000000"/>
          <w:kern w:val="24"/>
        </w:rPr>
      </w:pPr>
    </w:p>
    <w:p w:rsidR="00512838" w:rsidRDefault="00287D4D" w:rsidP="00512838">
      <w:pPr>
        <w:rPr>
          <w:rFonts w:ascii="Times New Roman" w:eastAsia="Yu Mincho" w:hAnsi="Times New Roman"/>
        </w:rPr>
      </w:pPr>
      <w:r>
        <w:rPr>
          <w:rFonts w:ascii="Times New Roman" w:eastAsia="Yu Mincho" w:hAnsi="Times New Roman"/>
        </w:rPr>
        <w:t>D</w:t>
      </w:r>
      <w:r w:rsidR="00512838">
        <w:rPr>
          <w:rFonts w:ascii="Times New Roman" w:eastAsia="Yu Mincho" w:hAnsi="Times New Roman"/>
        </w:rPr>
        <w:t>uring RAN1#94</w:t>
      </w:r>
      <w:r>
        <w:rPr>
          <w:rFonts w:ascii="Times New Roman" w:eastAsia="Yu Mincho" w:hAnsi="Times New Roman"/>
        </w:rPr>
        <w:t>bis</w:t>
      </w:r>
      <w:r w:rsidR="00512838">
        <w:rPr>
          <w:rFonts w:ascii="Times New Roman" w:eastAsia="Yu Mincho" w:hAnsi="Times New Roman"/>
        </w:rPr>
        <w:t xml:space="preserve"> the following agreements were made:</w:t>
      </w:r>
    </w:p>
    <w:p w:rsidR="00287D4D" w:rsidRPr="00565FB6" w:rsidRDefault="00287D4D" w:rsidP="00287D4D">
      <w:pPr>
        <w:rPr>
          <w:rFonts w:ascii="Times New Roman" w:hAnsi="Times New Roman"/>
          <w:lang w:eastAsia="x-none"/>
        </w:rPr>
      </w:pPr>
      <w:r w:rsidRPr="00565FB6">
        <w:rPr>
          <w:rFonts w:ascii="Times New Roman" w:hAnsi="Times New Roman"/>
          <w:highlight w:val="green"/>
          <w:lang w:eastAsia="x-none"/>
        </w:rPr>
        <w:t>Agreements</w:t>
      </w:r>
      <w:r w:rsidRPr="00565FB6">
        <w:rPr>
          <w:rFonts w:ascii="Times New Roman" w:hAnsi="Times New Roman"/>
          <w:lang w:eastAsia="x-none"/>
        </w:rPr>
        <w:t>:</w:t>
      </w:r>
    </w:p>
    <w:p w:rsidR="00287D4D" w:rsidRPr="00565FB6" w:rsidRDefault="00287D4D" w:rsidP="00287D4D">
      <w:pPr>
        <w:numPr>
          <w:ilvl w:val="0"/>
          <w:numId w:val="16"/>
        </w:numPr>
        <w:spacing w:before="0" w:after="0"/>
        <w:jc w:val="left"/>
        <w:rPr>
          <w:rFonts w:ascii="Times New Roman" w:eastAsia="MS Mincho" w:hAnsi="Times New Roman"/>
          <w:iCs/>
          <w:color w:val="0D0D0D"/>
          <w:lang w:eastAsia="x-none"/>
        </w:rPr>
      </w:pPr>
      <w:r w:rsidRPr="00565FB6">
        <w:rPr>
          <w:rFonts w:ascii="Times New Roman" w:hAnsi="Times New Roman"/>
          <w:iCs/>
          <w:color w:val="0D0D0D"/>
        </w:rPr>
        <w:t xml:space="preserve">For </w:t>
      </w:r>
      <w:r w:rsidRPr="00565FB6">
        <w:rPr>
          <w:rFonts w:ascii="Times New Roman" w:eastAsia="MS Mincho" w:hAnsi="Times New Roman"/>
          <w:iCs/>
          <w:color w:val="0D0D0D"/>
          <w:lang w:eastAsia="x-none"/>
        </w:rPr>
        <w:t>Timing and Synchronization</w:t>
      </w:r>
    </w:p>
    <w:p w:rsidR="00287D4D" w:rsidRPr="00565FB6" w:rsidRDefault="00287D4D" w:rsidP="00287D4D">
      <w:pPr>
        <w:pStyle w:val="3GPPNormalText"/>
        <w:numPr>
          <w:ilvl w:val="1"/>
          <w:numId w:val="16"/>
        </w:numPr>
        <w:spacing w:line="259" w:lineRule="auto"/>
        <w:rPr>
          <w:iCs/>
          <w:color w:val="0D0D0D"/>
          <w:sz w:val="20"/>
          <w:szCs w:val="20"/>
          <w:lang w:val="en-GB"/>
        </w:rPr>
      </w:pPr>
      <w:r w:rsidRPr="00565FB6">
        <w:rPr>
          <w:iCs/>
          <w:color w:val="0D0D0D"/>
          <w:sz w:val="20"/>
          <w:szCs w:val="20"/>
          <w:lang w:val="en-GB"/>
        </w:rPr>
        <w:t>For case #1 &amp; case #7, if DL TX and UL RX are not well aligned at the parent node, additional information about the alignment is needed for the child node to properly set its DL TX timing for OTA based timing &amp; synchronization</w:t>
      </w:r>
    </w:p>
    <w:p w:rsidR="00287D4D" w:rsidRPr="00565FB6" w:rsidRDefault="00287D4D" w:rsidP="00287D4D">
      <w:pPr>
        <w:pStyle w:val="3GPPNormalText"/>
        <w:numPr>
          <w:ilvl w:val="1"/>
          <w:numId w:val="16"/>
        </w:numPr>
        <w:spacing w:line="259" w:lineRule="auto"/>
        <w:rPr>
          <w:iCs/>
          <w:color w:val="0D0D0D"/>
          <w:sz w:val="20"/>
          <w:szCs w:val="20"/>
          <w:lang w:val="en-GB"/>
        </w:rPr>
      </w:pPr>
      <w:r w:rsidRPr="00565FB6">
        <w:rPr>
          <w:color w:val="0D0D0D"/>
          <w:sz w:val="20"/>
          <w:szCs w:val="20"/>
        </w:rPr>
        <w:t>Case #7 to be supported if and only if compatible with release 15 Ues</w:t>
      </w:r>
    </w:p>
    <w:p w:rsidR="00287D4D" w:rsidRPr="00565FB6" w:rsidRDefault="00287D4D" w:rsidP="00287D4D">
      <w:pPr>
        <w:pStyle w:val="3GPPNormalText"/>
        <w:numPr>
          <w:ilvl w:val="2"/>
          <w:numId w:val="16"/>
        </w:numPr>
        <w:spacing w:line="259" w:lineRule="auto"/>
        <w:rPr>
          <w:iCs/>
          <w:color w:val="0D0D0D"/>
          <w:sz w:val="20"/>
          <w:szCs w:val="20"/>
          <w:lang w:val="en-GB"/>
        </w:rPr>
      </w:pPr>
      <w:r w:rsidRPr="00565FB6">
        <w:rPr>
          <w:iCs/>
          <w:color w:val="0D0D0D"/>
          <w:sz w:val="20"/>
          <w:szCs w:val="20"/>
          <w:lang w:val="en-GB"/>
        </w:rPr>
        <w:t>Further check w.r.t. compatibility</w:t>
      </w:r>
    </w:p>
    <w:p w:rsidR="00287D4D" w:rsidRPr="00565FB6" w:rsidRDefault="00287D4D" w:rsidP="00287D4D">
      <w:pPr>
        <w:pStyle w:val="3GPPNormalText"/>
        <w:numPr>
          <w:ilvl w:val="1"/>
          <w:numId w:val="16"/>
        </w:numPr>
        <w:spacing w:line="259" w:lineRule="auto"/>
        <w:rPr>
          <w:iCs/>
          <w:color w:val="0D0D0D"/>
          <w:sz w:val="20"/>
          <w:szCs w:val="20"/>
        </w:rPr>
      </w:pPr>
      <w:r w:rsidRPr="00565FB6">
        <w:rPr>
          <w:iCs/>
          <w:color w:val="0D0D0D"/>
          <w:sz w:val="20"/>
          <w:szCs w:val="20"/>
        </w:rPr>
        <w:t>Support of case #6 is FFS</w:t>
      </w:r>
    </w:p>
    <w:p w:rsidR="00287D4D" w:rsidRDefault="00287D4D" w:rsidP="00287D4D">
      <w:pPr>
        <w:pStyle w:val="3GPPNormalText"/>
        <w:numPr>
          <w:ilvl w:val="1"/>
          <w:numId w:val="16"/>
        </w:numPr>
        <w:spacing w:line="259" w:lineRule="auto"/>
        <w:rPr>
          <w:iCs/>
          <w:color w:val="0D0D0D"/>
          <w:sz w:val="20"/>
          <w:szCs w:val="20"/>
        </w:rPr>
      </w:pPr>
      <w:r w:rsidRPr="00565FB6">
        <w:rPr>
          <w:iCs/>
          <w:color w:val="0D0D0D"/>
          <w:sz w:val="20"/>
          <w:szCs w:val="20"/>
        </w:rPr>
        <w:t>No other cases are supported</w:t>
      </w:r>
    </w:p>
    <w:p w:rsidR="00512838" w:rsidRPr="00512838" w:rsidRDefault="00512838" w:rsidP="00512838">
      <w:pPr>
        <w:rPr>
          <w:rFonts w:ascii="Times New Roman" w:eastAsia="Yu Mincho" w:hAnsi="Times New Roman"/>
        </w:rPr>
      </w:pPr>
    </w:p>
    <w:p w:rsidR="001279BC" w:rsidRDefault="00C534CA" w:rsidP="00B55FA2">
      <w:pPr>
        <w:pStyle w:val="maintext"/>
        <w:ind w:firstLineChars="0" w:firstLine="0"/>
        <w:rPr>
          <w:rFonts w:ascii="Calibri" w:hAnsi="Calibri"/>
        </w:rPr>
      </w:pPr>
      <w:r>
        <w:rPr>
          <w:rFonts w:ascii="Calibri" w:hAnsi="Calibri"/>
        </w:rPr>
        <w:t>Figure 1</w:t>
      </w:r>
      <w:r w:rsidR="00287D4D">
        <w:rPr>
          <w:rFonts w:ascii="Calibri" w:hAnsi="Calibri"/>
        </w:rPr>
        <w:t>0</w:t>
      </w:r>
      <w:r>
        <w:rPr>
          <w:rFonts w:ascii="Calibri" w:hAnsi="Calibri"/>
        </w:rPr>
        <w:t>,</w:t>
      </w:r>
      <w:r w:rsidR="00C261F4">
        <w:rPr>
          <w:rFonts w:ascii="Calibri" w:hAnsi="Calibri"/>
        </w:rPr>
        <w:t xml:space="preserve"> illustrates an example of Case #7</w:t>
      </w:r>
      <w:r>
        <w:rPr>
          <w:rFonts w:ascii="Calibri" w:hAnsi="Calibri"/>
        </w:rPr>
        <w:t xml:space="preserve"> </w:t>
      </w:r>
      <w:r w:rsidR="00C261F4">
        <w:rPr>
          <w:rFonts w:ascii="Calibri" w:hAnsi="Calibri"/>
        </w:rPr>
        <w:t xml:space="preserve">where </w:t>
      </w:r>
      <w:r>
        <w:rPr>
          <w:rFonts w:ascii="Calibri" w:hAnsi="Calibri"/>
        </w:rPr>
        <w:t>in slot index #0, hop order N+</w:t>
      </w:r>
      <w:r w:rsidR="00C261F4">
        <w:rPr>
          <w:rFonts w:ascii="Calibri" w:hAnsi="Calibri"/>
        </w:rPr>
        <w:t>1</w:t>
      </w:r>
      <w:r>
        <w:rPr>
          <w:rFonts w:ascii="Calibri" w:hAnsi="Calibri"/>
        </w:rPr>
        <w:t xml:space="preserve"> aligns its uplink transmission from hop order N+2 with the downlink reception timing of hop order N</w:t>
      </w:r>
      <w:r w:rsidR="00713175">
        <w:rPr>
          <w:rFonts w:ascii="Calibri" w:hAnsi="Calibri"/>
        </w:rPr>
        <w:t xml:space="preserve"> using a negative offset to the TA value</w:t>
      </w:r>
      <w:r>
        <w:rPr>
          <w:rFonts w:ascii="Calibri" w:hAnsi="Calibri"/>
        </w:rPr>
        <w:t>.</w:t>
      </w:r>
      <w:r w:rsidR="000440EF">
        <w:rPr>
          <w:rFonts w:ascii="Calibri" w:hAnsi="Calibri"/>
        </w:rPr>
        <w:t xml:space="preserve"> It can then receive both transmissions in a synchronized manner allowing for both FDM and SDM of the both transmissions. </w:t>
      </w:r>
      <w:r w:rsidR="00C261F4">
        <w:rPr>
          <w:rFonts w:ascii="Calibri" w:hAnsi="Calibri"/>
        </w:rPr>
        <w:t>However</w:t>
      </w:r>
      <w:r w:rsidR="000440EF">
        <w:rPr>
          <w:rFonts w:ascii="Calibri" w:hAnsi="Calibri"/>
        </w:rPr>
        <w:t xml:space="preserve">, hop order N+2 </w:t>
      </w:r>
      <w:r w:rsidR="00C261F4">
        <w:rPr>
          <w:rFonts w:ascii="Calibri" w:hAnsi="Calibri"/>
        </w:rPr>
        <w:t>needs to</w:t>
      </w:r>
      <w:r w:rsidR="000440EF">
        <w:rPr>
          <w:rFonts w:ascii="Calibri" w:hAnsi="Calibri"/>
        </w:rPr>
        <w:t xml:space="preserve"> align its downlink transmission timing with that of hop order N</w:t>
      </w:r>
      <w:r w:rsidR="00C261F4">
        <w:rPr>
          <w:rFonts w:ascii="Calibri" w:hAnsi="Calibri"/>
        </w:rPr>
        <w:t>, requiring</w:t>
      </w:r>
      <w:r w:rsidR="00B55FA2">
        <w:rPr>
          <w:rFonts w:ascii="Calibri" w:hAnsi="Calibri"/>
        </w:rPr>
        <w:t xml:space="preserve"> additional gaps </w:t>
      </w:r>
      <w:r w:rsidR="00C261F4">
        <w:rPr>
          <w:rFonts w:ascii="Calibri" w:hAnsi="Calibri"/>
        </w:rPr>
        <w:t>(e.g. truncated DL or UL transmissions in the previous slot</w:t>
      </w:r>
      <w:r w:rsidR="00A21D13">
        <w:rPr>
          <w:rFonts w:ascii="Calibri" w:hAnsi="Calibri"/>
        </w:rPr>
        <w:t xml:space="preserve"> using</w:t>
      </w:r>
      <w:r w:rsidR="00C261F4">
        <w:rPr>
          <w:rFonts w:ascii="Calibri" w:hAnsi="Calibri"/>
        </w:rPr>
        <w:t xml:space="preserve">) </w:t>
      </w:r>
      <w:r w:rsidR="00B55FA2">
        <w:rPr>
          <w:rFonts w:ascii="Calibri" w:hAnsi="Calibri"/>
        </w:rPr>
        <w:t>to be configured in the frame structure because transmissions are shifted with respect to each other by the difference of the propagation delays between hop orders</w:t>
      </w:r>
      <w:r w:rsidR="00C261F4">
        <w:rPr>
          <w:rFonts w:ascii="Calibri" w:hAnsi="Calibri"/>
        </w:rPr>
        <w:t xml:space="preserve"> and sufficient DL/UL switching time needs to be ensured</w:t>
      </w:r>
      <w:r w:rsidR="00713175">
        <w:rPr>
          <w:rFonts w:ascii="Calibri" w:hAnsi="Calibri"/>
        </w:rPr>
        <w:t xml:space="preserve"> along with potentially new larger TA values</w:t>
      </w:r>
      <w:r w:rsidR="00B55FA2">
        <w:rPr>
          <w:rFonts w:ascii="Calibri" w:hAnsi="Calibri"/>
        </w:rPr>
        <w:t xml:space="preserve">. </w:t>
      </w:r>
      <w:r w:rsidR="00A72B33">
        <w:rPr>
          <w:rFonts w:ascii="Calibri" w:hAnsi="Calibri"/>
        </w:rPr>
        <w:t xml:space="preserve">In addition, as can be seen in Figure 10, </w:t>
      </w:r>
      <w:r w:rsidR="00A72B33" w:rsidRPr="00A72B33">
        <w:rPr>
          <w:rFonts w:ascii="Calibri" w:hAnsi="Calibri"/>
        </w:rPr>
        <w:t xml:space="preserve">the DL transmission </w:t>
      </w:r>
      <w:r w:rsidR="00A72B33">
        <w:rPr>
          <w:rFonts w:ascii="Calibri" w:hAnsi="Calibri"/>
        </w:rPr>
        <w:t>and</w:t>
      </w:r>
      <w:r w:rsidR="00A72B33" w:rsidRPr="00A72B33">
        <w:rPr>
          <w:rFonts w:ascii="Calibri" w:hAnsi="Calibri"/>
        </w:rPr>
        <w:t xml:space="preserve"> UL transmission cannot </w:t>
      </w:r>
      <w:r w:rsidR="00A72B33">
        <w:rPr>
          <w:rFonts w:ascii="Calibri" w:hAnsi="Calibri"/>
        </w:rPr>
        <w:t>be aligned for the IAB node of hop order N+2, which implies that separate RF chains for the DU and MT may be required.</w:t>
      </w:r>
    </w:p>
    <w:p w:rsidR="00A72B33" w:rsidRDefault="00A72B33" w:rsidP="00B55FA2">
      <w:pPr>
        <w:pStyle w:val="maintext"/>
        <w:ind w:firstLineChars="0" w:firstLine="0"/>
        <w:rPr>
          <w:rFonts w:ascii="Calibri" w:hAnsi="Calibri"/>
          <w:b/>
        </w:rPr>
      </w:pPr>
      <w:r>
        <w:rPr>
          <w:rFonts w:ascii="Calibri" w:hAnsi="Calibri"/>
          <w:b/>
        </w:rPr>
        <w:t>Observation 3: Support for Case #7 timing requires truncated DL and UL transmissions</w:t>
      </w:r>
      <w:r w:rsidR="00713175">
        <w:rPr>
          <w:rFonts w:ascii="Calibri" w:hAnsi="Calibri"/>
          <w:b/>
        </w:rPr>
        <w:t>, negative TA offsets and larger TA values than currently supported in Rel.15,</w:t>
      </w:r>
      <w:r>
        <w:rPr>
          <w:rFonts w:ascii="Calibri" w:hAnsi="Calibri"/>
          <w:b/>
        </w:rPr>
        <w:t xml:space="preserve"> and potentially separate RF chains for the DU and MT.</w:t>
      </w:r>
    </w:p>
    <w:p w:rsidR="00B55FA2" w:rsidRDefault="00B55FA2" w:rsidP="00B55FA2">
      <w:pPr>
        <w:pStyle w:val="maintext"/>
        <w:ind w:firstLineChars="0" w:firstLine="0"/>
        <w:rPr>
          <w:rFonts w:ascii="Calibri" w:hAnsi="Calibri"/>
          <w:b/>
        </w:rPr>
      </w:pPr>
      <w:r w:rsidRPr="00057E9B">
        <w:rPr>
          <w:rFonts w:ascii="Calibri" w:hAnsi="Calibri"/>
          <w:b/>
        </w:rPr>
        <w:t xml:space="preserve">Proposal </w:t>
      </w:r>
      <w:r w:rsidR="00CE1FF5">
        <w:rPr>
          <w:rFonts w:ascii="Calibri" w:hAnsi="Calibri"/>
          <w:b/>
        </w:rPr>
        <w:t>8</w:t>
      </w:r>
      <w:r w:rsidRPr="00057E9B">
        <w:rPr>
          <w:rFonts w:ascii="Calibri" w:hAnsi="Calibri"/>
          <w:b/>
        </w:rPr>
        <w:t xml:space="preserve">: </w:t>
      </w:r>
      <w:r w:rsidR="00940DAB">
        <w:rPr>
          <w:rFonts w:ascii="Calibri" w:hAnsi="Calibri"/>
          <w:b/>
        </w:rPr>
        <w:t>IAB</w:t>
      </w:r>
      <w:r>
        <w:rPr>
          <w:rFonts w:ascii="Calibri" w:hAnsi="Calibri"/>
          <w:b/>
        </w:rPr>
        <w:t xml:space="preserve"> supports </w:t>
      </w:r>
      <w:r w:rsidRPr="00B55FA2">
        <w:rPr>
          <w:rFonts w:ascii="Calibri" w:hAnsi="Calibri"/>
          <w:b/>
        </w:rPr>
        <w:t xml:space="preserve">Case </w:t>
      </w:r>
      <w:r w:rsidR="00992432">
        <w:rPr>
          <w:rFonts w:ascii="Calibri" w:hAnsi="Calibri"/>
          <w:b/>
        </w:rPr>
        <w:t>7</w:t>
      </w:r>
      <w:r w:rsidR="00A72B33">
        <w:rPr>
          <w:rFonts w:ascii="Calibri" w:hAnsi="Calibri"/>
          <w:b/>
        </w:rPr>
        <w:t xml:space="preserve"> </w:t>
      </w:r>
      <w:r w:rsidR="00713175">
        <w:rPr>
          <w:rFonts w:ascii="Calibri" w:hAnsi="Calibri"/>
          <w:b/>
        </w:rPr>
        <w:t>for IAB MTs and access UEs which support required TA enhancements including negative TA offsets and larger TA values than currently supported in Rel.15.</w:t>
      </w:r>
    </w:p>
    <w:p w:rsidR="00B55FA2" w:rsidRPr="00B55FA2" w:rsidRDefault="00B55FA2" w:rsidP="00B55FA2">
      <w:pPr>
        <w:pStyle w:val="maintext"/>
        <w:ind w:firstLineChars="0" w:firstLine="0"/>
        <w:rPr>
          <w:rFonts w:ascii="Calibri" w:hAnsi="Calibri"/>
        </w:rPr>
      </w:pPr>
    </w:p>
    <w:p w:rsidR="00636F9E" w:rsidRDefault="00A72B33" w:rsidP="001279BC">
      <w:pPr>
        <w:jc w:val="center"/>
      </w:pPr>
      <w:r w:rsidRPr="00A72B33">
        <w:rPr>
          <w:noProof/>
        </w:rPr>
        <w:drawing>
          <wp:inline distT="0" distB="0" distL="0" distR="0">
            <wp:extent cx="6400800" cy="4634335"/>
            <wp:effectExtent l="0" t="0" r="0" b="0"/>
            <wp:docPr id="12" name="Picture 12" descr="C:\Users\novlan\AppData\Local\Microsoft\Windows\Temporary Internet Files\Content.Outlook\RQ7XTUYK\IAB SFI (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novlan\AppData\Local\Microsoft\Windows\Temporary Internet Files\Content.Outlook\RQ7XTUYK\IAB SFI (003).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00800" cy="4634335"/>
                    </a:xfrm>
                    <a:prstGeom prst="rect">
                      <a:avLst/>
                    </a:prstGeom>
                    <a:noFill/>
                    <a:ln>
                      <a:noFill/>
                    </a:ln>
                  </pic:spPr>
                </pic:pic>
              </a:graphicData>
            </a:graphic>
          </wp:inline>
        </w:drawing>
      </w:r>
    </w:p>
    <w:p w:rsidR="00512838" w:rsidRDefault="001279BC" w:rsidP="00B55FA2">
      <w:pPr>
        <w:spacing w:before="0" w:after="0" w:line="288" w:lineRule="auto"/>
        <w:jc w:val="center"/>
        <w:rPr>
          <w:rFonts w:ascii="Calibri" w:hAnsi="Calibri"/>
          <w:b/>
          <w:color w:val="000000"/>
          <w:kern w:val="24"/>
        </w:rPr>
      </w:pPr>
      <w:r w:rsidRPr="00287D4D">
        <w:rPr>
          <w:rFonts w:ascii="Calibri" w:hAnsi="Calibri"/>
          <w:b/>
          <w:color w:val="000000"/>
          <w:kern w:val="24"/>
        </w:rPr>
        <w:t>Figure</w:t>
      </w:r>
      <w:r w:rsidR="002B6E52" w:rsidRPr="00287D4D">
        <w:rPr>
          <w:rFonts w:ascii="Calibri" w:hAnsi="Calibri"/>
          <w:b/>
          <w:color w:val="000000"/>
          <w:kern w:val="24"/>
        </w:rPr>
        <w:t xml:space="preserve"> 1</w:t>
      </w:r>
      <w:r w:rsidR="00287D4D" w:rsidRPr="00287D4D">
        <w:rPr>
          <w:rFonts w:ascii="Calibri" w:hAnsi="Calibri"/>
          <w:b/>
          <w:color w:val="000000"/>
          <w:kern w:val="24"/>
        </w:rPr>
        <w:t>0</w:t>
      </w:r>
      <w:r w:rsidRPr="00287D4D">
        <w:rPr>
          <w:rFonts w:ascii="Calibri" w:hAnsi="Calibri"/>
          <w:b/>
          <w:color w:val="000000"/>
          <w:kern w:val="24"/>
        </w:rPr>
        <w:t xml:space="preserve">: Example </w:t>
      </w:r>
      <w:r w:rsidR="00287D4D" w:rsidRPr="00287D4D">
        <w:rPr>
          <w:rFonts w:ascii="Calibri" w:hAnsi="Calibri"/>
          <w:b/>
          <w:color w:val="000000"/>
          <w:kern w:val="24"/>
        </w:rPr>
        <w:t>frame structure under Case #7 timing alignment</w:t>
      </w:r>
    </w:p>
    <w:p w:rsidR="00992432" w:rsidRPr="00287D4D" w:rsidRDefault="00992432" w:rsidP="00B55FA2">
      <w:pPr>
        <w:spacing w:before="0" w:after="0" w:line="288" w:lineRule="auto"/>
        <w:jc w:val="center"/>
        <w:rPr>
          <w:rFonts w:ascii="Calibri" w:hAnsi="Calibri"/>
          <w:b/>
          <w:color w:val="000000"/>
          <w:kern w:val="24"/>
        </w:rPr>
      </w:pPr>
    </w:p>
    <w:p w:rsidR="00C724F1" w:rsidRDefault="00C724F1" w:rsidP="00C724F1">
      <w:pPr>
        <w:pStyle w:val="Heading2"/>
      </w:pPr>
      <w:r>
        <w:t>Cross-link Interference Considerations</w:t>
      </w:r>
    </w:p>
    <w:p w:rsidR="005666A4" w:rsidRPr="004C130E" w:rsidRDefault="005666A4" w:rsidP="00710F58">
      <w:pPr>
        <w:spacing w:before="0" w:after="0" w:line="288" w:lineRule="auto"/>
        <w:jc w:val="left"/>
        <w:rPr>
          <w:rFonts w:ascii="Calibri" w:hAnsi="Calibri"/>
          <w:color w:val="000000"/>
          <w:kern w:val="24"/>
        </w:rPr>
      </w:pPr>
    </w:p>
    <w:p w:rsidR="00A300E0" w:rsidRPr="004709B7" w:rsidRDefault="00F463C9" w:rsidP="004709B7">
      <w:pPr>
        <w:pStyle w:val="maintext"/>
        <w:ind w:firstLineChars="0" w:firstLine="0"/>
        <w:rPr>
          <w:rFonts w:ascii="Calibri" w:hAnsi="Calibri" w:cs="Arial"/>
        </w:rPr>
      </w:pPr>
      <w:r w:rsidRPr="004709B7">
        <w:rPr>
          <w:rFonts w:ascii="Calibri" w:hAnsi="Calibri" w:cs="Arial"/>
        </w:rPr>
        <w:t xml:space="preserve">As captured in TR 38.874 Section 7.5, the impact of cross-link interference (CLI) on access and backhaul links (including across multiple hops) should be studied, along with interference measurement and management solutions.  </w:t>
      </w:r>
    </w:p>
    <w:p w:rsidR="00A300E0" w:rsidRPr="004709B7" w:rsidRDefault="004709B7" w:rsidP="004709B7">
      <w:pPr>
        <w:pStyle w:val="maintext"/>
        <w:ind w:firstLineChars="0" w:firstLine="0"/>
        <w:rPr>
          <w:rFonts w:ascii="Calibri" w:hAnsi="Calibri" w:cs="Arial"/>
        </w:rPr>
      </w:pPr>
      <w:r w:rsidRPr="004709B7">
        <w:rPr>
          <w:rFonts w:ascii="Calibri" w:hAnsi="Calibri" w:cs="Arial"/>
        </w:rPr>
        <w:t>In addition to the time scale of CLI measurements (short term and long term measurements), a</w:t>
      </w:r>
      <w:r w:rsidR="00A300E0" w:rsidRPr="004709B7">
        <w:rPr>
          <w:rFonts w:ascii="Calibri" w:hAnsi="Calibri" w:cs="Arial"/>
        </w:rPr>
        <w:t xml:space="preserve">nother important aspect of CLI measurements is what the measurements actually consist of, in terms of content. If CLI is simply indicated by the measured power or there are more sophisticated measurement metrics provided in the CLI. In addition to the interference power, CLI measurement can include components such as load information, angle of arrival measurements, and multi-antenna based measurements. Load measurement is a critical entity that determines effective CLI, in addition to coupling. This is especially important in a dynamic interference environment such as IAB. Differential Angle of arrival measurements also allows mitigating interference relative to the receiver antenna panel. Furthermore, including multi-antenna processing related information allows a better assessment and indication of the effective CLI, as it takes into account the use of beamforming techniques at the transmitter and receiver that alters the effect of CLI. </w:t>
      </w:r>
    </w:p>
    <w:p w:rsidR="002F4C25" w:rsidRDefault="00070728" w:rsidP="00070728">
      <w:pPr>
        <w:pStyle w:val="maintext"/>
        <w:ind w:firstLineChars="0" w:firstLine="0"/>
        <w:rPr>
          <w:rFonts w:ascii="Calibri" w:hAnsi="Calibri" w:cs="Arial"/>
        </w:rPr>
      </w:pPr>
      <w:r>
        <w:rPr>
          <w:rFonts w:ascii="Calibri" w:hAnsi="Calibri" w:cs="Arial"/>
        </w:rPr>
        <w:t>Furthermore, b</w:t>
      </w:r>
      <w:r w:rsidR="00714CA5">
        <w:rPr>
          <w:rFonts w:ascii="Calibri" w:hAnsi="Calibri" w:cs="Arial"/>
        </w:rPr>
        <w:t xml:space="preserve">eam management framework that takes into account interference measurement, such that the Tx and Rx beams are chosen </w:t>
      </w:r>
      <w:r>
        <w:rPr>
          <w:rFonts w:ascii="Calibri" w:hAnsi="Calibri" w:cs="Arial"/>
        </w:rPr>
        <w:t xml:space="preserve">based on an SINR metric </w:t>
      </w:r>
      <w:r w:rsidR="00714CA5">
        <w:rPr>
          <w:rFonts w:ascii="Calibri" w:hAnsi="Calibri" w:cs="Arial"/>
        </w:rPr>
        <w:t xml:space="preserve">is important to decrease the effect of CLI across hop orders in the IAB scenario.  </w:t>
      </w:r>
    </w:p>
    <w:p w:rsidR="002F4C25" w:rsidRPr="00CE1FF5" w:rsidRDefault="002F4C25" w:rsidP="00070728">
      <w:pPr>
        <w:pStyle w:val="maintext"/>
        <w:ind w:firstLineChars="0" w:firstLine="0"/>
        <w:rPr>
          <w:rFonts w:ascii="Calibri" w:hAnsi="Calibri" w:cs="Arial"/>
        </w:rPr>
      </w:pPr>
      <w:r w:rsidRPr="00CE1FF5">
        <w:rPr>
          <w:rFonts w:ascii="Calibri" w:hAnsi="Calibri" w:cs="Arial"/>
        </w:rPr>
        <w:t>Beam measurement and reporting based on L1-SINR has been agreed in RAN1#94b as part of multi-beam enhancements.</w:t>
      </w:r>
    </w:p>
    <w:p w:rsidR="002F4C25" w:rsidRPr="00CE1FF5" w:rsidRDefault="002F4C25" w:rsidP="002F4C25">
      <w:pPr>
        <w:pStyle w:val="LGTdoc"/>
        <w:spacing w:afterLines="0" w:line="240" w:lineRule="auto"/>
        <w:rPr>
          <w:b/>
          <w:sz w:val="20"/>
          <w:szCs w:val="22"/>
        </w:rPr>
      </w:pPr>
      <w:r w:rsidRPr="00CE1FF5">
        <w:rPr>
          <w:b/>
          <w:sz w:val="20"/>
          <w:szCs w:val="22"/>
        </w:rPr>
        <w:lastRenderedPageBreak/>
        <w:t>Agreement</w:t>
      </w:r>
    </w:p>
    <w:p w:rsidR="002F4C25" w:rsidRPr="00CE1FF5" w:rsidRDefault="002F4C25" w:rsidP="002F4C25">
      <w:pPr>
        <w:pStyle w:val="ListParagraph"/>
        <w:numPr>
          <w:ilvl w:val="0"/>
          <w:numId w:val="18"/>
        </w:numPr>
        <w:spacing w:before="0" w:after="0"/>
        <w:contextualSpacing w:val="0"/>
        <w:rPr>
          <w:rFonts w:ascii="Times New Roman" w:hAnsi="Times New Roman"/>
        </w:rPr>
      </w:pPr>
      <w:r w:rsidRPr="00CE1FF5">
        <w:rPr>
          <w:rFonts w:ascii="Times New Roman" w:hAnsi="Times New Roman"/>
        </w:rPr>
        <w:t>L1-SINR is supported. L1-RSRQ is not supported.</w:t>
      </w:r>
    </w:p>
    <w:p w:rsidR="002F4C25" w:rsidRPr="00CE1FF5" w:rsidRDefault="002F4C25" w:rsidP="002F4C25">
      <w:pPr>
        <w:pStyle w:val="ListParagraph"/>
        <w:numPr>
          <w:ilvl w:val="1"/>
          <w:numId w:val="18"/>
        </w:numPr>
        <w:spacing w:before="0" w:after="0"/>
        <w:contextualSpacing w:val="0"/>
        <w:rPr>
          <w:rFonts w:ascii="Times New Roman" w:hAnsi="Times New Roman"/>
        </w:rPr>
      </w:pPr>
      <w:r w:rsidRPr="00CE1FF5">
        <w:rPr>
          <w:rFonts w:ascii="Times New Roman" w:hAnsi="Times New Roman"/>
        </w:rPr>
        <w:t>Companies to study and provide definition of L1-SINR</w:t>
      </w:r>
    </w:p>
    <w:p w:rsidR="002F4C25" w:rsidRPr="00CE1FF5" w:rsidRDefault="002F4C25" w:rsidP="00070728">
      <w:pPr>
        <w:pStyle w:val="maintext"/>
        <w:ind w:firstLineChars="0" w:firstLine="0"/>
        <w:rPr>
          <w:rFonts w:ascii="Calibri" w:hAnsi="Calibri" w:cs="Arial"/>
        </w:rPr>
      </w:pPr>
    </w:p>
    <w:p w:rsidR="00070728" w:rsidRPr="00CE1FF5" w:rsidRDefault="00070728" w:rsidP="00070728">
      <w:pPr>
        <w:pStyle w:val="maintext"/>
        <w:ind w:firstLineChars="0" w:firstLine="0"/>
        <w:rPr>
          <w:rFonts w:ascii="Calibri" w:hAnsi="Calibri" w:cs="Arial"/>
        </w:rPr>
      </w:pPr>
      <w:r w:rsidRPr="00CE1FF5">
        <w:rPr>
          <w:rFonts w:asciiTheme="minorHAnsi" w:hAnsiTheme="minorHAnsi" w:cstheme="minorHAnsi"/>
        </w:rPr>
        <w:t xml:space="preserve">To include an interference measurement in the beam management report, in addition to a channel measurement, we can configure a resource setting for beam management that includes CSI-RS-resource sets configured for channel measurement as well as interference measurement performed on CSI-IM or on NZP-CSI-RS. The UE can be configured with multiple report settings, such that the network may configure a report setting with CSI-RS resources corresponding to a strong interference source, while another report setting can be configured without a strong interference source. UE can select the transmit and receive beams independently for each of the report settings. </w:t>
      </w:r>
    </w:p>
    <w:p w:rsidR="002F4C25" w:rsidRPr="00CE1FF5" w:rsidRDefault="002F4C25" w:rsidP="00070728">
      <w:pPr>
        <w:rPr>
          <w:rFonts w:asciiTheme="minorHAnsi" w:hAnsiTheme="minorHAnsi" w:cstheme="minorHAnsi"/>
          <w:b/>
        </w:rPr>
      </w:pPr>
      <w:r w:rsidRPr="00CE1FF5">
        <w:rPr>
          <w:rFonts w:asciiTheme="minorHAnsi" w:hAnsiTheme="minorHAnsi" w:cstheme="minorHAnsi"/>
          <w:b/>
        </w:rPr>
        <w:t xml:space="preserve">Proposal </w:t>
      </w:r>
      <w:r w:rsidR="009750CC">
        <w:rPr>
          <w:rFonts w:asciiTheme="minorHAnsi" w:hAnsiTheme="minorHAnsi" w:cstheme="minorHAnsi"/>
          <w:b/>
        </w:rPr>
        <w:t>9</w:t>
      </w:r>
      <w:r w:rsidRPr="00CE1FF5">
        <w:rPr>
          <w:rFonts w:asciiTheme="minorHAnsi" w:hAnsiTheme="minorHAnsi" w:cstheme="minorHAnsi"/>
          <w:b/>
        </w:rPr>
        <w:t xml:space="preserve">: Beam measurement and reporting based on either L1-RSRP or L1-SINR is supported, depending on the presence of strong interference. </w:t>
      </w:r>
    </w:p>
    <w:p w:rsidR="002F4C25" w:rsidRPr="00CE1FF5" w:rsidRDefault="002F4C25" w:rsidP="00070728">
      <w:pPr>
        <w:rPr>
          <w:rFonts w:asciiTheme="minorHAnsi" w:hAnsiTheme="minorHAnsi" w:cstheme="minorHAnsi"/>
          <w:b/>
        </w:rPr>
      </w:pPr>
    </w:p>
    <w:p w:rsidR="002F4C25" w:rsidRPr="00CE1FF5" w:rsidRDefault="004709B7" w:rsidP="00C724F1">
      <w:pPr>
        <w:pStyle w:val="maintext"/>
        <w:ind w:firstLineChars="0" w:firstLine="0"/>
        <w:rPr>
          <w:rFonts w:ascii="Calibri" w:hAnsi="Calibri" w:cs="Arial"/>
        </w:rPr>
      </w:pPr>
      <w:r w:rsidRPr="00CE1FF5">
        <w:rPr>
          <w:rFonts w:ascii="Calibri" w:hAnsi="Calibri" w:cs="Arial"/>
        </w:rPr>
        <w:t>Cross link interference measurements are important enablers fo</w:t>
      </w:r>
      <w:r w:rsidR="002F4C25" w:rsidRPr="00CE1FF5">
        <w:rPr>
          <w:rFonts w:ascii="Calibri" w:hAnsi="Calibri" w:cs="Arial"/>
        </w:rPr>
        <w:t xml:space="preserve">r CLI management and mitigation. Taking into account cross link interference across alternate hop orders to choose the multi-hop topology becomes crucial to improve the overall system performance. </w:t>
      </w:r>
      <w:r w:rsidR="009750CC">
        <w:rPr>
          <w:rFonts w:ascii="Calibri" w:hAnsi="Calibri" w:cs="Arial"/>
        </w:rPr>
        <w:t xml:space="preserve">This is shown in </w:t>
      </w:r>
      <w:r w:rsidR="00201870">
        <w:rPr>
          <w:rFonts w:ascii="Calibri" w:hAnsi="Calibri" w:cs="Arial"/>
        </w:rPr>
        <w:t xml:space="preserve">[2], where </w:t>
      </w:r>
      <w:r w:rsidR="009750CC">
        <w:rPr>
          <w:rFonts w:ascii="Calibri" w:hAnsi="Calibri" w:cs="Arial"/>
        </w:rPr>
        <w:t xml:space="preserve">system-level results which compare different topology formation methodologies </w:t>
      </w:r>
      <w:r w:rsidR="00201870">
        <w:rPr>
          <w:rFonts w:ascii="Calibri" w:hAnsi="Calibri" w:cs="Arial"/>
        </w:rPr>
        <w:t>show that taking the interference into account can provide gains over the baseline RSRP-only approach.</w:t>
      </w:r>
    </w:p>
    <w:p w:rsidR="002F4C25" w:rsidRDefault="002F4C25" w:rsidP="002F4C25">
      <w:pPr>
        <w:spacing w:line="288" w:lineRule="auto"/>
        <w:rPr>
          <w:rFonts w:asciiTheme="minorHAnsi" w:hAnsiTheme="minorHAnsi" w:cstheme="minorHAnsi"/>
          <w:b/>
        </w:rPr>
      </w:pPr>
      <w:r w:rsidRPr="00CE1FF5">
        <w:rPr>
          <w:rFonts w:asciiTheme="minorHAnsi" w:hAnsiTheme="minorHAnsi" w:cstheme="minorHAnsi"/>
          <w:b/>
        </w:rPr>
        <w:t xml:space="preserve">Proposal </w:t>
      </w:r>
      <w:r w:rsidR="009750CC">
        <w:rPr>
          <w:rFonts w:asciiTheme="minorHAnsi" w:hAnsiTheme="minorHAnsi" w:cstheme="minorHAnsi"/>
          <w:b/>
        </w:rPr>
        <w:t>10</w:t>
      </w:r>
      <w:r w:rsidRPr="00CE1FF5">
        <w:rPr>
          <w:rFonts w:asciiTheme="minorHAnsi" w:hAnsiTheme="minorHAnsi" w:cstheme="minorHAnsi"/>
          <w:b/>
        </w:rPr>
        <w:t>: CLI across hop orders should be taken into account in topology formation in IAB</w:t>
      </w:r>
      <w:r w:rsidR="00201870">
        <w:rPr>
          <w:rFonts w:asciiTheme="minorHAnsi" w:hAnsiTheme="minorHAnsi" w:cstheme="minorHAnsi"/>
          <w:b/>
        </w:rPr>
        <w:t>.</w:t>
      </w:r>
    </w:p>
    <w:p w:rsidR="00201870" w:rsidRPr="002F4C25" w:rsidRDefault="00201870" w:rsidP="002F4C25">
      <w:pPr>
        <w:spacing w:line="288" w:lineRule="auto"/>
        <w:rPr>
          <w:rFonts w:asciiTheme="minorHAnsi" w:hAnsiTheme="minorHAnsi" w:cstheme="minorHAnsi"/>
          <w:b/>
        </w:rPr>
      </w:pPr>
    </w:p>
    <w:p w:rsidR="002F4C25" w:rsidRPr="00070728" w:rsidRDefault="002F4C25" w:rsidP="00C724F1">
      <w:pPr>
        <w:pStyle w:val="maintext"/>
        <w:ind w:firstLineChars="0" w:firstLine="0"/>
        <w:rPr>
          <w:rFonts w:ascii="Calibri" w:hAnsi="Calibri" w:cs="Arial"/>
        </w:rPr>
      </w:pPr>
      <w:r>
        <w:rPr>
          <w:rFonts w:ascii="Calibri" w:hAnsi="Calibri" w:cs="Arial"/>
        </w:rPr>
        <w:t>CLI measurements for IAB,</w:t>
      </w:r>
      <w:r w:rsidR="004709B7" w:rsidRPr="004709B7">
        <w:rPr>
          <w:rFonts w:ascii="Calibri" w:hAnsi="Calibri" w:cs="Arial"/>
        </w:rPr>
        <w:t xml:space="preserve"> however</w:t>
      </w:r>
      <w:r>
        <w:rPr>
          <w:rFonts w:ascii="Calibri" w:hAnsi="Calibri" w:cs="Arial"/>
        </w:rPr>
        <w:t>,</w:t>
      </w:r>
      <w:r w:rsidR="004709B7" w:rsidRPr="004709B7">
        <w:rPr>
          <w:rFonts w:ascii="Calibri" w:hAnsi="Calibri" w:cs="Arial"/>
        </w:rPr>
        <w:t xml:space="preserve"> might impose on the frame structure and require special measurement instances, following the half duplex constraints. As a result coordination of CLI measurement occasions is required taking into account the multi-hop topology and whether semi-static or more dynamic frame structure coordination is being applied.</w:t>
      </w:r>
      <w:r>
        <w:rPr>
          <w:rFonts w:ascii="Calibri" w:hAnsi="Calibri" w:cs="Arial"/>
        </w:rPr>
        <w:t xml:space="preserve"> </w:t>
      </w:r>
    </w:p>
    <w:p w:rsidR="004709B7" w:rsidRDefault="004709B7" w:rsidP="004709B7">
      <w:pPr>
        <w:spacing w:before="0" w:after="0" w:line="288" w:lineRule="auto"/>
        <w:rPr>
          <w:rFonts w:ascii="Calibri" w:hAnsi="Calibri"/>
          <w:b/>
          <w:color w:val="000000"/>
          <w:kern w:val="24"/>
        </w:rPr>
      </w:pPr>
      <w:r>
        <w:rPr>
          <w:rFonts w:ascii="Calibri" w:hAnsi="Calibri"/>
          <w:b/>
          <w:color w:val="000000"/>
          <w:kern w:val="24"/>
        </w:rPr>
        <w:t xml:space="preserve">Proposal </w:t>
      </w:r>
      <w:r w:rsidR="002F4C25">
        <w:rPr>
          <w:rFonts w:ascii="Calibri" w:hAnsi="Calibri"/>
          <w:b/>
          <w:color w:val="000000"/>
          <w:kern w:val="24"/>
        </w:rPr>
        <w:t>1</w:t>
      </w:r>
      <w:r w:rsidR="009750CC">
        <w:rPr>
          <w:rFonts w:ascii="Calibri" w:hAnsi="Calibri"/>
          <w:b/>
          <w:color w:val="000000"/>
          <w:kern w:val="24"/>
        </w:rPr>
        <w:t>1</w:t>
      </w:r>
      <w:r>
        <w:rPr>
          <w:rFonts w:ascii="Calibri" w:hAnsi="Calibri"/>
          <w:b/>
          <w:color w:val="000000"/>
          <w:kern w:val="24"/>
        </w:rPr>
        <w:t xml:space="preserve">: IAB should support short term and long term CLI measurement and coordination </w:t>
      </w:r>
      <w:r w:rsidR="00F86EE6">
        <w:rPr>
          <w:rFonts w:ascii="Calibri" w:hAnsi="Calibri"/>
          <w:b/>
          <w:color w:val="000000"/>
          <w:kern w:val="24"/>
        </w:rPr>
        <w:t>of measurement occasions across multiple backhaul hops</w:t>
      </w:r>
      <w:r>
        <w:rPr>
          <w:rFonts w:ascii="Calibri" w:hAnsi="Calibri"/>
          <w:b/>
          <w:color w:val="000000"/>
          <w:kern w:val="24"/>
        </w:rPr>
        <w:t xml:space="preserve">, which can enable load measurement, </w:t>
      </w:r>
      <w:r w:rsidR="00F86EE6">
        <w:rPr>
          <w:rFonts w:ascii="Calibri" w:hAnsi="Calibri"/>
          <w:b/>
          <w:color w:val="000000"/>
          <w:kern w:val="24"/>
        </w:rPr>
        <w:t xml:space="preserve">identification of the level of </w:t>
      </w:r>
      <w:r>
        <w:rPr>
          <w:rFonts w:ascii="Calibri" w:hAnsi="Calibri"/>
          <w:b/>
          <w:color w:val="000000"/>
          <w:kern w:val="24"/>
        </w:rPr>
        <w:t>coupling between interfering nodes, and take into account multiple antenna and beamforming techniques at the transmitter and receiver.</w:t>
      </w:r>
    </w:p>
    <w:p w:rsidR="002F4C25" w:rsidRDefault="002F4C25" w:rsidP="006C0BAC">
      <w:pPr>
        <w:spacing w:line="288" w:lineRule="auto"/>
        <w:rPr>
          <w:rFonts w:asciiTheme="minorHAnsi" w:hAnsiTheme="minorHAnsi" w:cstheme="minorHAnsi"/>
        </w:rPr>
      </w:pPr>
    </w:p>
    <w:p w:rsidR="00175301" w:rsidRDefault="00FB2665" w:rsidP="00175301">
      <w:pPr>
        <w:pStyle w:val="Heading2"/>
      </w:pPr>
      <w:r>
        <w:t>Power Control Considerations</w:t>
      </w:r>
    </w:p>
    <w:p w:rsidR="00222811" w:rsidRPr="00222811" w:rsidRDefault="005B69C2" w:rsidP="00222811">
      <w:pPr>
        <w:pStyle w:val="maintext"/>
        <w:ind w:firstLineChars="0" w:firstLine="0"/>
        <w:rPr>
          <w:rFonts w:ascii="Calibri" w:hAnsi="Calibri"/>
        </w:rPr>
      </w:pPr>
      <w:r>
        <w:rPr>
          <w:rFonts w:ascii="Calibri" w:hAnsi="Calibri"/>
        </w:rPr>
        <w:t>As discussed in Section 2.3</w:t>
      </w:r>
      <w:r w:rsidR="006439F2">
        <w:rPr>
          <w:rFonts w:ascii="Calibri" w:hAnsi="Calibri"/>
        </w:rPr>
        <w:t>., b</w:t>
      </w:r>
      <w:r w:rsidR="00222811" w:rsidRPr="00222811">
        <w:rPr>
          <w:rFonts w:ascii="Calibri" w:hAnsi="Calibri"/>
        </w:rPr>
        <w:t>ased on the half duplex constraint when the access and backhaul are multiplexed at the same time (i.e. FDM or SDM) then the following combinations are allowed:</w:t>
      </w:r>
    </w:p>
    <w:p w:rsidR="00222811" w:rsidRPr="00222811" w:rsidRDefault="00222811" w:rsidP="00222811">
      <w:pPr>
        <w:pStyle w:val="maintext"/>
        <w:ind w:firstLine="400"/>
        <w:rPr>
          <w:rFonts w:ascii="Calibri" w:hAnsi="Calibri"/>
        </w:rPr>
      </w:pPr>
      <w:r w:rsidRPr="00222811">
        <w:rPr>
          <w:rFonts w:ascii="Calibri" w:hAnsi="Calibri"/>
        </w:rPr>
        <w:t>•</w:t>
      </w:r>
      <w:r w:rsidRPr="00222811">
        <w:rPr>
          <w:rFonts w:ascii="Calibri" w:hAnsi="Calibri"/>
        </w:rPr>
        <w:tab/>
        <w:t>PHY receive: backhaul DL and access UL are FDM or SDM</w:t>
      </w:r>
    </w:p>
    <w:p w:rsidR="00222811" w:rsidRDefault="00222811" w:rsidP="00222811">
      <w:pPr>
        <w:pStyle w:val="maintext"/>
        <w:ind w:firstLine="400"/>
        <w:rPr>
          <w:rFonts w:ascii="Calibri" w:hAnsi="Calibri"/>
        </w:rPr>
      </w:pPr>
      <w:r w:rsidRPr="00222811">
        <w:rPr>
          <w:rFonts w:ascii="Calibri" w:hAnsi="Calibri"/>
        </w:rPr>
        <w:t>•</w:t>
      </w:r>
      <w:r w:rsidRPr="00222811">
        <w:rPr>
          <w:rFonts w:ascii="Calibri" w:hAnsi="Calibri"/>
        </w:rPr>
        <w:tab/>
        <w:t>PHY transmit: backhaul UL and access DL are FDM or SDM</w:t>
      </w:r>
    </w:p>
    <w:p w:rsidR="00F30C84" w:rsidRPr="00222811" w:rsidRDefault="00F30C84" w:rsidP="00F30C84">
      <w:pPr>
        <w:pStyle w:val="maintext"/>
        <w:ind w:firstLineChars="0" w:firstLine="0"/>
        <w:rPr>
          <w:rFonts w:ascii="Calibri" w:hAnsi="Calibri"/>
        </w:rPr>
      </w:pPr>
      <w:r w:rsidRPr="00222811">
        <w:rPr>
          <w:rFonts w:ascii="Calibri" w:hAnsi="Calibri"/>
        </w:rPr>
        <w:t>Since we are multiplexing a DL and UL across access and backhaul power control becomes very important. In NR transmit and receive power levels of DL channels and UL channels can be very different. For example when the PHY is in receive mode then it must receive the backhaul DL transmission and the access UL transmission at the same time. These two could be FDM or SDM. However in this case the DL backhaul transm</w:t>
      </w:r>
      <w:r w:rsidR="00BE26B4">
        <w:rPr>
          <w:rFonts w:ascii="Calibri" w:hAnsi="Calibri"/>
        </w:rPr>
        <w:t>ission is performed by the DU function</w:t>
      </w:r>
      <w:r w:rsidRPr="00222811">
        <w:rPr>
          <w:rFonts w:ascii="Calibri" w:hAnsi="Calibri"/>
        </w:rPr>
        <w:t xml:space="preserve"> of the parent node whereas the UL access transmission is performed by a </w:t>
      </w:r>
      <w:r w:rsidR="00BE26B4">
        <w:rPr>
          <w:rFonts w:ascii="Calibri" w:hAnsi="Calibri"/>
        </w:rPr>
        <w:t>MT</w:t>
      </w:r>
      <w:r w:rsidRPr="00222811">
        <w:rPr>
          <w:rFonts w:ascii="Calibri" w:hAnsi="Calibri"/>
        </w:rPr>
        <w:t xml:space="preserve"> of a child node or a UE. Therefore the EIRP of DL transmission is typically much higher than the EIRP of the UL transmission. Moreover in NR the UL transmissions are power controlled whereas DL transmissions are not. This implies that the backhaul DL and access UL will arrive at the receiver at very differe</w:t>
      </w:r>
      <w:r>
        <w:rPr>
          <w:rFonts w:ascii="Calibri" w:hAnsi="Calibri"/>
        </w:rPr>
        <w:t xml:space="preserve">nt levels as shown in Figure </w:t>
      </w:r>
      <w:r w:rsidR="00BE26B4">
        <w:rPr>
          <w:rFonts w:ascii="Calibri" w:hAnsi="Calibri"/>
        </w:rPr>
        <w:t>1</w:t>
      </w:r>
      <w:r w:rsidR="00287D4D">
        <w:rPr>
          <w:rFonts w:ascii="Calibri" w:hAnsi="Calibri"/>
        </w:rPr>
        <w:t>1</w:t>
      </w:r>
      <w:r w:rsidRPr="00222811">
        <w:rPr>
          <w:rFonts w:ascii="Calibri" w:hAnsi="Calibri"/>
        </w:rPr>
        <w:t>.</w:t>
      </w:r>
      <w:r>
        <w:rPr>
          <w:rFonts w:ascii="Calibri" w:hAnsi="Calibri"/>
        </w:rPr>
        <w:t xml:space="preserve"> A similar problem happens during the transmit stage when the backhaul PUSCH and access PDSCH are FDM or SDM</w:t>
      </w:r>
      <w:r w:rsidR="00BE26B4">
        <w:rPr>
          <w:rFonts w:ascii="Calibri" w:hAnsi="Calibri"/>
        </w:rPr>
        <w:t xml:space="preserve"> with </w:t>
      </w:r>
      <w:r>
        <w:rPr>
          <w:rFonts w:ascii="Calibri" w:hAnsi="Calibri"/>
        </w:rPr>
        <w:t>different power level</w:t>
      </w:r>
      <w:r w:rsidR="00BE26B4">
        <w:rPr>
          <w:rFonts w:ascii="Calibri" w:hAnsi="Calibri"/>
        </w:rPr>
        <w:t>s</w:t>
      </w:r>
      <w:r>
        <w:rPr>
          <w:rFonts w:ascii="Calibri" w:hAnsi="Calibri"/>
        </w:rPr>
        <w:t xml:space="preserve"> between the </w:t>
      </w:r>
      <w:r w:rsidR="00BE26B4">
        <w:rPr>
          <w:rFonts w:ascii="Calibri" w:hAnsi="Calibri"/>
        </w:rPr>
        <w:t>MT PHY and the DU PHY</w:t>
      </w:r>
      <w:r>
        <w:rPr>
          <w:rFonts w:ascii="Calibri" w:hAnsi="Calibri"/>
        </w:rPr>
        <w:t xml:space="preserve">. </w:t>
      </w:r>
    </w:p>
    <w:p w:rsidR="00222811" w:rsidRPr="00222811" w:rsidRDefault="00DE2A3F" w:rsidP="00222811">
      <w:pPr>
        <w:pStyle w:val="maintext"/>
        <w:ind w:firstLine="400"/>
        <w:jc w:val="center"/>
        <w:rPr>
          <w:rFonts w:ascii="Calibri" w:hAnsi="Calibri"/>
        </w:rPr>
      </w:pPr>
      <w:r>
        <w:rPr>
          <w:rFonts w:ascii="Calibri" w:hAnsi="Calibri"/>
          <w:noProof/>
          <w:lang w:val="en-US" w:eastAsia="en-US"/>
        </w:rPr>
        <w:lastRenderedPageBreak/>
        <w:drawing>
          <wp:inline distT="0" distB="0" distL="0" distR="0">
            <wp:extent cx="4005580" cy="2792095"/>
            <wp:effectExtent l="0" t="0" r="0" b="8255"/>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05580" cy="2792095"/>
                    </a:xfrm>
                    <a:prstGeom prst="rect">
                      <a:avLst/>
                    </a:prstGeom>
                    <a:noFill/>
                  </pic:spPr>
                </pic:pic>
              </a:graphicData>
            </a:graphic>
          </wp:inline>
        </w:drawing>
      </w:r>
    </w:p>
    <w:p w:rsidR="00BE26B4" w:rsidRPr="00077712" w:rsidRDefault="00BE26B4" w:rsidP="00BE26B4">
      <w:pPr>
        <w:pStyle w:val="Caption"/>
        <w:ind w:left="720"/>
        <w:rPr>
          <w:rFonts w:ascii="Calibri" w:hAnsi="Calibri"/>
        </w:rPr>
      </w:pPr>
      <w:r w:rsidRPr="00077712">
        <w:rPr>
          <w:rFonts w:ascii="Calibri" w:hAnsi="Calibri"/>
        </w:rPr>
        <w:t xml:space="preserve">Figure </w:t>
      </w:r>
      <w:r w:rsidR="002B6E52">
        <w:rPr>
          <w:rFonts w:ascii="Calibri" w:hAnsi="Calibri"/>
        </w:rPr>
        <w:t>1</w:t>
      </w:r>
      <w:r w:rsidR="00287D4D">
        <w:rPr>
          <w:rFonts w:ascii="Calibri" w:hAnsi="Calibri"/>
        </w:rPr>
        <w:t>1</w:t>
      </w:r>
      <w:r w:rsidRPr="00077712">
        <w:rPr>
          <w:rFonts w:ascii="Calibri" w:hAnsi="Calibri"/>
        </w:rPr>
        <w:t xml:space="preserve">: </w:t>
      </w:r>
      <w:r w:rsidRPr="00222811">
        <w:rPr>
          <w:rFonts w:ascii="Calibri" w:hAnsi="Calibri"/>
        </w:rPr>
        <w:t>Power spectral density difference at the receiver for backhaul and access link</w:t>
      </w:r>
    </w:p>
    <w:p w:rsidR="00BE26B4" w:rsidRPr="00222811" w:rsidRDefault="00BE26B4" w:rsidP="00BE26B4">
      <w:pPr>
        <w:pStyle w:val="maintext"/>
        <w:ind w:firstLineChars="0" w:firstLine="0"/>
        <w:rPr>
          <w:rFonts w:ascii="Calibri" w:hAnsi="Calibri"/>
        </w:rPr>
      </w:pPr>
      <w:r w:rsidRPr="00222811">
        <w:rPr>
          <w:rFonts w:ascii="Calibri" w:hAnsi="Calibri"/>
        </w:rPr>
        <w:t xml:space="preserve">If the hardware is shared between the </w:t>
      </w:r>
      <w:r>
        <w:rPr>
          <w:rFonts w:ascii="Calibri" w:hAnsi="Calibri"/>
        </w:rPr>
        <w:t>MT and DU</w:t>
      </w:r>
      <w:r w:rsidRPr="00222811">
        <w:rPr>
          <w:rFonts w:ascii="Calibri" w:hAnsi="Calibri"/>
        </w:rPr>
        <w:t xml:space="preserve"> (e.g. same panel or same RF chain) then such a receiver PSD difference can cause significant problem. The higher PSD of the DL backhaul will likely set the AGC which implies that the UL access signal will fall well below the level set by AGC, which would impact the SINR and therefore the overall throughput of the access transmission. </w:t>
      </w:r>
    </w:p>
    <w:p w:rsidR="00BE26B4" w:rsidRPr="00222811" w:rsidRDefault="00BE26B4" w:rsidP="00BE26B4">
      <w:pPr>
        <w:pStyle w:val="maintext"/>
        <w:ind w:firstLineChars="0" w:firstLine="0"/>
        <w:rPr>
          <w:rFonts w:ascii="Calibri" w:hAnsi="Calibri"/>
        </w:rPr>
      </w:pPr>
      <w:r w:rsidRPr="00222811">
        <w:rPr>
          <w:rFonts w:ascii="Calibri" w:hAnsi="Calibri"/>
        </w:rPr>
        <w:t>In order to support FDM and SDM using the same RF (e.g. intra panel) it is very critical to enhance the power control mechanism for IAB.</w:t>
      </w:r>
      <w:r>
        <w:rPr>
          <w:rFonts w:ascii="Calibri" w:hAnsi="Calibri"/>
        </w:rPr>
        <w:t xml:space="preserve"> Specifically, DL and UL transmit power coordination between a parent and child IAB node needs to be </w:t>
      </w:r>
      <w:r w:rsidR="009B75E8">
        <w:rPr>
          <w:rFonts w:ascii="Calibri" w:hAnsi="Calibri"/>
        </w:rPr>
        <w:t>supported. One mechanism for this coordination is</w:t>
      </w:r>
      <w:r w:rsidR="009B75E8" w:rsidRPr="009B75E8">
        <w:rPr>
          <w:rFonts w:ascii="Calibri" w:hAnsi="Calibri"/>
        </w:rPr>
        <w:t xml:space="preserve"> to introduce </w:t>
      </w:r>
      <w:r w:rsidR="005B69C2">
        <w:rPr>
          <w:rFonts w:ascii="Calibri" w:hAnsi="Calibri"/>
        </w:rPr>
        <w:t xml:space="preserve">open or </w:t>
      </w:r>
      <w:r w:rsidR="009B75E8" w:rsidRPr="009B75E8">
        <w:rPr>
          <w:rFonts w:ascii="Calibri" w:hAnsi="Calibri"/>
        </w:rPr>
        <w:t>closed loop power control for DL</w:t>
      </w:r>
      <w:r w:rsidR="009B75E8">
        <w:rPr>
          <w:rFonts w:ascii="Calibri" w:hAnsi="Calibri"/>
        </w:rPr>
        <w:t xml:space="preserve"> backhaul link</w:t>
      </w:r>
      <w:r w:rsidR="009B75E8" w:rsidRPr="009B75E8">
        <w:rPr>
          <w:rFonts w:ascii="Calibri" w:hAnsi="Calibri"/>
        </w:rPr>
        <w:t xml:space="preserve"> transmission</w:t>
      </w:r>
      <w:r w:rsidR="009B75E8">
        <w:rPr>
          <w:rFonts w:ascii="Calibri" w:hAnsi="Calibri"/>
        </w:rPr>
        <w:t>s</w:t>
      </w:r>
      <w:r w:rsidR="009B75E8" w:rsidRPr="009B75E8">
        <w:rPr>
          <w:rFonts w:ascii="Calibri" w:hAnsi="Calibri"/>
        </w:rPr>
        <w:t xml:space="preserve">. </w:t>
      </w:r>
      <w:r w:rsidR="009B75E8">
        <w:rPr>
          <w:rFonts w:ascii="Calibri" w:hAnsi="Calibri"/>
        </w:rPr>
        <w:t xml:space="preserve">This would not only take into account the pathloss of the backhaul link, but the required </w:t>
      </w:r>
      <w:r w:rsidR="009B75E8" w:rsidRPr="009B75E8">
        <w:rPr>
          <w:rFonts w:ascii="Calibri" w:hAnsi="Calibri"/>
        </w:rPr>
        <w:t>PSD of the DL backhaul</w:t>
      </w:r>
      <w:r w:rsidR="009B75E8">
        <w:rPr>
          <w:rFonts w:ascii="Calibri" w:hAnsi="Calibri"/>
        </w:rPr>
        <w:t xml:space="preserve"> transmission from the parent node to equalize</w:t>
      </w:r>
      <w:r w:rsidR="009B75E8" w:rsidRPr="009B75E8">
        <w:rPr>
          <w:rFonts w:ascii="Calibri" w:hAnsi="Calibri"/>
        </w:rPr>
        <w:t xml:space="preserve"> UL access transmission</w:t>
      </w:r>
      <w:r w:rsidR="009B75E8">
        <w:rPr>
          <w:rFonts w:ascii="Calibri" w:hAnsi="Calibri"/>
        </w:rPr>
        <w:t>s at the receiver within an appropriate range.</w:t>
      </w:r>
    </w:p>
    <w:p w:rsidR="00FB2665" w:rsidRDefault="00175301" w:rsidP="00FB2665">
      <w:pPr>
        <w:pStyle w:val="maintext"/>
        <w:ind w:firstLineChars="0" w:firstLine="0"/>
        <w:rPr>
          <w:rFonts w:ascii="Calibri" w:hAnsi="Calibri"/>
          <w:b/>
        </w:rPr>
      </w:pPr>
      <w:r w:rsidRPr="00BA6FDB">
        <w:rPr>
          <w:rFonts w:ascii="Calibri" w:hAnsi="Calibri"/>
          <w:b/>
        </w:rPr>
        <w:t xml:space="preserve">Proposal </w:t>
      </w:r>
      <w:r w:rsidR="00287D4D">
        <w:rPr>
          <w:rFonts w:ascii="Calibri" w:hAnsi="Calibri"/>
          <w:b/>
        </w:rPr>
        <w:t>1</w:t>
      </w:r>
      <w:r w:rsidR="009750CC">
        <w:rPr>
          <w:rFonts w:ascii="Calibri" w:hAnsi="Calibri"/>
          <w:b/>
        </w:rPr>
        <w:t>2</w:t>
      </w:r>
      <w:r w:rsidRPr="00BA6FDB">
        <w:rPr>
          <w:rFonts w:ascii="Calibri" w:hAnsi="Calibri"/>
          <w:b/>
        </w:rPr>
        <w:t>:</w:t>
      </w:r>
      <w:r w:rsidR="009B75E8">
        <w:rPr>
          <w:rFonts w:ascii="Calibri" w:hAnsi="Calibri"/>
          <w:b/>
        </w:rPr>
        <w:t xml:space="preserve"> </w:t>
      </w:r>
      <w:r w:rsidR="00222811">
        <w:rPr>
          <w:rFonts w:ascii="Calibri" w:hAnsi="Calibri"/>
          <w:b/>
        </w:rPr>
        <w:t xml:space="preserve">DL and UL </w:t>
      </w:r>
      <w:r w:rsidR="009B75E8">
        <w:rPr>
          <w:rFonts w:ascii="Calibri" w:hAnsi="Calibri"/>
          <w:b/>
        </w:rPr>
        <w:t>transmit power coordination between IAB nodes should be supported, including mechanisms for DL power control between a parent and child IAB node.</w:t>
      </w:r>
    </w:p>
    <w:p w:rsidR="00175301" w:rsidRPr="0033513A" w:rsidRDefault="00175301" w:rsidP="00FB2665">
      <w:pPr>
        <w:pStyle w:val="maintext"/>
        <w:ind w:firstLineChars="0" w:firstLine="0"/>
      </w:pPr>
    </w:p>
    <w:p w:rsidR="007338D6" w:rsidRPr="00172743" w:rsidRDefault="003A566A" w:rsidP="00326FF6">
      <w:pPr>
        <w:pStyle w:val="Heading1"/>
      </w:pPr>
      <w:r w:rsidRPr="00172743">
        <w:t>Conclusion</w:t>
      </w:r>
    </w:p>
    <w:p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E604D6">
        <w:rPr>
          <w:rFonts w:ascii="Calibri" w:hAnsi="Calibri"/>
        </w:rPr>
        <w:t>. The following proposals were made</w:t>
      </w:r>
      <w:r>
        <w:rPr>
          <w:rFonts w:ascii="Calibri" w:hAnsi="Calibri"/>
        </w:rPr>
        <w:t>:</w:t>
      </w:r>
    </w:p>
    <w:p w:rsidR="00287D4D" w:rsidRDefault="00287D4D" w:rsidP="00287D4D">
      <w:pPr>
        <w:pStyle w:val="maintext"/>
        <w:ind w:firstLineChars="0" w:firstLine="0"/>
        <w:rPr>
          <w:rFonts w:ascii="Calibri" w:hAnsi="Calibri"/>
          <w:b/>
        </w:rPr>
      </w:pPr>
      <w:r>
        <w:rPr>
          <w:rFonts w:ascii="Calibri" w:hAnsi="Calibri"/>
          <w:b/>
        </w:rPr>
        <w:t>Proposal 1: In the case of NSA deployments, b</w:t>
      </w:r>
      <w:r w:rsidRPr="00FD6F1A">
        <w:rPr>
          <w:rFonts w:ascii="Calibri" w:hAnsi="Calibri"/>
          <w:b/>
        </w:rPr>
        <w:t xml:space="preserve">oth Stage 2 Solution 1-A and Solution 1-B can be used for initial </w:t>
      </w:r>
      <w:r>
        <w:rPr>
          <w:rFonts w:ascii="Calibri" w:hAnsi="Calibri"/>
          <w:b/>
        </w:rPr>
        <w:t>IAB node discovery by the MT.</w:t>
      </w:r>
    </w:p>
    <w:p w:rsidR="00287D4D" w:rsidRDefault="00287D4D" w:rsidP="00287D4D">
      <w:pPr>
        <w:pStyle w:val="maintext"/>
        <w:ind w:firstLineChars="0" w:firstLine="0"/>
        <w:rPr>
          <w:rFonts w:ascii="Calibri" w:hAnsi="Calibri"/>
          <w:b/>
        </w:rPr>
      </w:pPr>
      <w:r>
        <w:rPr>
          <w:rFonts w:ascii="Calibri" w:hAnsi="Calibri"/>
          <w:b/>
        </w:rPr>
        <w:t>Proposal</w:t>
      </w:r>
      <w:r w:rsidRPr="00057E9B">
        <w:rPr>
          <w:rFonts w:ascii="Calibri" w:hAnsi="Calibri"/>
          <w:b/>
        </w:rPr>
        <w:t xml:space="preserve"> </w:t>
      </w:r>
      <w:r>
        <w:rPr>
          <w:rFonts w:ascii="Calibri" w:hAnsi="Calibri"/>
          <w:b/>
        </w:rPr>
        <w:t>2</w:t>
      </w:r>
      <w:r w:rsidRPr="00057E9B">
        <w:rPr>
          <w:rFonts w:ascii="Calibri" w:hAnsi="Calibri"/>
          <w:b/>
        </w:rPr>
        <w:t xml:space="preserve">: </w:t>
      </w:r>
      <w:r>
        <w:rPr>
          <w:rFonts w:ascii="Calibri" w:hAnsi="Calibri"/>
          <w:b/>
        </w:rPr>
        <w:t>IAB should support the configuration and coordination of o</w:t>
      </w:r>
      <w:r w:rsidRPr="00057E9B">
        <w:rPr>
          <w:rFonts w:ascii="Calibri" w:hAnsi="Calibri"/>
          <w:b/>
        </w:rPr>
        <w:t>rthogonal</w:t>
      </w:r>
      <w:r>
        <w:rPr>
          <w:rFonts w:ascii="Calibri" w:hAnsi="Calibri"/>
          <w:b/>
        </w:rPr>
        <w:t xml:space="preserve"> time/frequency</w:t>
      </w:r>
      <w:r w:rsidRPr="00057E9B">
        <w:rPr>
          <w:rFonts w:ascii="Calibri" w:hAnsi="Calibri"/>
          <w:b/>
        </w:rPr>
        <w:t xml:space="preserve"> </w:t>
      </w:r>
      <w:r>
        <w:rPr>
          <w:rFonts w:ascii="Calibri" w:hAnsi="Calibri"/>
          <w:b/>
        </w:rPr>
        <w:t>resources</w:t>
      </w:r>
      <w:r w:rsidRPr="00057E9B">
        <w:rPr>
          <w:rFonts w:ascii="Calibri" w:hAnsi="Calibri"/>
          <w:b/>
        </w:rPr>
        <w:t xml:space="preserve"> </w:t>
      </w:r>
      <w:r>
        <w:rPr>
          <w:rFonts w:ascii="Calibri" w:hAnsi="Calibri"/>
          <w:b/>
        </w:rPr>
        <w:t>and introduce new periodicities and time-domain mapping patterns for SSB</w:t>
      </w:r>
      <w:r w:rsidRPr="00057E9B">
        <w:rPr>
          <w:rFonts w:ascii="Calibri" w:hAnsi="Calibri"/>
          <w:b/>
        </w:rPr>
        <w:t xml:space="preserve"> transmissions </w:t>
      </w:r>
      <w:r>
        <w:rPr>
          <w:rFonts w:ascii="Calibri" w:hAnsi="Calibri"/>
          <w:b/>
        </w:rPr>
        <w:t>(i.e. Solution 1-A, Solution 1-B) which are optimized for inter-hop discovery of IAB nodes up to 3 hops.</w:t>
      </w:r>
    </w:p>
    <w:p w:rsidR="006703A8" w:rsidRDefault="006703A8" w:rsidP="006703A8">
      <w:pPr>
        <w:pStyle w:val="maintext"/>
        <w:ind w:firstLineChars="0" w:firstLine="0"/>
        <w:rPr>
          <w:rFonts w:ascii="Calibri" w:hAnsi="Calibri"/>
          <w:b/>
        </w:rPr>
      </w:pPr>
      <w:r>
        <w:rPr>
          <w:rFonts w:ascii="Calibri" w:hAnsi="Calibri"/>
          <w:b/>
        </w:rPr>
        <w:t xml:space="preserve">Proposal </w:t>
      </w:r>
      <w:r w:rsidR="00287D4D">
        <w:rPr>
          <w:rFonts w:ascii="Calibri" w:hAnsi="Calibri"/>
          <w:b/>
        </w:rPr>
        <w:t>3</w:t>
      </w:r>
      <w:r w:rsidRPr="00FB6ED2">
        <w:rPr>
          <w:rFonts w:ascii="Calibri" w:hAnsi="Calibri"/>
          <w:b/>
        </w:rPr>
        <w:t xml:space="preserve">: The use of aperiodic out-of-sync and in-sync indications based on </w:t>
      </w:r>
      <w:r>
        <w:rPr>
          <w:rFonts w:ascii="Calibri" w:hAnsi="Calibri"/>
          <w:b/>
        </w:rPr>
        <w:t xml:space="preserve">the </w:t>
      </w:r>
      <w:r w:rsidRPr="00FB6ED2">
        <w:rPr>
          <w:rFonts w:ascii="Calibri" w:hAnsi="Calibri"/>
          <w:b/>
        </w:rPr>
        <w:t xml:space="preserve">beam failure recovery procedure should be </w:t>
      </w:r>
      <w:r>
        <w:rPr>
          <w:rFonts w:ascii="Calibri" w:hAnsi="Calibri"/>
          <w:b/>
        </w:rPr>
        <w:t>supported</w:t>
      </w:r>
      <w:r w:rsidRPr="00FB6ED2">
        <w:rPr>
          <w:rFonts w:ascii="Calibri" w:hAnsi="Calibri"/>
          <w:b/>
        </w:rPr>
        <w:t xml:space="preserve"> to assist the RLF procedure</w:t>
      </w:r>
      <w:r>
        <w:rPr>
          <w:rFonts w:ascii="Calibri" w:hAnsi="Calibri"/>
          <w:b/>
        </w:rPr>
        <w:t xml:space="preserve"> for IAB-nodes</w:t>
      </w:r>
      <w:r w:rsidRPr="00FB6ED2">
        <w:rPr>
          <w:rFonts w:ascii="Calibri" w:hAnsi="Calibri"/>
          <w:b/>
        </w:rPr>
        <w:t>.</w:t>
      </w:r>
    </w:p>
    <w:p w:rsidR="006703A8" w:rsidRDefault="006703A8" w:rsidP="006703A8">
      <w:pPr>
        <w:rPr>
          <w:rFonts w:asciiTheme="minorHAnsi" w:eastAsia="MS Mincho" w:hAnsiTheme="minorHAnsi" w:cstheme="minorHAnsi"/>
          <w:b/>
          <w:lang w:eastAsia="ja-JP"/>
        </w:rPr>
      </w:pPr>
      <w:r w:rsidRPr="00257B32">
        <w:rPr>
          <w:rFonts w:asciiTheme="minorHAnsi" w:eastAsia="MS Mincho" w:hAnsiTheme="minorHAnsi" w:cstheme="minorHAnsi"/>
          <w:b/>
          <w:lang w:eastAsia="ja-JP"/>
        </w:rPr>
        <w:t xml:space="preserve">Proposal </w:t>
      </w:r>
      <w:r w:rsidR="00287D4D">
        <w:rPr>
          <w:rFonts w:asciiTheme="minorHAnsi" w:eastAsia="MS Mincho" w:hAnsiTheme="minorHAnsi" w:cstheme="minorHAnsi"/>
          <w:b/>
          <w:lang w:eastAsia="ja-JP"/>
        </w:rPr>
        <w:t>4</w:t>
      </w:r>
      <w:r w:rsidRPr="00257B32">
        <w:rPr>
          <w:rFonts w:asciiTheme="minorHAnsi" w:eastAsia="MS Mincho" w:hAnsiTheme="minorHAnsi" w:cstheme="minorHAnsi"/>
          <w:b/>
          <w:lang w:eastAsia="ja-JP"/>
        </w:rPr>
        <w:t xml:space="preserve">: </w:t>
      </w:r>
      <w:r w:rsidR="005A18B4">
        <w:rPr>
          <w:rFonts w:asciiTheme="minorHAnsi" w:eastAsia="MS Mincho" w:hAnsiTheme="minorHAnsi" w:cstheme="minorHAnsi"/>
          <w:b/>
          <w:lang w:eastAsia="ja-JP"/>
        </w:rPr>
        <w:t>A</w:t>
      </w:r>
      <w:r w:rsidRPr="00257B32">
        <w:rPr>
          <w:rFonts w:asciiTheme="minorHAnsi" w:eastAsia="MS Mincho" w:hAnsiTheme="minorHAnsi" w:cstheme="minorHAnsi"/>
          <w:b/>
          <w:lang w:eastAsia="ja-JP"/>
        </w:rPr>
        <w:t xml:space="preserve"> </w:t>
      </w:r>
      <w:r w:rsidR="002F2F26">
        <w:rPr>
          <w:rFonts w:asciiTheme="minorHAnsi" w:eastAsia="MS Mincho" w:hAnsiTheme="minorHAnsi" w:cstheme="minorHAnsi"/>
          <w:b/>
          <w:lang w:eastAsia="ja-JP"/>
        </w:rPr>
        <w:t>MT</w:t>
      </w:r>
      <w:r w:rsidRPr="00257B32">
        <w:rPr>
          <w:rFonts w:asciiTheme="minorHAnsi" w:eastAsia="MS Mincho" w:hAnsiTheme="minorHAnsi" w:cstheme="minorHAnsi"/>
          <w:b/>
          <w:lang w:eastAsia="ja-JP"/>
        </w:rPr>
        <w:t xml:space="preserve"> triggered beam management procedure should be </w:t>
      </w:r>
      <w:r w:rsidR="002F2F26">
        <w:rPr>
          <w:rFonts w:asciiTheme="minorHAnsi" w:eastAsia="MS Mincho" w:hAnsiTheme="minorHAnsi" w:cstheme="minorHAnsi"/>
          <w:b/>
          <w:lang w:eastAsia="ja-JP"/>
        </w:rPr>
        <w:t>studied</w:t>
      </w:r>
      <w:r w:rsidRPr="00257B32">
        <w:rPr>
          <w:rFonts w:asciiTheme="minorHAnsi" w:eastAsia="MS Mincho" w:hAnsiTheme="minorHAnsi" w:cstheme="minorHAnsi"/>
          <w:b/>
          <w:lang w:eastAsia="ja-JP"/>
        </w:rPr>
        <w:t xml:space="preserve"> </w:t>
      </w:r>
      <w:r>
        <w:rPr>
          <w:rFonts w:asciiTheme="minorHAnsi" w:eastAsia="MS Mincho" w:hAnsiTheme="minorHAnsi" w:cstheme="minorHAnsi"/>
          <w:b/>
          <w:lang w:eastAsia="ja-JP"/>
        </w:rPr>
        <w:t>for overhead reduction</w:t>
      </w:r>
      <w:r w:rsidR="002F2F26">
        <w:rPr>
          <w:rFonts w:asciiTheme="minorHAnsi" w:eastAsia="MS Mincho" w:hAnsiTheme="minorHAnsi" w:cstheme="minorHAnsi"/>
          <w:b/>
          <w:lang w:eastAsia="ja-JP"/>
        </w:rPr>
        <w:t xml:space="preserve"> in IAB</w:t>
      </w:r>
      <w:r w:rsidR="005A18B4">
        <w:rPr>
          <w:rFonts w:asciiTheme="minorHAnsi" w:eastAsia="MS Mincho" w:hAnsiTheme="minorHAnsi" w:cstheme="minorHAnsi"/>
          <w:b/>
          <w:lang w:eastAsia="ja-JP"/>
        </w:rPr>
        <w:t>.</w:t>
      </w:r>
    </w:p>
    <w:p w:rsidR="009750CC" w:rsidRPr="009750CC" w:rsidRDefault="009750CC" w:rsidP="009750CC">
      <w:pPr>
        <w:rPr>
          <w:rFonts w:asciiTheme="minorHAnsi" w:eastAsia="MS Mincho" w:hAnsiTheme="minorHAnsi" w:cstheme="minorHAnsi"/>
          <w:b/>
          <w:lang w:eastAsia="ja-JP"/>
        </w:rPr>
      </w:pPr>
      <w:r w:rsidRPr="009750CC">
        <w:rPr>
          <w:rFonts w:asciiTheme="minorHAnsi" w:eastAsia="MS Mincho" w:hAnsiTheme="minorHAnsi" w:cstheme="minorHAnsi"/>
          <w:b/>
          <w:lang w:eastAsia="ja-JP"/>
        </w:rPr>
        <w:t>Proposal 5:  Indication of beam grouping at the MT should be supported</w:t>
      </w:r>
      <w:r w:rsidR="00201870">
        <w:rPr>
          <w:rFonts w:asciiTheme="minorHAnsi" w:eastAsia="MS Mincho" w:hAnsiTheme="minorHAnsi" w:cstheme="minorHAnsi"/>
          <w:b/>
          <w:lang w:eastAsia="ja-JP"/>
        </w:rPr>
        <w:t>.</w:t>
      </w:r>
    </w:p>
    <w:p w:rsidR="009750CC" w:rsidRDefault="009750CC" w:rsidP="009750CC">
      <w:pPr>
        <w:pStyle w:val="maintext"/>
        <w:ind w:firstLineChars="0" w:firstLine="0"/>
        <w:rPr>
          <w:rFonts w:ascii="Calibri" w:hAnsi="Calibri"/>
          <w:b/>
        </w:rPr>
      </w:pPr>
      <w:r w:rsidRPr="00057E9B">
        <w:rPr>
          <w:rFonts w:ascii="Calibri" w:hAnsi="Calibri"/>
          <w:b/>
        </w:rPr>
        <w:t xml:space="preserve">Proposal </w:t>
      </w:r>
      <w:r>
        <w:rPr>
          <w:rFonts w:ascii="Calibri" w:hAnsi="Calibri"/>
          <w:b/>
        </w:rPr>
        <w:t>6</w:t>
      </w:r>
      <w:r w:rsidRPr="00057E9B">
        <w:rPr>
          <w:rFonts w:ascii="Calibri" w:hAnsi="Calibri"/>
          <w:b/>
        </w:rPr>
        <w:t xml:space="preserve">: </w:t>
      </w:r>
      <w:r>
        <w:rPr>
          <w:rFonts w:ascii="Calibri" w:hAnsi="Calibri"/>
          <w:b/>
        </w:rPr>
        <w:t>In addition to TDM partitioning of parent and child links, IAB should support frame structure coordination mechanisms which enable alignment of DL transmissions of the IAB node’s DU with UL transmission slots of the IAB node’s MT as well as alignment of DL reception slots of the IAB nodes’ MT with UL reception slots at the IAB node’s DU.</w:t>
      </w:r>
    </w:p>
    <w:p w:rsidR="009750CC" w:rsidRDefault="009750CC" w:rsidP="009750CC">
      <w:pPr>
        <w:pStyle w:val="maintext"/>
        <w:ind w:firstLineChars="0" w:firstLine="0"/>
        <w:rPr>
          <w:rFonts w:ascii="Calibri" w:hAnsi="Calibri"/>
          <w:b/>
        </w:rPr>
      </w:pPr>
      <w:r w:rsidRPr="00057E9B">
        <w:rPr>
          <w:rFonts w:ascii="Calibri" w:hAnsi="Calibri"/>
          <w:b/>
        </w:rPr>
        <w:lastRenderedPageBreak/>
        <w:t xml:space="preserve">Proposal </w:t>
      </w:r>
      <w:r>
        <w:rPr>
          <w:rFonts w:ascii="Calibri" w:hAnsi="Calibri"/>
          <w:b/>
        </w:rPr>
        <w:t>7</w:t>
      </w:r>
      <w:r w:rsidRPr="00057E9B">
        <w:rPr>
          <w:rFonts w:ascii="Calibri" w:hAnsi="Calibri"/>
          <w:b/>
        </w:rPr>
        <w:t xml:space="preserve">: </w:t>
      </w:r>
      <w:r>
        <w:rPr>
          <w:rFonts w:ascii="Calibri" w:hAnsi="Calibri"/>
          <w:b/>
        </w:rPr>
        <w:t>IAB should support dynamic frame structure coordination by using GC-PDCCH signalling from the parent IAB node to the child IAB node to indicate existing Rel.15 slot formats and potentially newly defined Rel.16 slot formats which are optimized for TDM/SDM multiplexing of access and backhaul links.</w:t>
      </w:r>
    </w:p>
    <w:p w:rsidR="009750CC" w:rsidRDefault="009750CC" w:rsidP="009750CC">
      <w:pPr>
        <w:pStyle w:val="maintext"/>
        <w:ind w:firstLineChars="0" w:firstLine="0"/>
        <w:rPr>
          <w:rFonts w:ascii="Calibri" w:hAnsi="Calibri"/>
          <w:b/>
        </w:rPr>
      </w:pPr>
      <w:r w:rsidRPr="00057E9B">
        <w:rPr>
          <w:rFonts w:ascii="Calibri" w:hAnsi="Calibri"/>
          <w:b/>
        </w:rPr>
        <w:t xml:space="preserve">Proposal </w:t>
      </w:r>
      <w:r>
        <w:rPr>
          <w:rFonts w:ascii="Calibri" w:hAnsi="Calibri"/>
          <w:b/>
        </w:rPr>
        <w:t>8</w:t>
      </w:r>
      <w:r w:rsidRPr="00057E9B">
        <w:rPr>
          <w:rFonts w:ascii="Calibri" w:hAnsi="Calibri"/>
          <w:b/>
        </w:rPr>
        <w:t xml:space="preserve">: </w:t>
      </w:r>
      <w:r>
        <w:rPr>
          <w:rFonts w:ascii="Calibri" w:hAnsi="Calibri"/>
          <w:b/>
        </w:rPr>
        <w:t xml:space="preserve">IAB supports </w:t>
      </w:r>
      <w:r w:rsidRPr="00B55FA2">
        <w:rPr>
          <w:rFonts w:ascii="Calibri" w:hAnsi="Calibri"/>
          <w:b/>
        </w:rPr>
        <w:t xml:space="preserve">Case </w:t>
      </w:r>
      <w:r>
        <w:rPr>
          <w:rFonts w:ascii="Calibri" w:hAnsi="Calibri"/>
          <w:b/>
        </w:rPr>
        <w:t>7 for IAB MTs and access UEs which support required TA enhancements including negative TA offsets and larger TA values than currently supported in Rel.15.</w:t>
      </w:r>
    </w:p>
    <w:p w:rsidR="009750CC" w:rsidRPr="00CE1FF5" w:rsidRDefault="009750CC" w:rsidP="009750CC">
      <w:pPr>
        <w:rPr>
          <w:rFonts w:asciiTheme="minorHAnsi" w:hAnsiTheme="minorHAnsi" w:cstheme="minorHAnsi"/>
          <w:b/>
        </w:rPr>
      </w:pPr>
      <w:r w:rsidRPr="00CE1FF5">
        <w:rPr>
          <w:rFonts w:asciiTheme="minorHAnsi" w:hAnsiTheme="minorHAnsi" w:cstheme="minorHAnsi"/>
          <w:b/>
        </w:rPr>
        <w:t xml:space="preserve">Proposal </w:t>
      </w:r>
      <w:r>
        <w:rPr>
          <w:rFonts w:asciiTheme="minorHAnsi" w:hAnsiTheme="minorHAnsi" w:cstheme="minorHAnsi"/>
          <w:b/>
        </w:rPr>
        <w:t>9</w:t>
      </w:r>
      <w:r w:rsidRPr="00CE1FF5">
        <w:rPr>
          <w:rFonts w:asciiTheme="minorHAnsi" w:hAnsiTheme="minorHAnsi" w:cstheme="minorHAnsi"/>
          <w:b/>
        </w:rPr>
        <w:t xml:space="preserve">: Beam measurement and reporting based on either L1-RSRP or L1-SINR is supported, depending on the presence of strong interference. </w:t>
      </w:r>
    </w:p>
    <w:p w:rsidR="009750CC" w:rsidRPr="002F4C25" w:rsidRDefault="009750CC" w:rsidP="009750CC">
      <w:pPr>
        <w:spacing w:line="288" w:lineRule="auto"/>
        <w:rPr>
          <w:rFonts w:asciiTheme="minorHAnsi" w:hAnsiTheme="minorHAnsi" w:cstheme="minorHAnsi"/>
          <w:b/>
        </w:rPr>
      </w:pPr>
      <w:r w:rsidRPr="00CE1FF5">
        <w:rPr>
          <w:rFonts w:asciiTheme="minorHAnsi" w:hAnsiTheme="minorHAnsi" w:cstheme="minorHAnsi"/>
          <w:b/>
        </w:rPr>
        <w:t xml:space="preserve">Proposal </w:t>
      </w:r>
      <w:r>
        <w:rPr>
          <w:rFonts w:asciiTheme="minorHAnsi" w:hAnsiTheme="minorHAnsi" w:cstheme="minorHAnsi"/>
          <w:b/>
        </w:rPr>
        <w:t>10</w:t>
      </w:r>
      <w:r w:rsidRPr="00CE1FF5">
        <w:rPr>
          <w:rFonts w:asciiTheme="minorHAnsi" w:hAnsiTheme="minorHAnsi" w:cstheme="minorHAnsi"/>
          <w:b/>
        </w:rPr>
        <w:t>: CLI across hop orders should be taken into account in topology formation in IAB</w:t>
      </w:r>
      <w:r w:rsidR="00201870">
        <w:rPr>
          <w:rFonts w:asciiTheme="minorHAnsi" w:hAnsiTheme="minorHAnsi" w:cstheme="minorHAnsi"/>
          <w:b/>
        </w:rPr>
        <w:t>.</w:t>
      </w:r>
    </w:p>
    <w:p w:rsidR="009750CC" w:rsidRDefault="009750CC" w:rsidP="009750CC">
      <w:pPr>
        <w:spacing w:before="0" w:after="0" w:line="288" w:lineRule="auto"/>
        <w:rPr>
          <w:rFonts w:ascii="Calibri" w:hAnsi="Calibri"/>
          <w:b/>
          <w:color w:val="000000"/>
          <w:kern w:val="24"/>
        </w:rPr>
      </w:pPr>
      <w:r>
        <w:rPr>
          <w:rFonts w:ascii="Calibri" w:hAnsi="Calibri"/>
          <w:b/>
          <w:color w:val="000000"/>
          <w:kern w:val="24"/>
        </w:rPr>
        <w:t>Proposal 11: IAB should support short term and long term CLI measurement and coordination of measurement occasions across multiple backhaul hops, which can enable load measurement, identification of the level of coupling between interfering nodes, and take into account multiple antenna and beamforming techniques at the transmitter and receiver.</w:t>
      </w:r>
    </w:p>
    <w:p w:rsidR="009550DA" w:rsidRDefault="009550DA" w:rsidP="009550DA">
      <w:pPr>
        <w:pStyle w:val="maintext"/>
        <w:ind w:firstLineChars="0" w:firstLine="0"/>
        <w:rPr>
          <w:rFonts w:ascii="Calibri" w:hAnsi="Calibri"/>
          <w:b/>
        </w:rPr>
      </w:pPr>
      <w:r w:rsidRPr="00BA6FDB">
        <w:rPr>
          <w:rFonts w:ascii="Calibri" w:hAnsi="Calibri"/>
          <w:b/>
        </w:rPr>
        <w:t xml:space="preserve">Proposal </w:t>
      </w:r>
      <w:r w:rsidR="00287D4D">
        <w:rPr>
          <w:rFonts w:ascii="Calibri" w:hAnsi="Calibri"/>
          <w:b/>
        </w:rPr>
        <w:t>1</w:t>
      </w:r>
      <w:r w:rsidR="009750CC">
        <w:rPr>
          <w:rFonts w:ascii="Calibri" w:hAnsi="Calibri"/>
          <w:b/>
        </w:rPr>
        <w:t>2</w:t>
      </w:r>
      <w:r w:rsidRPr="00BA6FDB">
        <w:rPr>
          <w:rFonts w:ascii="Calibri" w:hAnsi="Calibri"/>
          <w:b/>
        </w:rPr>
        <w:t>:</w:t>
      </w:r>
      <w:r>
        <w:rPr>
          <w:rFonts w:ascii="Calibri" w:hAnsi="Calibri"/>
          <w:b/>
        </w:rPr>
        <w:t xml:space="preserve"> DL and UL transmit power coordination between IAB nodes should be supported, including mechanisms for DL power control between a parent and child IAB node.</w:t>
      </w:r>
    </w:p>
    <w:p w:rsidR="006703A8" w:rsidRDefault="006703A8" w:rsidP="00172743">
      <w:pPr>
        <w:spacing w:before="0" w:after="0"/>
        <w:rPr>
          <w:rFonts w:ascii="Calibri" w:hAnsi="Calibri"/>
        </w:rPr>
      </w:pPr>
    </w:p>
    <w:p w:rsidR="00FE6C15" w:rsidRPr="0076067D" w:rsidRDefault="00FE6C15" w:rsidP="0076067D">
      <w:pPr>
        <w:pStyle w:val="Heading1"/>
      </w:pPr>
      <w:r>
        <w:t>Reference</w:t>
      </w:r>
    </w:p>
    <w:p w:rsidR="00D724F9" w:rsidRDefault="00C724F1" w:rsidP="00D724F9">
      <w:pPr>
        <w:pStyle w:val="2222"/>
        <w:numPr>
          <w:ilvl w:val="0"/>
          <w:numId w:val="5"/>
        </w:numPr>
        <w:spacing w:after="120" w:line="288" w:lineRule="auto"/>
        <w:ind w:left="360" w:firstLineChars="0"/>
        <w:jc w:val="left"/>
        <w:rPr>
          <w:rFonts w:cs="Times New Roman"/>
          <w:lang w:eastAsia="ko-KR"/>
        </w:rPr>
      </w:pPr>
      <w:r>
        <w:rPr>
          <w:rFonts w:cs="Times New Roman"/>
          <w:lang w:eastAsia="ko-KR"/>
        </w:rPr>
        <w:t>RP-170831, Study on Integrated Access and Backhaul for NR, AT&amp;T, Qualcomm, Samsung.</w:t>
      </w:r>
    </w:p>
    <w:p w:rsidR="00D724F9" w:rsidRPr="00D724F9" w:rsidRDefault="00D724F9" w:rsidP="00D724F9">
      <w:pPr>
        <w:pStyle w:val="2222"/>
        <w:numPr>
          <w:ilvl w:val="0"/>
          <w:numId w:val="5"/>
        </w:numPr>
        <w:spacing w:after="120" w:line="288" w:lineRule="auto"/>
        <w:ind w:left="360" w:firstLineChars="0"/>
        <w:jc w:val="left"/>
        <w:rPr>
          <w:rFonts w:cs="Times New Roman"/>
          <w:lang w:eastAsia="ko-KR"/>
        </w:rPr>
      </w:pPr>
      <w:r>
        <w:rPr>
          <w:rFonts w:cs="Times New Roman"/>
          <w:lang w:eastAsia="ko-KR"/>
        </w:rPr>
        <w:t>R1-181</w:t>
      </w:r>
      <w:r w:rsidRPr="00D724F9">
        <w:rPr>
          <w:rFonts w:cs="Times New Roman"/>
          <w:lang w:eastAsia="ko-KR"/>
        </w:rPr>
        <w:t>2</w:t>
      </w:r>
      <w:r>
        <w:rPr>
          <w:rFonts w:cs="Times New Roman"/>
          <w:lang w:eastAsia="ko-KR"/>
        </w:rPr>
        <w:t>8</w:t>
      </w:r>
      <w:r w:rsidRPr="00D724F9">
        <w:rPr>
          <w:rFonts w:cs="Times New Roman"/>
          <w:lang w:eastAsia="ko-KR"/>
        </w:rPr>
        <w:t>60, Evaluation results for NR IAB</w:t>
      </w:r>
      <w:r>
        <w:rPr>
          <w:rFonts w:cs="Times New Roman"/>
          <w:lang w:eastAsia="ko-KR"/>
        </w:rPr>
        <w:t>, AT&amp;T</w:t>
      </w:r>
      <w:bookmarkStart w:id="3" w:name="_GoBack"/>
      <w:bookmarkEnd w:id="3"/>
    </w:p>
    <w:p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5177" w:rsidRDefault="00385177" w:rsidP="00424124">
      <w:pPr>
        <w:spacing w:before="0" w:after="0"/>
      </w:pPr>
      <w:r>
        <w:separator/>
      </w:r>
    </w:p>
  </w:endnote>
  <w:endnote w:type="continuationSeparator" w:id="0">
    <w:p w:rsidR="00385177" w:rsidRDefault="00385177"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5177" w:rsidRDefault="00385177" w:rsidP="00424124">
      <w:pPr>
        <w:spacing w:before="0" w:after="0"/>
      </w:pPr>
      <w:r>
        <w:separator/>
      </w:r>
    </w:p>
  </w:footnote>
  <w:footnote w:type="continuationSeparator" w:id="0">
    <w:p w:rsidR="00385177" w:rsidRDefault="00385177"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3"/>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5"/>
  </w:num>
  <w:num w:numId="8">
    <w:abstractNumId w:val="11"/>
  </w:num>
  <w:num w:numId="9">
    <w:abstractNumId w:val="2"/>
  </w:num>
  <w:num w:numId="10">
    <w:abstractNumId w:val="3"/>
  </w:num>
  <w:num w:numId="11">
    <w:abstractNumId w:val="14"/>
  </w:num>
  <w:num w:numId="12">
    <w:abstractNumId w:val="7"/>
  </w:num>
  <w:num w:numId="13">
    <w:abstractNumId w:val="8"/>
  </w:num>
  <w:num w:numId="14">
    <w:abstractNumId w:val="17"/>
  </w:num>
  <w:num w:numId="15">
    <w:abstractNumId w:val="1"/>
  </w:num>
  <w:num w:numId="16">
    <w:abstractNumId w:val="16"/>
  </w:num>
  <w:num w:numId="17">
    <w:abstractNumId w:val="12"/>
  </w:num>
  <w:num w:numId="1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2D47"/>
    <w:rsid w:val="000337FC"/>
    <w:rsid w:val="000440EF"/>
    <w:rsid w:val="000463E4"/>
    <w:rsid w:val="00051B4B"/>
    <w:rsid w:val="00051EBB"/>
    <w:rsid w:val="0005289E"/>
    <w:rsid w:val="000550BC"/>
    <w:rsid w:val="00057E9B"/>
    <w:rsid w:val="000643FA"/>
    <w:rsid w:val="00070728"/>
    <w:rsid w:val="000730C9"/>
    <w:rsid w:val="0007575F"/>
    <w:rsid w:val="00075B2C"/>
    <w:rsid w:val="00075FD1"/>
    <w:rsid w:val="00077712"/>
    <w:rsid w:val="00085800"/>
    <w:rsid w:val="000865E3"/>
    <w:rsid w:val="000917C5"/>
    <w:rsid w:val="00097DC6"/>
    <w:rsid w:val="000A36A9"/>
    <w:rsid w:val="000B0720"/>
    <w:rsid w:val="000B58AF"/>
    <w:rsid w:val="000B6D99"/>
    <w:rsid w:val="000C05C0"/>
    <w:rsid w:val="000C21D0"/>
    <w:rsid w:val="000C57B9"/>
    <w:rsid w:val="000D38DC"/>
    <w:rsid w:val="000E29D8"/>
    <w:rsid w:val="0010303E"/>
    <w:rsid w:val="0011327D"/>
    <w:rsid w:val="00116DA6"/>
    <w:rsid w:val="001279BC"/>
    <w:rsid w:val="00137E15"/>
    <w:rsid w:val="001417A8"/>
    <w:rsid w:val="00153793"/>
    <w:rsid w:val="00172743"/>
    <w:rsid w:val="00175301"/>
    <w:rsid w:val="001A5A68"/>
    <w:rsid w:val="001A6212"/>
    <w:rsid w:val="001A75E0"/>
    <w:rsid w:val="001B731B"/>
    <w:rsid w:val="001C4ACE"/>
    <w:rsid w:val="001C699C"/>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727DB"/>
    <w:rsid w:val="00385177"/>
    <w:rsid w:val="00386642"/>
    <w:rsid w:val="00392176"/>
    <w:rsid w:val="003921D6"/>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24124"/>
    <w:rsid w:val="00434212"/>
    <w:rsid w:val="00440F6E"/>
    <w:rsid w:val="00443645"/>
    <w:rsid w:val="00443CD6"/>
    <w:rsid w:val="004552C9"/>
    <w:rsid w:val="004607AC"/>
    <w:rsid w:val="0046127E"/>
    <w:rsid w:val="00466E46"/>
    <w:rsid w:val="004678E1"/>
    <w:rsid w:val="004709B7"/>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6ED8"/>
    <w:rsid w:val="004C7784"/>
    <w:rsid w:val="004D453B"/>
    <w:rsid w:val="004D780D"/>
    <w:rsid w:val="004D7CF8"/>
    <w:rsid w:val="004E6BC0"/>
    <w:rsid w:val="004E6D3B"/>
    <w:rsid w:val="005007E9"/>
    <w:rsid w:val="00504C05"/>
    <w:rsid w:val="00504E5F"/>
    <w:rsid w:val="005055A6"/>
    <w:rsid w:val="00507060"/>
    <w:rsid w:val="0051179B"/>
    <w:rsid w:val="00512838"/>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A18B4"/>
    <w:rsid w:val="005A60B4"/>
    <w:rsid w:val="005B47BD"/>
    <w:rsid w:val="005B69C2"/>
    <w:rsid w:val="005B6FA6"/>
    <w:rsid w:val="005D2C51"/>
    <w:rsid w:val="005F21BF"/>
    <w:rsid w:val="005F613D"/>
    <w:rsid w:val="00600F57"/>
    <w:rsid w:val="00603015"/>
    <w:rsid w:val="0060603E"/>
    <w:rsid w:val="00632789"/>
    <w:rsid w:val="00633934"/>
    <w:rsid w:val="00634707"/>
    <w:rsid w:val="00636F9E"/>
    <w:rsid w:val="006439F2"/>
    <w:rsid w:val="00644034"/>
    <w:rsid w:val="006477B7"/>
    <w:rsid w:val="00652AC8"/>
    <w:rsid w:val="0065437E"/>
    <w:rsid w:val="0066157D"/>
    <w:rsid w:val="006703A8"/>
    <w:rsid w:val="0067125A"/>
    <w:rsid w:val="00671E30"/>
    <w:rsid w:val="006756FB"/>
    <w:rsid w:val="00677BD0"/>
    <w:rsid w:val="00685B82"/>
    <w:rsid w:val="00685E11"/>
    <w:rsid w:val="0069705B"/>
    <w:rsid w:val="006A0EDC"/>
    <w:rsid w:val="006A18DB"/>
    <w:rsid w:val="006A2D2E"/>
    <w:rsid w:val="006C0BAC"/>
    <w:rsid w:val="006C452E"/>
    <w:rsid w:val="006C7692"/>
    <w:rsid w:val="006D6ABC"/>
    <w:rsid w:val="006E790B"/>
    <w:rsid w:val="006F055C"/>
    <w:rsid w:val="006F52D9"/>
    <w:rsid w:val="00702C40"/>
    <w:rsid w:val="00707D20"/>
    <w:rsid w:val="00710F58"/>
    <w:rsid w:val="00713175"/>
    <w:rsid w:val="00713382"/>
    <w:rsid w:val="00714B77"/>
    <w:rsid w:val="00714CA5"/>
    <w:rsid w:val="00721AD7"/>
    <w:rsid w:val="007225EF"/>
    <w:rsid w:val="00722BA6"/>
    <w:rsid w:val="00723DC5"/>
    <w:rsid w:val="00726B84"/>
    <w:rsid w:val="00727952"/>
    <w:rsid w:val="007316AF"/>
    <w:rsid w:val="007338D6"/>
    <w:rsid w:val="00740B36"/>
    <w:rsid w:val="00747A6F"/>
    <w:rsid w:val="0075622F"/>
    <w:rsid w:val="0076067D"/>
    <w:rsid w:val="00782CDC"/>
    <w:rsid w:val="007839F9"/>
    <w:rsid w:val="00784132"/>
    <w:rsid w:val="00786229"/>
    <w:rsid w:val="0078708D"/>
    <w:rsid w:val="00787145"/>
    <w:rsid w:val="00791D57"/>
    <w:rsid w:val="007A2765"/>
    <w:rsid w:val="007B13E5"/>
    <w:rsid w:val="007B2F6B"/>
    <w:rsid w:val="007B473A"/>
    <w:rsid w:val="007C4B85"/>
    <w:rsid w:val="007D0BB2"/>
    <w:rsid w:val="007D2C48"/>
    <w:rsid w:val="007E546F"/>
    <w:rsid w:val="007F0AF3"/>
    <w:rsid w:val="007F1928"/>
    <w:rsid w:val="007F392E"/>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B39B6"/>
    <w:rsid w:val="008C1AFD"/>
    <w:rsid w:val="008C4B67"/>
    <w:rsid w:val="008D1AEF"/>
    <w:rsid w:val="008E48C2"/>
    <w:rsid w:val="008F2160"/>
    <w:rsid w:val="00901B67"/>
    <w:rsid w:val="00905E86"/>
    <w:rsid w:val="009124E4"/>
    <w:rsid w:val="00917D0F"/>
    <w:rsid w:val="00924EA9"/>
    <w:rsid w:val="00925FA2"/>
    <w:rsid w:val="00926A9C"/>
    <w:rsid w:val="00927803"/>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21D13"/>
    <w:rsid w:val="00A22671"/>
    <w:rsid w:val="00A22C61"/>
    <w:rsid w:val="00A262E4"/>
    <w:rsid w:val="00A26EC3"/>
    <w:rsid w:val="00A300E0"/>
    <w:rsid w:val="00A359C7"/>
    <w:rsid w:val="00A41CF3"/>
    <w:rsid w:val="00A456B1"/>
    <w:rsid w:val="00A4674D"/>
    <w:rsid w:val="00A547CE"/>
    <w:rsid w:val="00A55FF3"/>
    <w:rsid w:val="00A603CE"/>
    <w:rsid w:val="00A64CF7"/>
    <w:rsid w:val="00A72B33"/>
    <w:rsid w:val="00A821EA"/>
    <w:rsid w:val="00A8721E"/>
    <w:rsid w:val="00A92495"/>
    <w:rsid w:val="00AA5160"/>
    <w:rsid w:val="00AA5899"/>
    <w:rsid w:val="00AB0589"/>
    <w:rsid w:val="00AB75A3"/>
    <w:rsid w:val="00AB7FC6"/>
    <w:rsid w:val="00AC05AE"/>
    <w:rsid w:val="00AD115D"/>
    <w:rsid w:val="00AD16AE"/>
    <w:rsid w:val="00AD6C53"/>
    <w:rsid w:val="00AE72F4"/>
    <w:rsid w:val="00AF0A4B"/>
    <w:rsid w:val="00AF4BBC"/>
    <w:rsid w:val="00AF65DE"/>
    <w:rsid w:val="00B04278"/>
    <w:rsid w:val="00B12672"/>
    <w:rsid w:val="00B2434D"/>
    <w:rsid w:val="00B24D29"/>
    <w:rsid w:val="00B32216"/>
    <w:rsid w:val="00B34716"/>
    <w:rsid w:val="00B3707E"/>
    <w:rsid w:val="00B55FA2"/>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15E1"/>
    <w:rsid w:val="00BD34B4"/>
    <w:rsid w:val="00BE26B4"/>
    <w:rsid w:val="00BF2C5D"/>
    <w:rsid w:val="00BF31E3"/>
    <w:rsid w:val="00BF5F1C"/>
    <w:rsid w:val="00C07731"/>
    <w:rsid w:val="00C17E83"/>
    <w:rsid w:val="00C218A9"/>
    <w:rsid w:val="00C261F4"/>
    <w:rsid w:val="00C40BE6"/>
    <w:rsid w:val="00C47EE0"/>
    <w:rsid w:val="00C534CA"/>
    <w:rsid w:val="00C63006"/>
    <w:rsid w:val="00C67568"/>
    <w:rsid w:val="00C7007B"/>
    <w:rsid w:val="00C71871"/>
    <w:rsid w:val="00C724F1"/>
    <w:rsid w:val="00C735F1"/>
    <w:rsid w:val="00C913B6"/>
    <w:rsid w:val="00C91C5E"/>
    <w:rsid w:val="00C92E44"/>
    <w:rsid w:val="00CA6EA3"/>
    <w:rsid w:val="00CB15A7"/>
    <w:rsid w:val="00CB6D97"/>
    <w:rsid w:val="00CC09CE"/>
    <w:rsid w:val="00CD7B54"/>
    <w:rsid w:val="00CE0C9D"/>
    <w:rsid w:val="00CE1FF5"/>
    <w:rsid w:val="00D10682"/>
    <w:rsid w:val="00D134C5"/>
    <w:rsid w:val="00D23CDC"/>
    <w:rsid w:val="00D26593"/>
    <w:rsid w:val="00D268EB"/>
    <w:rsid w:val="00D26CFF"/>
    <w:rsid w:val="00D274C6"/>
    <w:rsid w:val="00D446F1"/>
    <w:rsid w:val="00D456D8"/>
    <w:rsid w:val="00D45A0E"/>
    <w:rsid w:val="00D4645D"/>
    <w:rsid w:val="00D4758C"/>
    <w:rsid w:val="00D50169"/>
    <w:rsid w:val="00D5391C"/>
    <w:rsid w:val="00D55FAB"/>
    <w:rsid w:val="00D56786"/>
    <w:rsid w:val="00D61EAB"/>
    <w:rsid w:val="00D701D3"/>
    <w:rsid w:val="00D724F9"/>
    <w:rsid w:val="00D7445F"/>
    <w:rsid w:val="00D91E8D"/>
    <w:rsid w:val="00D92B1D"/>
    <w:rsid w:val="00DB0323"/>
    <w:rsid w:val="00DB1FA7"/>
    <w:rsid w:val="00DB3BFC"/>
    <w:rsid w:val="00DC0E31"/>
    <w:rsid w:val="00DC70D0"/>
    <w:rsid w:val="00DC7DD6"/>
    <w:rsid w:val="00DD3971"/>
    <w:rsid w:val="00DE2A3F"/>
    <w:rsid w:val="00DF5F45"/>
    <w:rsid w:val="00E03E65"/>
    <w:rsid w:val="00E13146"/>
    <w:rsid w:val="00E174FC"/>
    <w:rsid w:val="00E20070"/>
    <w:rsid w:val="00E20994"/>
    <w:rsid w:val="00E22124"/>
    <w:rsid w:val="00E261AD"/>
    <w:rsid w:val="00E324C0"/>
    <w:rsid w:val="00E40344"/>
    <w:rsid w:val="00E46D61"/>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311C"/>
    <w:rsid w:val="00F154D0"/>
    <w:rsid w:val="00F261D6"/>
    <w:rsid w:val="00F26D45"/>
    <w:rsid w:val="00F30C84"/>
    <w:rsid w:val="00F35704"/>
    <w:rsid w:val="00F35911"/>
    <w:rsid w:val="00F35DD7"/>
    <w:rsid w:val="00F42D43"/>
    <w:rsid w:val="00F463C9"/>
    <w:rsid w:val="00F57965"/>
    <w:rsid w:val="00F71810"/>
    <w:rsid w:val="00F72ABE"/>
    <w:rsid w:val="00F72B1B"/>
    <w:rsid w:val="00F7596C"/>
    <w:rsid w:val="00F77E12"/>
    <w:rsid w:val="00F814DE"/>
    <w:rsid w:val="00F86EE6"/>
    <w:rsid w:val="00F90045"/>
    <w:rsid w:val="00F925FE"/>
    <w:rsid w:val="00F959A1"/>
    <w:rsid w:val="00FA0472"/>
    <w:rsid w:val="00FA28D1"/>
    <w:rsid w:val="00FA6558"/>
    <w:rsid w:val="00FB2665"/>
    <w:rsid w:val="00FC3DE0"/>
    <w:rsid w:val="00FC61FD"/>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147173"/>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PowerPoint_Presentation.pptx"/><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cid:image002.png@01D39440.045232F0" TargetMode="External"/><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cid:image005.png@01D3944D.5F473090"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CB958-1653-4418-8053-5EA5B3939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4326</Words>
  <Characters>24662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28931</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(AT&amp;T)</cp:lastModifiedBy>
  <cp:revision>4</cp:revision>
  <cp:lastPrinted>2018-09-28T20:14:00Z</cp:lastPrinted>
  <dcterms:created xsi:type="dcterms:W3CDTF">2018-11-02T19:47:00Z</dcterms:created>
  <dcterms:modified xsi:type="dcterms:W3CDTF">2018-11-02T20:13:00Z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