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0AA41C5B" w:rsidR="00EB10CB" w:rsidRPr="00FC7BBB" w:rsidRDefault="000D7D1B" w:rsidP="00581FED">
      <w:pPr>
        <w:tabs>
          <w:tab w:val="right" w:pos="9360"/>
        </w:tabs>
        <w:spacing w:after="0"/>
        <w:jc w:val="both"/>
        <w:rPr>
          <w:rFonts w:ascii="Arial" w:hAnsi="Arial" w:cs="Arial"/>
          <w:b/>
          <w:i/>
          <w:sz w:val="24"/>
          <w:lang w:eastAsia="zh-CN"/>
        </w:rPr>
      </w:pPr>
      <w:bookmarkStart w:id="0" w:name="OLE_LINK6"/>
      <w:bookmarkStart w:id="1" w:name="OLE_LINK7"/>
      <w:r w:rsidRPr="0052548E">
        <w:rPr>
          <w:rFonts w:ascii="Arial" w:hAnsi="Arial" w:cs="Arial"/>
          <w:b/>
          <w:bCs/>
          <w:sz w:val="28"/>
        </w:rPr>
        <w:t>3GPP TSG RAN WG1 Meeting</w:t>
      </w:r>
      <w:r>
        <w:rPr>
          <w:rFonts w:ascii="Arial" w:hAnsi="Arial" w:cs="Arial"/>
          <w:b/>
          <w:bCs/>
          <w:sz w:val="28"/>
        </w:rPr>
        <w:t xml:space="preserve"> #9</w:t>
      </w:r>
      <w:r w:rsidR="003D7458">
        <w:rPr>
          <w:rFonts w:ascii="Arial" w:hAnsi="Arial" w:cs="Arial"/>
          <w:b/>
          <w:bCs/>
          <w:sz w:val="28"/>
        </w:rPr>
        <w:t>5</w:t>
      </w:r>
      <w:r w:rsidR="00EB10CB" w:rsidRPr="00FC7BBB">
        <w:rPr>
          <w:rFonts w:ascii="Arial" w:hAnsi="Arial" w:cs="Arial"/>
          <w:b/>
          <w:sz w:val="24"/>
        </w:rPr>
        <w:tab/>
      </w:r>
      <w:r w:rsidR="0015121D">
        <w:rPr>
          <w:rFonts w:ascii="Arial" w:hAnsi="Arial" w:cs="Arial"/>
          <w:b/>
          <w:sz w:val="24"/>
        </w:rPr>
        <w:t xml:space="preserve">     </w:t>
      </w:r>
      <w:r w:rsidR="00EB10CB" w:rsidRPr="00FC7BBB">
        <w:rPr>
          <w:rFonts w:ascii="Arial" w:hAnsi="Arial" w:cs="Arial"/>
          <w:b/>
          <w:sz w:val="24"/>
        </w:rPr>
        <w:t xml:space="preserve">     </w:t>
      </w:r>
      <w:r w:rsidR="00D92C38">
        <w:rPr>
          <w:rFonts w:ascii="Arial" w:hAnsi="Arial" w:cs="Arial"/>
          <w:b/>
          <w:sz w:val="24"/>
        </w:rPr>
        <w:t xml:space="preserve">    </w:t>
      </w:r>
      <w:r w:rsidR="003D7458" w:rsidRPr="003D7458">
        <w:rPr>
          <w:rFonts w:ascii="Arial" w:hAnsi="Arial" w:cs="Arial"/>
          <w:b/>
          <w:sz w:val="24"/>
        </w:rPr>
        <w:t>R1-1812521</w:t>
      </w:r>
    </w:p>
    <w:p w14:paraId="6355231E" w14:textId="6CD4DFA1" w:rsidR="000D7D1B" w:rsidRPr="009513AC" w:rsidRDefault="003D7458" w:rsidP="000D7D1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sidR="000D7D1B">
        <w:rPr>
          <w:rFonts w:ascii="Arial" w:eastAsia="MS Mincho" w:hAnsi="Arial" w:cs="Arial"/>
          <w:b/>
          <w:bCs/>
          <w:sz w:val="28"/>
          <w:lang w:eastAsia="ja-JP"/>
        </w:rPr>
        <w:t xml:space="preserve">, </w:t>
      </w:r>
      <w:r>
        <w:rPr>
          <w:rFonts w:ascii="Arial" w:eastAsia="MS Mincho" w:hAnsi="Arial" w:cs="Arial"/>
          <w:b/>
          <w:bCs/>
          <w:sz w:val="28"/>
          <w:lang w:eastAsia="ja-JP"/>
        </w:rPr>
        <w:t>USA</w:t>
      </w:r>
      <w:r w:rsidR="000D7D1B">
        <w:rPr>
          <w:rFonts w:ascii="Arial" w:eastAsia="MS Mincho" w:hAnsi="Arial" w:cs="Arial"/>
          <w:b/>
          <w:bCs/>
          <w:sz w:val="28"/>
          <w:lang w:eastAsia="ja-JP"/>
        </w:rPr>
        <w:t xml:space="preserve">, </w:t>
      </w:r>
      <w:r>
        <w:rPr>
          <w:rFonts w:ascii="Arial" w:eastAsia="MS Mincho" w:hAnsi="Arial" w:cs="Arial"/>
          <w:b/>
          <w:bCs/>
          <w:sz w:val="28"/>
          <w:lang w:eastAsia="ja-JP"/>
        </w:rPr>
        <w:t>November</w:t>
      </w:r>
      <w:r w:rsidR="000D7D1B">
        <w:rPr>
          <w:rFonts w:ascii="Arial" w:eastAsia="MS Mincho" w:hAnsi="Arial" w:cs="Arial"/>
          <w:b/>
          <w:bCs/>
          <w:sz w:val="28"/>
          <w:lang w:eastAsia="ja-JP"/>
        </w:rPr>
        <w:t xml:space="preserve"> </w:t>
      </w:r>
      <w:r>
        <w:rPr>
          <w:rFonts w:ascii="Arial" w:eastAsia="MS Mincho" w:hAnsi="Arial" w:cs="Arial"/>
          <w:b/>
          <w:bCs/>
          <w:sz w:val="28"/>
          <w:lang w:eastAsia="ja-JP"/>
        </w:rPr>
        <w:t>12</w:t>
      </w:r>
      <w:r w:rsidR="000D7D1B" w:rsidRPr="007043DB">
        <w:rPr>
          <w:rFonts w:ascii="Arial" w:eastAsia="MS Mincho" w:hAnsi="Arial" w:cs="Arial"/>
          <w:b/>
          <w:bCs/>
          <w:sz w:val="28"/>
          <w:vertAlign w:val="superscript"/>
          <w:lang w:eastAsia="ja-JP"/>
        </w:rPr>
        <w:t>th</w:t>
      </w:r>
      <w:r w:rsidR="000D7D1B">
        <w:rPr>
          <w:rFonts w:ascii="Arial" w:eastAsia="MS Mincho" w:hAnsi="Arial" w:cs="Arial"/>
          <w:b/>
          <w:bCs/>
          <w:sz w:val="28"/>
          <w:lang w:eastAsia="ja-JP"/>
        </w:rPr>
        <w:t xml:space="preserve"> – 1</w:t>
      </w:r>
      <w:r>
        <w:rPr>
          <w:rFonts w:ascii="Arial" w:eastAsia="MS Mincho" w:hAnsi="Arial" w:cs="Arial"/>
          <w:b/>
          <w:bCs/>
          <w:sz w:val="28"/>
          <w:lang w:eastAsia="ja-JP"/>
        </w:rPr>
        <w:t>6</w:t>
      </w:r>
      <w:r w:rsidR="000D7D1B" w:rsidRPr="007043DB">
        <w:rPr>
          <w:rFonts w:ascii="Arial" w:eastAsia="MS Mincho" w:hAnsi="Arial" w:cs="Arial"/>
          <w:b/>
          <w:bCs/>
          <w:sz w:val="28"/>
          <w:vertAlign w:val="superscript"/>
          <w:lang w:eastAsia="ja-JP"/>
        </w:rPr>
        <w:t>th</w:t>
      </w:r>
      <w:r w:rsidR="000D7D1B">
        <w:rPr>
          <w:rFonts w:ascii="Arial" w:eastAsia="MS Mincho" w:hAnsi="Arial" w:cs="Arial"/>
          <w:b/>
          <w:bCs/>
          <w:sz w:val="28"/>
          <w:lang w:eastAsia="ja-JP"/>
        </w:rPr>
        <w:t xml:space="preserve">, 2018 </w:t>
      </w:r>
    </w:p>
    <w:p w14:paraId="57BEC38B" w14:textId="77777777" w:rsidR="00581FED" w:rsidRPr="00FC7BBB" w:rsidRDefault="00581FED" w:rsidP="00581FED">
      <w:pPr>
        <w:spacing w:after="0"/>
        <w:rPr>
          <w:rFonts w:ascii="Arial" w:hAnsi="Arial" w:cs="Arial"/>
          <w:b/>
          <w:sz w:val="24"/>
        </w:rPr>
      </w:pPr>
    </w:p>
    <w:p w14:paraId="4C6092AC" w14:textId="0E384C33"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0D7D1B">
        <w:rPr>
          <w:rFonts w:ascii="Arial" w:hAnsi="Arial"/>
          <w:b/>
          <w:sz w:val="24"/>
        </w:rPr>
        <w:t>7</w:t>
      </w:r>
      <w:r w:rsidR="00CE7A0A">
        <w:rPr>
          <w:rFonts w:ascii="Arial" w:hAnsi="Arial"/>
          <w:b/>
          <w:sz w:val="24"/>
        </w:rPr>
        <w:t>.</w:t>
      </w:r>
      <w:r w:rsidR="000D7D1B">
        <w:rPr>
          <w:rFonts w:ascii="Arial" w:hAnsi="Arial"/>
          <w:b/>
          <w:sz w:val="24"/>
        </w:rPr>
        <w:t>1.7</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0CC9BBA3"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3D7458" w:rsidRPr="003D7458">
        <w:rPr>
          <w:rFonts w:ascii="Arial" w:hAnsi="Arial"/>
          <w:b/>
          <w:sz w:val="24"/>
        </w:rPr>
        <w:t>Rel-15 UE feature list</w:t>
      </w:r>
    </w:p>
    <w:p w14:paraId="752CCA5F" w14:textId="2688715D"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w:t>
      </w:r>
      <w:r w:rsidR="000D7D1B">
        <w:rPr>
          <w:rFonts w:ascii="Arial" w:hAnsi="Arial"/>
          <w:b/>
          <w:sz w:val="24"/>
        </w:rPr>
        <w:t>/Decision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3D9940BA" w14:textId="7C36ECB9" w:rsidR="00BA5B0F" w:rsidRDefault="000D7D1B" w:rsidP="00EF2D8F">
      <w:pPr>
        <w:pStyle w:val="LGTdoc"/>
        <w:spacing w:before="20" w:afterLines="0" w:line="240" w:lineRule="auto"/>
        <w:rPr>
          <w:sz w:val="20"/>
          <w:szCs w:val="20"/>
          <w:lang w:val="en-US"/>
        </w:rPr>
      </w:pPr>
      <w:r>
        <w:rPr>
          <w:sz w:val="20"/>
          <w:szCs w:val="20"/>
          <w:lang w:val="en-US"/>
        </w:rPr>
        <w:t>Based on latest update from RAN</w:t>
      </w:r>
      <w:r w:rsidR="00B32D0F">
        <w:rPr>
          <w:sz w:val="20"/>
          <w:szCs w:val="20"/>
          <w:lang w:val="en-US"/>
        </w:rPr>
        <w:t>1</w:t>
      </w:r>
      <w:r>
        <w:rPr>
          <w:sz w:val="20"/>
          <w:szCs w:val="20"/>
          <w:lang w:val="en-US"/>
        </w:rPr>
        <w:t>#</w:t>
      </w:r>
      <w:r w:rsidR="00B32D0F">
        <w:rPr>
          <w:sz w:val="20"/>
          <w:szCs w:val="20"/>
          <w:lang w:val="en-US"/>
        </w:rPr>
        <w:t>94bis</w:t>
      </w:r>
      <w:r>
        <w:rPr>
          <w:sz w:val="20"/>
          <w:szCs w:val="20"/>
          <w:lang w:val="en-US"/>
        </w:rPr>
        <w:t xml:space="preserve"> [1], this contribution provides our views on Rel-15 NR UE feature list</w:t>
      </w:r>
      <w:r w:rsidR="00CE6E7B">
        <w:rPr>
          <w:sz w:val="20"/>
          <w:szCs w:val="20"/>
          <w:lang w:val="en-US"/>
        </w:rPr>
        <w:t>.</w:t>
      </w:r>
      <w:r w:rsidR="007706B4">
        <w:rPr>
          <w:sz w:val="20"/>
          <w:szCs w:val="20"/>
          <w:lang w:val="en-US"/>
        </w:rPr>
        <w:t xml:space="preserve"> </w:t>
      </w:r>
    </w:p>
    <w:p w14:paraId="2DF36FE8" w14:textId="29B3BC39" w:rsidR="00CE6E7B" w:rsidRPr="00FC7BBB" w:rsidRDefault="007C2374" w:rsidP="00CE6E7B">
      <w:pPr>
        <w:pStyle w:val="LGTdoc1"/>
        <w:numPr>
          <w:ilvl w:val="0"/>
          <w:numId w:val="2"/>
        </w:numPr>
        <w:spacing w:beforeLines="0" w:before="600" w:after="120" w:afterAutospacing="0"/>
        <w:ind w:left="432" w:hanging="432"/>
        <w:rPr>
          <w:rFonts w:ascii="Arial" w:hAnsi="Arial" w:cs="Arial"/>
          <w:lang w:val="en-US"/>
        </w:rPr>
      </w:pPr>
      <w:r>
        <w:rPr>
          <w:rFonts w:ascii="Arial" w:hAnsi="Arial" w:cs="Arial"/>
          <w:lang w:val="en-US"/>
        </w:rPr>
        <w:t>D</w:t>
      </w:r>
      <w:r w:rsidR="00540817">
        <w:rPr>
          <w:rFonts w:ascii="Arial" w:hAnsi="Arial" w:cs="Arial"/>
          <w:lang w:val="en-US"/>
        </w:rPr>
        <w:t>iscussions</w:t>
      </w:r>
      <w:r w:rsidR="00CE6E7B" w:rsidRPr="00FC7BBB">
        <w:rPr>
          <w:rFonts w:ascii="Arial" w:hAnsi="Arial" w:cs="Arial"/>
          <w:lang w:val="en-US"/>
        </w:rPr>
        <w:t xml:space="preserve"> </w:t>
      </w:r>
    </w:p>
    <w:p w14:paraId="1D420069" w14:textId="77777777" w:rsidR="00B27D47" w:rsidRDefault="00B27D47" w:rsidP="00CE6E7B">
      <w:pPr>
        <w:pStyle w:val="LGTdoc"/>
        <w:spacing w:before="20" w:afterLines="0" w:line="240" w:lineRule="auto"/>
        <w:rPr>
          <w:sz w:val="20"/>
          <w:lang w:val="en-US"/>
        </w:rPr>
      </w:pPr>
    </w:p>
    <w:p w14:paraId="086463DF" w14:textId="77777777" w:rsidR="00945687" w:rsidRDefault="00945687" w:rsidP="00CE6E7B">
      <w:pPr>
        <w:pStyle w:val="LGTdoc"/>
        <w:spacing w:before="20" w:afterLines="0" w:line="240" w:lineRule="auto"/>
        <w:rPr>
          <w:sz w:val="20"/>
          <w:lang w:val="en-US"/>
        </w:rPr>
      </w:pPr>
    </w:p>
    <w:p w14:paraId="2619E960" w14:textId="53C6EA3D" w:rsidR="00E55B13" w:rsidRPr="00F239A9" w:rsidRDefault="00F239A9" w:rsidP="00CE6E7B">
      <w:pPr>
        <w:pStyle w:val="LGTdoc"/>
        <w:spacing w:before="20" w:afterLines="0" w:line="240" w:lineRule="auto"/>
        <w:rPr>
          <w:b/>
          <w:sz w:val="20"/>
          <w:u w:val="single"/>
          <w:lang w:val="en-US"/>
        </w:rPr>
      </w:pPr>
      <w:r w:rsidRPr="00F239A9">
        <w:rPr>
          <w:b/>
          <w:sz w:val="20"/>
          <w:u w:val="single"/>
          <w:lang w:val="en-US"/>
        </w:rPr>
        <w:t>1-8: RLM based on a mix of SS block and CSI-RS signals</w:t>
      </w:r>
      <w:r w:rsidR="00FF615F">
        <w:rPr>
          <w:b/>
          <w:sz w:val="20"/>
          <w:u w:val="single"/>
          <w:lang w:val="en-US"/>
        </w:rPr>
        <w:t xml:space="preserve">: </w:t>
      </w:r>
      <w:r w:rsidR="00FF615F" w:rsidRPr="007E3962">
        <w:rPr>
          <w:b/>
          <w:i/>
          <w:sz w:val="20"/>
          <w:u w:val="single"/>
          <w:lang w:val="en-US"/>
        </w:rPr>
        <w:t>Optional with capability signaling</w:t>
      </w:r>
    </w:p>
    <w:p w14:paraId="72247BFA" w14:textId="77777777" w:rsidR="00F239A9" w:rsidRDefault="00F239A9" w:rsidP="00CE6E7B">
      <w:pPr>
        <w:pStyle w:val="LGTdoc"/>
        <w:spacing w:before="20" w:afterLines="0" w:line="240" w:lineRule="auto"/>
        <w:rPr>
          <w:sz w:val="20"/>
          <w:lang w:val="en-US"/>
        </w:rPr>
      </w:pPr>
    </w:p>
    <w:p w14:paraId="38E97DB7" w14:textId="5646DFD3" w:rsidR="00F239A9" w:rsidRDefault="00F01ABF" w:rsidP="00CE6E7B">
      <w:pPr>
        <w:pStyle w:val="LGTdoc"/>
        <w:spacing w:before="20" w:afterLines="0" w:line="240" w:lineRule="auto"/>
        <w:rPr>
          <w:sz w:val="20"/>
          <w:lang w:val="en-US"/>
        </w:rPr>
      </w:pPr>
      <w:r>
        <w:rPr>
          <w:sz w:val="20"/>
          <w:lang w:val="en-US"/>
        </w:rPr>
        <w:t xml:space="preserve">According to the decision in RAN#79, 1-4 (SS block based RLM) is mandatory with capability signaling which shall be set to ‘1’ (equivalent to mandatory without capability signaling), and 1-7 (CSI-RS based RLM) is mandatory without capability signaling. However, using both SSB and CSI-RS for RLM is </w:t>
      </w:r>
      <w:r w:rsidR="00EA38C1">
        <w:rPr>
          <w:sz w:val="20"/>
          <w:lang w:val="en-US"/>
        </w:rPr>
        <w:t xml:space="preserve">not essential and the benefits are </w:t>
      </w:r>
      <w:r w:rsidR="00FB37C9">
        <w:rPr>
          <w:sz w:val="20"/>
          <w:lang w:val="en-US"/>
        </w:rPr>
        <w:t xml:space="preserve">trivial and it can be used only </w:t>
      </w:r>
      <w:r w:rsidR="00FB11B6">
        <w:rPr>
          <w:sz w:val="20"/>
          <w:lang w:val="en-US"/>
        </w:rPr>
        <w:t xml:space="preserve">for the limited </w:t>
      </w:r>
      <w:r w:rsidR="00CC1233">
        <w:rPr>
          <w:sz w:val="20"/>
          <w:lang w:val="en-US"/>
        </w:rPr>
        <w:t xml:space="preserve">use </w:t>
      </w:r>
      <w:r w:rsidR="00FB11B6">
        <w:rPr>
          <w:sz w:val="20"/>
          <w:lang w:val="en-US"/>
        </w:rPr>
        <w:t>cases (e.g. both SSB and CSI-RS for RLM exist within the active BWP)</w:t>
      </w:r>
      <w:r w:rsidR="00EA38C1">
        <w:rPr>
          <w:sz w:val="20"/>
          <w:lang w:val="en-US"/>
        </w:rPr>
        <w:t xml:space="preserve"> - rather</w:t>
      </w:r>
      <w:r>
        <w:rPr>
          <w:sz w:val="20"/>
          <w:lang w:val="en-US"/>
        </w:rPr>
        <w:t xml:space="preserve"> it causes UE complexity quite a bit</w:t>
      </w:r>
      <w:r w:rsidR="001B764A">
        <w:rPr>
          <w:sz w:val="20"/>
          <w:lang w:val="en-US"/>
        </w:rPr>
        <w:t xml:space="preserve"> </w:t>
      </w:r>
      <w:r w:rsidR="00CC1233">
        <w:rPr>
          <w:sz w:val="20"/>
          <w:lang w:val="en-US"/>
        </w:rPr>
        <w:t xml:space="preserve">to handle both </w:t>
      </w:r>
      <w:r w:rsidR="001B764A">
        <w:rPr>
          <w:sz w:val="20"/>
          <w:lang w:val="en-US"/>
        </w:rPr>
        <w:t>and can increase UE power consumption, when configured</w:t>
      </w:r>
      <w:r>
        <w:rPr>
          <w:sz w:val="20"/>
          <w:lang w:val="en-US"/>
        </w:rPr>
        <w:t xml:space="preserve">. Thus, </w:t>
      </w:r>
      <w:r w:rsidR="00A13FC1">
        <w:rPr>
          <w:sz w:val="20"/>
          <w:lang w:val="en-US"/>
        </w:rPr>
        <w:t xml:space="preserve">FG </w:t>
      </w:r>
      <w:r>
        <w:rPr>
          <w:sz w:val="20"/>
          <w:lang w:val="en-US"/>
        </w:rPr>
        <w:t xml:space="preserve">1-8 </w:t>
      </w:r>
      <w:r w:rsidR="00FB37C9">
        <w:rPr>
          <w:sz w:val="20"/>
          <w:lang w:val="en-US"/>
        </w:rPr>
        <w:t xml:space="preserve">should be </w:t>
      </w:r>
      <w:r>
        <w:rPr>
          <w:sz w:val="20"/>
          <w:lang w:val="en-US"/>
        </w:rPr>
        <w:t>optional with capability signaling.</w:t>
      </w:r>
    </w:p>
    <w:p w14:paraId="0C8FCEA1" w14:textId="77777777" w:rsidR="00D60FE1" w:rsidRDefault="00D60FE1" w:rsidP="00CE6E7B">
      <w:pPr>
        <w:pStyle w:val="LGTdoc"/>
        <w:spacing w:before="20" w:afterLines="0" w:line="240" w:lineRule="auto"/>
        <w:rPr>
          <w:sz w:val="20"/>
        </w:rPr>
      </w:pPr>
    </w:p>
    <w:p w14:paraId="4FFC0A53" w14:textId="77777777" w:rsidR="005B62C2" w:rsidRDefault="005B62C2" w:rsidP="00CE6E7B">
      <w:pPr>
        <w:pStyle w:val="LGTdoc"/>
        <w:spacing w:before="20" w:afterLines="0" w:line="240" w:lineRule="auto"/>
        <w:rPr>
          <w:sz w:val="20"/>
        </w:rPr>
      </w:pPr>
    </w:p>
    <w:p w14:paraId="141760EC" w14:textId="336A9CC8" w:rsidR="002B137C" w:rsidRPr="002B137C" w:rsidRDefault="002B137C" w:rsidP="00CE6E7B">
      <w:pPr>
        <w:pStyle w:val="LGTdoc"/>
        <w:spacing w:before="20" w:afterLines="0" w:line="240" w:lineRule="auto"/>
        <w:rPr>
          <w:b/>
          <w:sz w:val="20"/>
          <w:u w:val="single"/>
        </w:rPr>
      </w:pPr>
      <w:r w:rsidRPr="002B137C">
        <w:rPr>
          <w:b/>
          <w:sz w:val="20"/>
          <w:u w:val="single"/>
        </w:rPr>
        <w:t xml:space="preserve">2-15: non-codebook based PUSCH transmission: </w:t>
      </w:r>
      <w:r w:rsidR="002D40C3" w:rsidRPr="002B137C">
        <w:rPr>
          <w:b/>
          <w:i/>
          <w:sz w:val="20"/>
          <w:u w:val="single"/>
        </w:rPr>
        <w:t>Optional with capability signalling</w:t>
      </w:r>
    </w:p>
    <w:p w14:paraId="3B5153BE" w14:textId="77777777" w:rsidR="002B137C" w:rsidRDefault="002B137C" w:rsidP="00CE6E7B">
      <w:pPr>
        <w:pStyle w:val="LGTdoc"/>
        <w:spacing w:before="20" w:afterLines="0" w:line="240" w:lineRule="auto"/>
        <w:rPr>
          <w:sz w:val="20"/>
        </w:rPr>
      </w:pPr>
    </w:p>
    <w:p w14:paraId="62C994D8" w14:textId="77777777" w:rsidR="002D40C3" w:rsidRDefault="002D40C3" w:rsidP="002D40C3">
      <w:pPr>
        <w:pStyle w:val="LGTdoc"/>
        <w:spacing w:before="20" w:afterLines="0" w:line="240" w:lineRule="auto"/>
        <w:rPr>
          <w:sz w:val="20"/>
        </w:rPr>
      </w:pPr>
      <w:r w:rsidRPr="002B6BF2">
        <w:rPr>
          <w:sz w:val="20"/>
        </w:rPr>
        <w:t>In NR, frequency selective UL precoding is not supported. Thus, the benefit of non-codebook based PUSCH transmission is not clear over codebook based PUSCH transmission. Further compared to codebook based transmission, non-codebook based transmission requires gNB to trigger SRS transmission, which is with a N2+42 symbols scheduling offset. The overhead and latency for non-codebook based transmission is larger than codebook based transmission. There is no performance benefit for non-codebook based transmission. In this sense, we propose FG 2-15 as optional with capability signalling.</w:t>
      </w:r>
    </w:p>
    <w:p w14:paraId="3A066243" w14:textId="77777777" w:rsidR="002B137C" w:rsidRPr="00E916A7" w:rsidRDefault="002B137C" w:rsidP="00CE6E7B">
      <w:pPr>
        <w:pStyle w:val="LGTdoc"/>
        <w:spacing w:before="20" w:afterLines="0" w:line="240" w:lineRule="auto"/>
        <w:rPr>
          <w:sz w:val="20"/>
        </w:rPr>
      </w:pPr>
    </w:p>
    <w:p w14:paraId="3D8B4CD8" w14:textId="77777777" w:rsidR="00456797" w:rsidRDefault="00456797" w:rsidP="00CE6E7B">
      <w:pPr>
        <w:pStyle w:val="LGTdoc"/>
        <w:spacing w:before="20" w:afterLines="0" w:line="240" w:lineRule="auto"/>
        <w:rPr>
          <w:sz w:val="20"/>
          <w:lang w:val="en-US"/>
        </w:rPr>
      </w:pPr>
    </w:p>
    <w:p w14:paraId="51B232AA" w14:textId="077728A7" w:rsidR="007D4703" w:rsidRPr="00A6349F" w:rsidRDefault="007D4703" w:rsidP="007E3962">
      <w:pPr>
        <w:pStyle w:val="LGTdoc"/>
        <w:spacing w:before="20" w:afterLines="0" w:line="240" w:lineRule="auto"/>
        <w:rPr>
          <w:b/>
          <w:sz w:val="20"/>
          <w:u w:val="single"/>
          <w:lang w:val="en-US"/>
        </w:rPr>
      </w:pPr>
      <w:r w:rsidRPr="00A6349F">
        <w:rPr>
          <w:b/>
          <w:sz w:val="20"/>
          <w:u w:val="single"/>
          <w:lang w:val="en-US"/>
        </w:rPr>
        <w:t>2-20: Beam correspondence</w:t>
      </w:r>
      <w:r w:rsidR="007E3962" w:rsidRPr="00A6349F">
        <w:rPr>
          <w:b/>
          <w:sz w:val="20"/>
          <w:u w:val="single"/>
          <w:lang w:val="en-US"/>
        </w:rPr>
        <w:t xml:space="preserve">: </w:t>
      </w:r>
      <w:r w:rsidR="00A6349F">
        <w:rPr>
          <w:b/>
          <w:i/>
          <w:sz w:val="20"/>
          <w:u w:val="single"/>
          <w:lang w:val="en-US"/>
        </w:rPr>
        <w:t>Optional with capability signaling</w:t>
      </w:r>
      <w:bookmarkStart w:id="4" w:name="_GoBack"/>
      <w:bookmarkEnd w:id="4"/>
    </w:p>
    <w:p w14:paraId="68077C90" w14:textId="77777777" w:rsidR="007E3962" w:rsidRPr="00A6349F" w:rsidRDefault="007E3962" w:rsidP="007D4703">
      <w:pPr>
        <w:pStyle w:val="LGTdoc"/>
        <w:spacing w:before="20" w:afterLines="0" w:line="240" w:lineRule="auto"/>
        <w:rPr>
          <w:sz w:val="20"/>
          <w:lang w:val="en-US"/>
        </w:rPr>
      </w:pPr>
    </w:p>
    <w:p w14:paraId="005AAD77" w14:textId="5A6C2B8E" w:rsidR="007E3962" w:rsidRPr="00E916A7" w:rsidRDefault="00A6349F" w:rsidP="007D4703">
      <w:pPr>
        <w:pStyle w:val="LGTdoc"/>
        <w:spacing w:before="20" w:afterLines="0" w:line="240" w:lineRule="auto"/>
        <w:rPr>
          <w:sz w:val="20"/>
          <w:lang w:val="en-US"/>
        </w:rPr>
      </w:pPr>
      <w:r w:rsidRPr="00A6349F">
        <w:rPr>
          <w:sz w:val="20"/>
          <w:lang w:val="en-US"/>
        </w:rPr>
        <w:t>Although RAN4 has define</w:t>
      </w:r>
      <w:r w:rsidR="00F37B1B">
        <w:rPr>
          <w:sz w:val="20"/>
          <w:lang w:val="en-US"/>
        </w:rPr>
        <w:t>d</w:t>
      </w:r>
      <w:r w:rsidRPr="00A6349F">
        <w:rPr>
          <w:sz w:val="20"/>
          <w:lang w:val="en-US"/>
        </w:rPr>
        <w:t xml:space="preserve"> the requirements for beam correspondence for power class 3 UEs as a working agreement, the discussion on beam correspondence is expected to be </w:t>
      </w:r>
      <w:r w:rsidR="00314EFF">
        <w:rPr>
          <w:sz w:val="20"/>
          <w:lang w:val="en-US"/>
        </w:rPr>
        <w:t>continued</w:t>
      </w:r>
      <w:r w:rsidRPr="00A6349F">
        <w:rPr>
          <w:sz w:val="20"/>
          <w:lang w:val="en-US"/>
        </w:rPr>
        <w:t xml:space="preserve"> in RAN4. Based on the current RAN4 working agreement, the requirements for beam correspondence is very tight or possibly unachievable, especially for UEs that have strict form factor restrictions in antenna placement and design, UEs that have different beamforming codebook for DL and UL, and UEs that have different phase shifter implementation for Tx and Rx. Given that it may it difficult to make this feature mandatory for all types of UEs, it is therefore proposed to make beam correspondence feature optional for NR.</w:t>
      </w:r>
    </w:p>
    <w:p w14:paraId="04E82270" w14:textId="77777777" w:rsidR="009419E2" w:rsidRPr="00D410B5" w:rsidRDefault="009419E2" w:rsidP="007D4703">
      <w:pPr>
        <w:pStyle w:val="LGTdoc"/>
        <w:spacing w:before="20" w:afterLines="0" w:line="240" w:lineRule="auto"/>
        <w:rPr>
          <w:b/>
          <w:sz w:val="20"/>
          <w:u w:val="single"/>
          <w:lang w:val="en-US"/>
        </w:rPr>
      </w:pPr>
    </w:p>
    <w:p w14:paraId="14EF8407" w14:textId="5D23EE5F" w:rsidR="00D410B5" w:rsidRPr="00D410B5" w:rsidRDefault="00D410B5" w:rsidP="007D4703">
      <w:pPr>
        <w:pStyle w:val="LGTdoc"/>
        <w:spacing w:before="20" w:afterLines="0" w:line="240" w:lineRule="auto"/>
        <w:rPr>
          <w:b/>
          <w:sz w:val="20"/>
          <w:u w:val="single"/>
          <w:lang w:val="en-US"/>
        </w:rPr>
      </w:pPr>
      <w:r w:rsidRPr="00D410B5">
        <w:rPr>
          <w:b/>
          <w:sz w:val="20"/>
          <w:u w:val="single"/>
          <w:lang w:val="en-US"/>
        </w:rPr>
        <w:t>2-30: Uplink beam management</w:t>
      </w:r>
    </w:p>
    <w:p w14:paraId="48CDF555" w14:textId="77777777" w:rsidR="00D410B5" w:rsidRDefault="00D410B5" w:rsidP="00D410B5">
      <w:pPr>
        <w:pStyle w:val="LGTdoc"/>
        <w:spacing w:before="20" w:afterLines="0" w:line="240" w:lineRule="auto"/>
        <w:rPr>
          <w:sz w:val="20"/>
        </w:rPr>
      </w:pPr>
      <w:r w:rsidRPr="00D410B5">
        <w:rPr>
          <w:sz w:val="20"/>
        </w:rPr>
        <w:t>If UE doesn’t support simultaneous transmission of SRS resources, the maximum number of SRS sets that can be indicated by the UE should be limited to at most 1 SRS resource sets. This significantly reduces the number of available SRS resources. Since simultaneous transmission of the SRS resource is not in the scope of Rel-15 NR, support of simultaneous transmission of SRS resources in different SRS resource sets should be removed or supported with UE capability.  </w:t>
      </w:r>
    </w:p>
    <w:p w14:paraId="4B85CBB4" w14:textId="77777777" w:rsidR="00E44D1B" w:rsidRPr="00D410B5" w:rsidRDefault="00E44D1B" w:rsidP="00D410B5">
      <w:pPr>
        <w:pStyle w:val="LGTdoc"/>
        <w:spacing w:before="20" w:afterLines="0" w:line="240" w:lineRule="auto"/>
        <w:rPr>
          <w:sz w:val="20"/>
        </w:rPr>
      </w:pPr>
    </w:p>
    <w:tbl>
      <w:tblPr>
        <w:tblW w:w="5050" w:type="pct"/>
        <w:tblCellMar>
          <w:left w:w="0" w:type="dxa"/>
          <w:right w:w="0" w:type="dxa"/>
        </w:tblCellMar>
        <w:tblLook w:val="04A0" w:firstRow="1" w:lastRow="0" w:firstColumn="1" w:lastColumn="0" w:noHBand="0" w:noVBand="1"/>
      </w:tblPr>
      <w:tblGrid>
        <w:gridCol w:w="204"/>
        <w:gridCol w:w="401"/>
        <w:gridCol w:w="1268"/>
        <w:gridCol w:w="1377"/>
        <w:gridCol w:w="204"/>
        <w:gridCol w:w="469"/>
        <w:gridCol w:w="1268"/>
        <w:gridCol w:w="687"/>
        <w:gridCol w:w="537"/>
        <w:gridCol w:w="537"/>
        <w:gridCol w:w="204"/>
        <w:gridCol w:w="204"/>
        <w:gridCol w:w="204"/>
        <w:gridCol w:w="1210"/>
        <w:gridCol w:w="1973"/>
      </w:tblGrid>
      <w:tr w:rsidR="00D410B5" w14:paraId="6773C18B" w14:textId="77777777" w:rsidTr="00955C33">
        <w:trPr>
          <w:trHeight w:val="525"/>
        </w:trPr>
        <w:tc>
          <w:tcPr>
            <w:tcW w:w="342" w:type="pct"/>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20498DAE" w14:textId="77777777" w:rsidR="00D410B5" w:rsidRDefault="00D410B5" w:rsidP="00955C33">
            <w:pPr>
              <w:snapToGrid w:val="0"/>
              <w:rPr>
                <w:rFonts w:ascii="Calibri Light" w:hAnsi="Calibri Light" w:cs="Calibri Light"/>
              </w:rPr>
            </w:pPr>
          </w:p>
        </w:tc>
        <w:tc>
          <w:tcPr>
            <w:tcW w:w="215"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0CD10D8" w14:textId="77777777" w:rsidR="00D410B5" w:rsidRDefault="00D410B5" w:rsidP="00955C33">
            <w:pPr>
              <w:rPr>
                <w:rFonts w:ascii="Calibri Light" w:hAnsi="Calibri Light" w:cs="Calibri Light"/>
              </w:rPr>
            </w:pPr>
            <w:r>
              <w:rPr>
                <w:rFonts w:ascii="Calibri Light" w:hAnsi="Calibri Light" w:cs="Calibri Light"/>
              </w:rPr>
              <w:t>2-30</w:t>
            </w:r>
          </w:p>
        </w:tc>
        <w:tc>
          <w:tcPr>
            <w:tcW w:w="541"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60C16FF" w14:textId="77777777" w:rsidR="00D410B5" w:rsidRDefault="00D410B5" w:rsidP="00955C33">
            <w:pPr>
              <w:rPr>
                <w:rFonts w:ascii="Calibri Light" w:hAnsi="Calibri Light" w:cs="Calibri Light"/>
              </w:rPr>
            </w:pPr>
            <w:r>
              <w:rPr>
                <w:rFonts w:ascii="Calibri Light" w:hAnsi="Calibri Light" w:cs="Calibri Light"/>
              </w:rPr>
              <w:t>Uplink beam management</w:t>
            </w:r>
          </w:p>
        </w:tc>
        <w:tc>
          <w:tcPr>
            <w:tcW w:w="605"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8DAF705" w14:textId="77777777" w:rsidR="00D410B5" w:rsidRDefault="00D410B5" w:rsidP="00955C33">
            <w:pPr>
              <w:rPr>
                <w:rFonts w:ascii="Calibri Light" w:hAnsi="Calibri Light" w:cs="Calibri Light"/>
              </w:rPr>
            </w:pPr>
            <w:r>
              <w:rPr>
                <w:rFonts w:ascii="Calibri Light" w:hAnsi="Calibri Light" w:cs="Calibri Light"/>
              </w:rPr>
              <w:t xml:space="preserve">1 Support of SRS based beam management </w:t>
            </w:r>
          </w:p>
          <w:p w14:paraId="33437879" w14:textId="77777777" w:rsidR="00D410B5" w:rsidRDefault="00D410B5" w:rsidP="00955C33">
            <w:pPr>
              <w:rPr>
                <w:rFonts w:ascii="Calibri Light" w:hAnsi="Calibri Light" w:cs="Calibri Light"/>
              </w:rPr>
            </w:pPr>
            <w:r>
              <w:rPr>
                <w:rFonts w:ascii="Calibri Light" w:hAnsi="Calibri Light" w:cs="Calibri Light"/>
              </w:rPr>
              <w:t>2. Supported max number of SRS resource per set (SRS set use is configured as for beam management).</w:t>
            </w:r>
          </w:p>
          <w:p w14:paraId="3E7184E3" w14:textId="77777777" w:rsidR="00D410B5" w:rsidRDefault="00D410B5" w:rsidP="00955C33">
            <w:pPr>
              <w:rPr>
                <w:rFonts w:ascii="Calibri Light" w:hAnsi="Calibri Light" w:cs="Calibri Light"/>
                <w:color w:val="FF0000"/>
              </w:rPr>
            </w:pPr>
            <w:r>
              <w:rPr>
                <w:rFonts w:ascii="Calibri Light" w:hAnsi="Calibri Light" w:cs="Calibri Light"/>
              </w:rPr>
              <w:t>3. Supported max number of SRS resource sets (SRS set use is configured as for beam management).</w:t>
            </w:r>
          </w:p>
          <w:p w14:paraId="2403C485" w14:textId="77777777" w:rsidR="00D410B5" w:rsidRDefault="00D410B5" w:rsidP="00955C33">
            <w:pPr>
              <w:rPr>
                <w:rFonts w:ascii="Calibri Light" w:hAnsi="Calibri Light" w:cs="Calibri Light"/>
                <w:color w:val="FF0000"/>
              </w:rPr>
            </w:pPr>
            <w:r>
              <w:rPr>
                <w:rFonts w:ascii="Calibri Light" w:hAnsi="Calibri Light" w:cs="Calibri Light"/>
                <w:color w:val="FF0000"/>
              </w:rPr>
              <w:t>4. Support of simultaneous SRS resource transmission in different SRS resource sets in one OFDM symbol</w:t>
            </w:r>
          </w:p>
        </w:tc>
        <w:tc>
          <w:tcPr>
            <w:tcW w:w="241"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F96E3CE" w14:textId="77777777" w:rsidR="00D410B5" w:rsidRDefault="00D410B5" w:rsidP="00955C33">
            <w:pPr>
              <w:rPr>
                <w:rFonts w:ascii="Calibri Light" w:hAnsi="Calibri Light" w:cs="Calibri Light"/>
              </w:rPr>
            </w:pPr>
          </w:p>
        </w:tc>
        <w:tc>
          <w:tcPr>
            <w:tcW w:w="197"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AAE263D" w14:textId="77777777" w:rsidR="00D410B5" w:rsidRDefault="00D410B5" w:rsidP="00955C33">
            <w:pPr>
              <w:snapToGrid w:val="0"/>
              <w:rPr>
                <w:rFonts w:ascii="Calibri Light" w:hAnsi="Calibri Light" w:cs="Calibri Light"/>
              </w:rPr>
            </w:pPr>
            <w:r>
              <w:rPr>
                <w:rFonts w:ascii="Calibri Light" w:hAnsi="Calibri Light" w:cs="Calibri Light"/>
              </w:rPr>
              <w:t>Yes</w:t>
            </w:r>
          </w:p>
        </w:tc>
        <w:tc>
          <w:tcPr>
            <w:tcW w:w="436"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5FDA1D1" w14:textId="77777777" w:rsidR="00D410B5" w:rsidRDefault="00D410B5" w:rsidP="00955C33">
            <w:pPr>
              <w:snapToGrid w:val="0"/>
              <w:rPr>
                <w:rFonts w:ascii="Calibri Light" w:hAnsi="Calibri Light" w:cs="Calibri Light"/>
              </w:rPr>
            </w:pPr>
            <w:r>
              <w:rPr>
                <w:rFonts w:ascii="Calibri Light" w:hAnsi="Calibri Light" w:cs="Calibri Light"/>
              </w:rPr>
              <w:t>Uplink beam management is not supported</w:t>
            </w:r>
          </w:p>
        </w:tc>
        <w:tc>
          <w:tcPr>
            <w:tcW w:w="252"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E35967C" w14:textId="77777777" w:rsidR="00D410B5" w:rsidRDefault="00D410B5" w:rsidP="00955C33">
            <w:pPr>
              <w:rPr>
                <w:rFonts w:ascii="Calibri Light" w:hAnsi="Calibri Light" w:cs="Calibri Light"/>
              </w:rPr>
            </w:pPr>
            <w:r>
              <w:rPr>
                <w:rFonts w:ascii="Calibri Light" w:hAnsi="Calibri Light" w:cs="Calibri Light"/>
              </w:rPr>
              <w:t>Type1</w:t>
            </w:r>
          </w:p>
        </w:tc>
        <w:tc>
          <w:tcPr>
            <w:tcW w:w="264"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8DAD86E" w14:textId="77777777" w:rsidR="00D410B5" w:rsidRDefault="00D410B5" w:rsidP="00955C33">
            <w:pPr>
              <w:snapToGrid w:val="0"/>
              <w:jc w:val="center"/>
              <w:rPr>
                <w:rFonts w:ascii="Calibri Light" w:hAnsi="Calibri Light" w:cs="Calibri Light"/>
              </w:rPr>
            </w:pPr>
            <w:r>
              <w:rPr>
                <w:rFonts w:ascii="Calibri Light" w:hAnsi="Calibri Light" w:cs="Calibri Light"/>
              </w:rPr>
              <w:t>N.A.</w:t>
            </w:r>
          </w:p>
        </w:tc>
        <w:tc>
          <w:tcPr>
            <w:tcW w:w="264"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EADD571" w14:textId="77777777" w:rsidR="00D410B5" w:rsidRDefault="00D410B5" w:rsidP="00955C33">
            <w:pPr>
              <w:snapToGrid w:val="0"/>
              <w:jc w:val="center"/>
              <w:rPr>
                <w:rFonts w:ascii="Calibri Light" w:hAnsi="Calibri Light" w:cs="Calibri Light"/>
              </w:rPr>
            </w:pPr>
            <w:r>
              <w:rPr>
                <w:rFonts w:ascii="Calibri Light" w:hAnsi="Calibri Light" w:cs="Calibri Light"/>
              </w:rPr>
              <w:t>N.A.</w:t>
            </w:r>
          </w:p>
        </w:tc>
        <w:tc>
          <w:tcPr>
            <w:tcW w:w="216"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2DE235F4" w14:textId="77777777" w:rsidR="00D410B5" w:rsidRDefault="00D410B5" w:rsidP="00955C33">
            <w:pPr>
              <w:snapToGrid w:val="0"/>
              <w:rPr>
                <w:rFonts w:ascii="Calibri Light" w:hAnsi="Calibri Light" w:cs="Calibri Light"/>
              </w:rPr>
            </w:pPr>
          </w:p>
        </w:tc>
        <w:tc>
          <w:tcPr>
            <w:tcW w:w="337"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5A3CACAD" w14:textId="77777777" w:rsidR="00D410B5" w:rsidRDefault="00D410B5" w:rsidP="00955C33">
            <w:pPr>
              <w:snapToGrid w:val="0"/>
              <w:rPr>
                <w:rFonts w:ascii="Calibri Light" w:hAnsi="Calibri Light" w:cs="Calibri Light"/>
              </w:rPr>
            </w:pPr>
          </w:p>
        </w:tc>
        <w:tc>
          <w:tcPr>
            <w:tcW w:w="245"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64B95D49" w14:textId="77777777" w:rsidR="00D410B5" w:rsidRDefault="00D410B5" w:rsidP="00955C33">
            <w:pPr>
              <w:snapToGrid w:val="0"/>
              <w:rPr>
                <w:rFonts w:ascii="Calibri Light" w:hAnsi="Calibri Light" w:cs="Calibri Light"/>
              </w:rPr>
            </w:pPr>
          </w:p>
        </w:tc>
        <w:tc>
          <w:tcPr>
            <w:tcW w:w="450"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63C9DB3" w14:textId="77777777" w:rsidR="00D410B5" w:rsidRDefault="00D410B5" w:rsidP="00955C33">
            <w:pPr>
              <w:rPr>
                <w:rFonts w:ascii="Calibri Light" w:hAnsi="Calibri Light" w:cs="Calibri Light"/>
              </w:rPr>
            </w:pPr>
            <w:r>
              <w:rPr>
                <w:rFonts w:ascii="Calibri Light" w:hAnsi="Calibri Light" w:cs="Calibri Light"/>
              </w:rPr>
              <w:t xml:space="preserve">Component-2, candidate value set is </w:t>
            </w:r>
            <w:r>
              <w:t xml:space="preserve">{2, 4, 8, 16} </w:t>
            </w:r>
          </w:p>
          <w:p w14:paraId="4E7AB03F" w14:textId="77777777" w:rsidR="00D410B5" w:rsidRDefault="00D410B5" w:rsidP="00955C33">
            <w:pPr>
              <w:rPr>
                <w:rFonts w:ascii="Calibri Light" w:hAnsi="Calibri Light" w:cs="Calibri Light"/>
                <w:color w:val="FF0000"/>
              </w:rPr>
            </w:pPr>
            <w:r>
              <w:rPr>
                <w:rFonts w:ascii="Calibri Light" w:hAnsi="Calibri Light" w:cs="Calibri Light"/>
              </w:rPr>
              <w:t>Component-3, candidate value set is {from 1 to 8}</w:t>
            </w:r>
            <w:r>
              <w:rPr>
                <w:rFonts w:ascii="Calibri Light" w:hAnsi="Calibri Light" w:cs="Calibri Light"/>
                <w:color w:val="FF0000"/>
              </w:rPr>
              <w:t xml:space="preserve"> </w:t>
            </w:r>
          </w:p>
          <w:p w14:paraId="53C84105" w14:textId="77777777" w:rsidR="00D410B5" w:rsidRDefault="00D410B5" w:rsidP="00955C33">
            <w:pPr>
              <w:rPr>
                <w:rFonts w:ascii="Calibri Light" w:hAnsi="Calibri Light" w:cs="Calibri Light"/>
              </w:rPr>
            </w:pPr>
            <w:r>
              <w:rPr>
                <w:rFonts w:ascii="Calibri Light" w:hAnsi="Calibri Light" w:cs="Calibri Light"/>
                <w:color w:val="FF0000"/>
              </w:rPr>
              <w:t>Component-4: {yes, no}</w:t>
            </w:r>
          </w:p>
        </w:tc>
        <w:tc>
          <w:tcPr>
            <w:tcW w:w="388"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4733861" w14:textId="77777777" w:rsidR="00D410B5" w:rsidRDefault="00D410B5" w:rsidP="00955C33">
            <w:pPr>
              <w:rPr>
                <w:rFonts w:ascii="Calibri Light" w:hAnsi="Calibri Light" w:cs="Calibri Light"/>
              </w:rPr>
            </w:pPr>
            <w:r>
              <w:rPr>
                <w:rFonts w:ascii="Calibri Light" w:hAnsi="Calibri Light" w:cs="Calibri Light"/>
                <w:highlight w:val="yellow"/>
              </w:rPr>
              <w:t>[Mandatory/Optional]</w:t>
            </w:r>
            <w:r>
              <w:rPr>
                <w:rFonts w:ascii="Calibri Light" w:hAnsi="Calibri Light" w:cs="Calibri Light"/>
              </w:rPr>
              <w:t xml:space="preserve"> with capability signaling </w:t>
            </w:r>
          </w:p>
          <w:p w14:paraId="1346B9BB" w14:textId="77777777" w:rsidR="00D410B5" w:rsidRDefault="00D410B5" w:rsidP="00955C33">
            <w:pPr>
              <w:rPr>
                <w:rFonts w:ascii="Calibri Light" w:hAnsi="Calibri Light" w:cs="Calibri Light"/>
              </w:rPr>
            </w:pPr>
            <w:r>
              <w:rPr>
                <w:rFonts w:ascii="Calibri Light" w:hAnsi="Calibri Light" w:cs="Calibri Light"/>
              </w:rPr>
              <w:t xml:space="preserve">Component-2, candidate value set is </w:t>
            </w:r>
            <w:r>
              <w:t xml:space="preserve">{2, 4, 8, 16} </w:t>
            </w:r>
          </w:p>
          <w:p w14:paraId="1B500245" w14:textId="77777777" w:rsidR="00D410B5" w:rsidRDefault="00D410B5" w:rsidP="00955C33">
            <w:pPr>
              <w:snapToGrid w:val="0"/>
              <w:rPr>
                <w:rFonts w:ascii="Calibri Light" w:hAnsi="Calibri Light" w:cs="Calibri Light"/>
              </w:rPr>
            </w:pPr>
            <w:r>
              <w:rPr>
                <w:rFonts w:ascii="Calibri Light" w:hAnsi="Calibri Light" w:cs="Calibri Light"/>
              </w:rPr>
              <w:t>Component-3, candidate value set is {from 1 to 8}</w:t>
            </w:r>
          </w:p>
        </w:tc>
      </w:tr>
    </w:tbl>
    <w:p w14:paraId="5ED4DF57" w14:textId="77777777" w:rsidR="00D410B5" w:rsidRDefault="00D410B5" w:rsidP="00D410B5">
      <w:pPr>
        <w:rPr>
          <w:color w:val="1F497D"/>
        </w:rPr>
      </w:pPr>
      <w:bookmarkStart w:id="5" w:name="_MailEndCompose"/>
      <w:bookmarkEnd w:id="5"/>
    </w:p>
    <w:p w14:paraId="43A8B78A" w14:textId="36432649" w:rsidR="00D410B5" w:rsidRDefault="00D410B5" w:rsidP="007D4703">
      <w:pPr>
        <w:pStyle w:val="LGTdoc"/>
        <w:spacing w:before="20" w:afterLines="0" w:line="240" w:lineRule="auto"/>
        <w:rPr>
          <w:rFonts w:ascii="Arial" w:eastAsia="MS PGothic" w:hAnsi="Arial" w:cs="Arial"/>
          <w:kern w:val="0"/>
          <w:sz w:val="18"/>
          <w:szCs w:val="18"/>
        </w:rPr>
      </w:pPr>
    </w:p>
    <w:p w14:paraId="49209908" w14:textId="77777777" w:rsidR="00D410B5" w:rsidRDefault="00D410B5" w:rsidP="007D4703">
      <w:pPr>
        <w:pStyle w:val="LGTdoc"/>
        <w:spacing w:before="20" w:afterLines="0" w:line="240" w:lineRule="auto"/>
        <w:rPr>
          <w:rFonts w:ascii="Arial" w:eastAsia="MS PGothic" w:hAnsi="Arial" w:cs="Arial"/>
          <w:kern w:val="0"/>
          <w:sz w:val="18"/>
          <w:szCs w:val="18"/>
        </w:rPr>
      </w:pPr>
    </w:p>
    <w:p w14:paraId="182D8BC5" w14:textId="2C54D628" w:rsidR="00554671" w:rsidRPr="002B6BF2" w:rsidRDefault="00554671" w:rsidP="00554671">
      <w:pPr>
        <w:pStyle w:val="LGTdoc"/>
        <w:spacing w:before="20" w:afterLines="0" w:line="240" w:lineRule="auto"/>
        <w:rPr>
          <w:b/>
          <w:sz w:val="20"/>
          <w:u w:val="single"/>
          <w:lang w:val="en-US"/>
        </w:rPr>
      </w:pPr>
      <w:r w:rsidRPr="002B6BF2">
        <w:rPr>
          <w:b/>
          <w:sz w:val="20"/>
          <w:u w:val="single"/>
          <w:lang w:val="en-US"/>
        </w:rPr>
        <w:t xml:space="preserve">2-34: NZP-CSI-RS based interference measurement: </w:t>
      </w:r>
      <w:r w:rsidRPr="002B6BF2">
        <w:rPr>
          <w:b/>
          <w:i/>
          <w:sz w:val="20"/>
          <w:u w:val="single"/>
          <w:lang w:val="en-US"/>
        </w:rPr>
        <w:t>Optional with capability signaling</w:t>
      </w:r>
    </w:p>
    <w:p w14:paraId="5FA2E702" w14:textId="77777777" w:rsidR="00554671" w:rsidRPr="002B6BF2" w:rsidRDefault="00554671" w:rsidP="007D4703">
      <w:pPr>
        <w:pStyle w:val="LGTdoc"/>
        <w:spacing w:before="20" w:afterLines="0" w:line="240" w:lineRule="auto"/>
        <w:rPr>
          <w:rFonts w:ascii="Arial" w:eastAsia="MS PGothic" w:hAnsi="Arial" w:cs="Arial"/>
          <w:kern w:val="0"/>
          <w:sz w:val="18"/>
          <w:szCs w:val="18"/>
          <w:lang w:val="en-US"/>
        </w:rPr>
      </w:pPr>
    </w:p>
    <w:p w14:paraId="07851970" w14:textId="462CE6FA" w:rsidR="00554671" w:rsidRDefault="00433479" w:rsidP="007D4703">
      <w:pPr>
        <w:pStyle w:val="LGTdoc"/>
        <w:spacing w:before="20" w:afterLines="0" w:line="240" w:lineRule="auto"/>
        <w:rPr>
          <w:sz w:val="20"/>
          <w:lang w:val="en-US"/>
        </w:rPr>
      </w:pPr>
      <w:r w:rsidRPr="00433479">
        <w:rPr>
          <w:sz w:val="20"/>
          <w:lang w:val="en-US"/>
        </w:rPr>
        <w:t>This is not an essential feature in addition to ZP-CSI-RS based interference measurement. So, it is proposed to support this feature as optional with capability signaling.</w:t>
      </w:r>
    </w:p>
    <w:p w14:paraId="43A5EA6C" w14:textId="77777777" w:rsidR="00433479" w:rsidRDefault="00433479" w:rsidP="007D4703">
      <w:pPr>
        <w:pStyle w:val="LGTdoc"/>
        <w:spacing w:before="20" w:afterLines="0" w:line="240" w:lineRule="auto"/>
        <w:rPr>
          <w:rFonts w:ascii="Arial" w:eastAsia="MS PGothic" w:hAnsi="Arial" w:cs="Arial"/>
          <w:kern w:val="0"/>
          <w:sz w:val="18"/>
          <w:szCs w:val="18"/>
        </w:rPr>
      </w:pPr>
    </w:p>
    <w:p w14:paraId="1E5F0357" w14:textId="3C97BCF1" w:rsidR="00CA51E9" w:rsidRPr="0025292F" w:rsidRDefault="00A143C6" w:rsidP="00CE6E7B">
      <w:pPr>
        <w:pStyle w:val="LGTdoc"/>
        <w:spacing w:before="20" w:afterLines="0" w:line="240" w:lineRule="auto"/>
        <w:rPr>
          <w:b/>
          <w:sz w:val="20"/>
          <w:u w:val="single"/>
          <w:lang w:val="en-US"/>
        </w:rPr>
      </w:pPr>
      <w:r w:rsidRPr="0025292F">
        <w:rPr>
          <w:b/>
          <w:sz w:val="20"/>
          <w:u w:val="single"/>
          <w:lang w:val="en-US"/>
        </w:rPr>
        <w:t>2-36: Type I single panel codebook</w:t>
      </w:r>
      <w:r w:rsidR="0040525A" w:rsidRPr="0025292F">
        <w:rPr>
          <w:b/>
          <w:sz w:val="20"/>
          <w:u w:val="single"/>
          <w:lang w:val="en-US"/>
        </w:rPr>
        <w:t xml:space="preserve">: </w:t>
      </w:r>
      <w:r w:rsidR="0040525A" w:rsidRPr="005703E4">
        <w:rPr>
          <w:b/>
          <w:i/>
          <w:sz w:val="20"/>
          <w:u w:val="single"/>
          <w:lang w:val="en-US"/>
        </w:rPr>
        <w:t>Mode-1 Mandatory, Mode-2 Optional</w:t>
      </w:r>
    </w:p>
    <w:p w14:paraId="361CA475" w14:textId="77777777" w:rsidR="00A143C6" w:rsidRPr="0025292F" w:rsidRDefault="00A143C6" w:rsidP="00CE6E7B">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A143C6" w:rsidRPr="0025292F" w14:paraId="50A6524B" w14:textId="77777777" w:rsidTr="00A143C6">
        <w:tc>
          <w:tcPr>
            <w:tcW w:w="9962" w:type="dxa"/>
          </w:tcPr>
          <w:p w14:paraId="5197C099" w14:textId="3363EC0B" w:rsidR="008A1575" w:rsidRPr="0025292F" w:rsidRDefault="008A1575" w:rsidP="00A143C6">
            <w:pPr>
              <w:pStyle w:val="LGTdoc"/>
              <w:spacing w:before="20" w:after="120"/>
              <w:rPr>
                <w:sz w:val="20"/>
                <w:u w:val="single"/>
                <w:lang w:val="en-US"/>
              </w:rPr>
            </w:pPr>
            <w:r w:rsidRPr="0025292F">
              <w:rPr>
                <w:sz w:val="20"/>
                <w:u w:val="single"/>
                <w:lang w:val="en-US"/>
              </w:rPr>
              <w:t>Components</w:t>
            </w:r>
          </w:p>
          <w:p w14:paraId="13BC0847" w14:textId="45C49EB9" w:rsidR="00A143C6" w:rsidRPr="0025292F" w:rsidRDefault="00A143C6" w:rsidP="00A143C6">
            <w:pPr>
              <w:pStyle w:val="LGTdoc"/>
              <w:spacing w:before="20" w:after="120"/>
              <w:rPr>
                <w:sz w:val="20"/>
                <w:lang w:val="en-US"/>
              </w:rPr>
            </w:pPr>
            <w:r w:rsidRPr="0025292F">
              <w:rPr>
                <w:sz w:val="20"/>
                <w:lang w:val="en-US"/>
              </w:rPr>
              <w:t>1. A list of supported combinations, each combination is {Max # of Tx ports in one resource, Max # of resources and total # of Tx ports} across all CCs simultaneously. Note: the above list doesn’t differentiate the latency class and feedback type.</w:t>
            </w:r>
          </w:p>
          <w:p w14:paraId="2DC0987A" w14:textId="335C1C59" w:rsidR="00A143C6" w:rsidRPr="0025292F" w:rsidRDefault="00A143C6" w:rsidP="00A143C6">
            <w:pPr>
              <w:pStyle w:val="LGTdoc"/>
              <w:spacing w:before="20" w:afterLines="0" w:line="240" w:lineRule="auto"/>
              <w:rPr>
                <w:sz w:val="20"/>
                <w:lang w:val="en-US"/>
              </w:rPr>
            </w:pPr>
            <w:r w:rsidRPr="0025292F">
              <w:rPr>
                <w:sz w:val="20"/>
                <w:lang w:val="en-US"/>
              </w:rPr>
              <w:t>2. Supported Codebook Mode(s)</w:t>
            </w:r>
          </w:p>
        </w:tc>
      </w:tr>
    </w:tbl>
    <w:p w14:paraId="70F8BF34" w14:textId="77777777" w:rsidR="00A143C6" w:rsidRPr="0025292F" w:rsidRDefault="00A143C6" w:rsidP="00CE6E7B">
      <w:pPr>
        <w:pStyle w:val="LGTdoc"/>
        <w:spacing w:before="20" w:afterLines="0" w:line="240" w:lineRule="auto"/>
        <w:rPr>
          <w:sz w:val="20"/>
          <w:lang w:val="en-US"/>
        </w:rPr>
      </w:pPr>
    </w:p>
    <w:p w14:paraId="03DDEAE2" w14:textId="283C0CFC" w:rsidR="00A143C6" w:rsidRDefault="00433479" w:rsidP="00CE6E7B">
      <w:pPr>
        <w:pStyle w:val="LGTdoc"/>
        <w:spacing w:before="20" w:afterLines="0" w:line="240" w:lineRule="auto"/>
        <w:rPr>
          <w:sz w:val="20"/>
          <w:lang w:val="en-US"/>
        </w:rPr>
      </w:pPr>
      <w:r w:rsidRPr="0025292F">
        <w:rPr>
          <w:sz w:val="20"/>
          <w:lang w:val="en-US"/>
        </w:rPr>
        <w:t>Component-2 candidate values: Mode-1 as mandatory Mode-2 as optional. No significant difference in the performance</w:t>
      </w:r>
      <w:r>
        <w:rPr>
          <w:sz w:val="20"/>
          <w:lang w:val="en-US"/>
        </w:rPr>
        <w:t xml:space="preserve"> was observed, but the overhead of Mode-1 codebook is less than that of Mode-2</w:t>
      </w:r>
      <w:r w:rsidRPr="0025292F">
        <w:rPr>
          <w:sz w:val="20"/>
          <w:lang w:val="en-US"/>
        </w:rPr>
        <w:t>. The performance results are provided in [2]</w:t>
      </w:r>
      <w:r>
        <w:rPr>
          <w:sz w:val="20"/>
          <w:lang w:val="en-US"/>
        </w:rPr>
        <w:t>.</w:t>
      </w:r>
    </w:p>
    <w:p w14:paraId="57E8AC7A" w14:textId="77777777" w:rsidR="001C2753" w:rsidRDefault="001C2753" w:rsidP="00CE6E7B">
      <w:pPr>
        <w:pStyle w:val="LGTdoc"/>
        <w:spacing w:before="20" w:afterLines="0" w:line="240" w:lineRule="auto"/>
        <w:rPr>
          <w:sz w:val="20"/>
          <w:lang w:val="en-US"/>
        </w:rPr>
      </w:pPr>
    </w:p>
    <w:p w14:paraId="7388936D" w14:textId="3D143C85" w:rsidR="00A143C6" w:rsidRPr="00E341D2" w:rsidRDefault="00E341D2" w:rsidP="00CE6E7B">
      <w:pPr>
        <w:pStyle w:val="LGTdoc"/>
        <w:spacing w:before="20" w:afterLines="0" w:line="240" w:lineRule="auto"/>
        <w:rPr>
          <w:b/>
          <w:i/>
          <w:sz w:val="20"/>
          <w:u w:val="single"/>
          <w:lang w:val="en-US"/>
        </w:rPr>
      </w:pPr>
      <w:r w:rsidRPr="00E341D2">
        <w:rPr>
          <w:b/>
          <w:sz w:val="20"/>
          <w:u w:val="single"/>
          <w:lang w:val="en-US"/>
        </w:rPr>
        <w:t xml:space="preserve">2-38: CSI report without PMI: </w:t>
      </w:r>
      <w:r w:rsidRPr="00E341D2">
        <w:rPr>
          <w:b/>
          <w:i/>
          <w:sz w:val="20"/>
          <w:u w:val="single"/>
          <w:lang w:val="en-US"/>
        </w:rPr>
        <w:t>Optional with capability signaling</w:t>
      </w:r>
    </w:p>
    <w:p w14:paraId="29C19C3A" w14:textId="77777777" w:rsidR="001C2753" w:rsidRDefault="001C2753" w:rsidP="00CE6E7B">
      <w:pPr>
        <w:pStyle w:val="LGTdoc"/>
        <w:spacing w:before="20" w:afterLines="0" w:line="240" w:lineRule="auto"/>
        <w:rPr>
          <w:sz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5"/>
        <w:gridCol w:w="1173"/>
        <w:gridCol w:w="1309"/>
        <w:gridCol w:w="522"/>
        <w:gridCol w:w="426"/>
        <w:gridCol w:w="942"/>
        <w:gridCol w:w="546"/>
        <w:gridCol w:w="572"/>
        <w:gridCol w:w="572"/>
        <w:gridCol w:w="468"/>
        <w:gridCol w:w="729"/>
        <w:gridCol w:w="530"/>
        <w:gridCol w:w="869"/>
        <w:gridCol w:w="839"/>
      </w:tblGrid>
      <w:tr w:rsidR="000D4AC1" w:rsidRPr="00CA4C8A" w14:paraId="692EA0BE" w14:textId="77777777" w:rsidTr="00CC0121">
        <w:trPr>
          <w:trHeight w:val="525"/>
        </w:trPr>
        <w:tc>
          <w:tcPr>
            <w:tcW w:w="217" w:type="pct"/>
            <w:shd w:val="clear" w:color="auto" w:fill="auto"/>
            <w:vAlign w:val="center"/>
          </w:tcPr>
          <w:p w14:paraId="23831CFC" w14:textId="77777777" w:rsidR="000D4AC1" w:rsidRPr="003C74A1" w:rsidRDefault="000D4AC1" w:rsidP="00CC0121">
            <w:pPr>
              <w:rPr>
                <w:rFonts w:asciiTheme="majorHAnsi" w:eastAsia="Times New Roman" w:hAnsiTheme="majorHAnsi" w:cstheme="majorHAnsi"/>
              </w:rPr>
            </w:pPr>
            <w:r w:rsidRPr="003C74A1">
              <w:rPr>
                <w:rFonts w:asciiTheme="majorHAnsi" w:eastAsia="Times New Roman" w:hAnsiTheme="majorHAnsi" w:cstheme="majorHAnsi"/>
              </w:rPr>
              <w:t>2-38</w:t>
            </w:r>
          </w:p>
        </w:tc>
        <w:tc>
          <w:tcPr>
            <w:tcW w:w="547" w:type="pct"/>
            <w:shd w:val="clear" w:color="auto" w:fill="auto"/>
            <w:vAlign w:val="center"/>
          </w:tcPr>
          <w:p w14:paraId="77FBBDFE" w14:textId="77777777" w:rsidR="000D4AC1" w:rsidRPr="003C74A1" w:rsidRDefault="000D4AC1" w:rsidP="00CC0121">
            <w:pPr>
              <w:rPr>
                <w:rFonts w:asciiTheme="majorHAnsi" w:eastAsia="Times New Roman" w:hAnsiTheme="majorHAnsi" w:cstheme="majorHAnsi"/>
              </w:rPr>
            </w:pPr>
            <w:r w:rsidRPr="003C74A1">
              <w:rPr>
                <w:rFonts w:asciiTheme="majorHAnsi" w:eastAsia="Times New Roman" w:hAnsiTheme="majorHAnsi" w:cstheme="majorHAnsi"/>
              </w:rPr>
              <w:t>CSI report without PMI</w:t>
            </w:r>
          </w:p>
        </w:tc>
        <w:tc>
          <w:tcPr>
            <w:tcW w:w="612" w:type="pct"/>
            <w:shd w:val="clear" w:color="auto" w:fill="auto"/>
            <w:vAlign w:val="center"/>
          </w:tcPr>
          <w:p w14:paraId="0FB4C04C" w14:textId="77777777" w:rsidR="000D4AC1" w:rsidRPr="003C74A1" w:rsidRDefault="000D4AC1" w:rsidP="00CC0121">
            <w:pPr>
              <w:rPr>
                <w:rFonts w:asciiTheme="majorHAnsi" w:eastAsia="Times New Roman" w:hAnsiTheme="majorHAnsi" w:cstheme="majorHAnsi"/>
              </w:rPr>
            </w:pPr>
            <w:r w:rsidRPr="003C74A1">
              <w:rPr>
                <w:rFonts w:asciiTheme="majorHAnsi" w:eastAsia="Times New Roman" w:hAnsiTheme="majorHAnsi" w:cstheme="majorHAnsi"/>
              </w:rPr>
              <w:t>Support CSI report without PMI</w:t>
            </w:r>
          </w:p>
        </w:tc>
        <w:tc>
          <w:tcPr>
            <w:tcW w:w="244" w:type="pct"/>
            <w:shd w:val="clear" w:color="auto" w:fill="auto"/>
            <w:vAlign w:val="center"/>
          </w:tcPr>
          <w:p w14:paraId="2441E360" w14:textId="77777777" w:rsidR="000D4AC1" w:rsidRPr="003C74A1" w:rsidRDefault="000D4AC1" w:rsidP="00CC0121">
            <w:pPr>
              <w:rPr>
                <w:rFonts w:asciiTheme="majorHAnsi" w:eastAsia="Times New Roman" w:hAnsiTheme="majorHAnsi" w:cstheme="majorHAnsi"/>
              </w:rPr>
            </w:pPr>
            <w:r w:rsidRPr="003C74A1">
              <w:rPr>
                <w:rFonts w:asciiTheme="majorHAnsi" w:eastAsia="Times New Roman" w:hAnsiTheme="majorHAnsi" w:cstheme="majorHAnsi"/>
              </w:rPr>
              <w:t>2-35</w:t>
            </w:r>
          </w:p>
        </w:tc>
        <w:tc>
          <w:tcPr>
            <w:tcW w:w="199" w:type="pct"/>
            <w:shd w:val="clear" w:color="auto" w:fill="auto"/>
            <w:vAlign w:val="center"/>
          </w:tcPr>
          <w:p w14:paraId="0EBCA375" w14:textId="77777777" w:rsidR="000D4AC1" w:rsidRPr="003C74A1" w:rsidRDefault="000D4AC1" w:rsidP="00CC0121">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440" w:type="pct"/>
            <w:shd w:val="clear" w:color="auto" w:fill="auto"/>
            <w:vAlign w:val="center"/>
          </w:tcPr>
          <w:p w14:paraId="75D78137" w14:textId="77777777" w:rsidR="000D4AC1" w:rsidRPr="003C74A1" w:rsidRDefault="000D4AC1" w:rsidP="00CC0121">
            <w:pPr>
              <w:snapToGrid w:val="0"/>
              <w:rPr>
                <w:rFonts w:asciiTheme="majorHAnsi" w:eastAsia="MS PGothic" w:hAnsiTheme="majorHAnsi" w:cstheme="majorHAnsi"/>
              </w:rPr>
            </w:pPr>
            <w:r w:rsidRPr="003C74A1">
              <w:rPr>
                <w:rFonts w:asciiTheme="majorHAnsi" w:eastAsia="MS PGothic" w:hAnsiTheme="majorHAnsi" w:cstheme="majorHAnsi"/>
              </w:rPr>
              <w:t>CSI report without PMI is not supported</w:t>
            </w:r>
          </w:p>
        </w:tc>
        <w:tc>
          <w:tcPr>
            <w:tcW w:w="255" w:type="pct"/>
            <w:shd w:val="clear" w:color="auto" w:fill="auto"/>
            <w:vAlign w:val="center"/>
          </w:tcPr>
          <w:p w14:paraId="67850048" w14:textId="77777777" w:rsidR="000D4AC1" w:rsidRPr="003C74A1" w:rsidRDefault="000D4AC1" w:rsidP="00CC0121">
            <w:pPr>
              <w:rPr>
                <w:rFonts w:asciiTheme="majorHAnsi" w:eastAsia="Times New Roman" w:hAnsiTheme="majorHAnsi" w:cstheme="majorHAnsi"/>
              </w:rPr>
            </w:pPr>
            <w:r w:rsidRPr="003C74A1">
              <w:rPr>
                <w:rFonts w:asciiTheme="majorHAnsi" w:eastAsia="Times New Roman" w:hAnsiTheme="majorHAnsi" w:cstheme="majorHAnsi"/>
              </w:rPr>
              <w:t>Type 4</w:t>
            </w:r>
          </w:p>
        </w:tc>
        <w:tc>
          <w:tcPr>
            <w:tcW w:w="267" w:type="pct"/>
            <w:shd w:val="clear" w:color="auto" w:fill="auto"/>
            <w:vAlign w:val="center"/>
          </w:tcPr>
          <w:p w14:paraId="7468BA2C" w14:textId="77777777" w:rsidR="000D4AC1" w:rsidRPr="003C74A1" w:rsidRDefault="000D4AC1" w:rsidP="00CC0121">
            <w:pPr>
              <w:snapToGrid w:val="0"/>
              <w:jc w:val="center"/>
              <w:rPr>
                <w:rFonts w:asciiTheme="majorHAnsi" w:eastAsia="MS PGothic" w:hAnsiTheme="majorHAnsi" w:cstheme="majorHAnsi"/>
              </w:rPr>
            </w:pPr>
            <w:r w:rsidRPr="0005191C">
              <w:rPr>
                <w:rFonts w:asciiTheme="majorHAnsi" w:eastAsia="MS PGothic" w:hAnsiTheme="majorHAnsi" w:cstheme="majorHAnsi"/>
              </w:rPr>
              <w:t>No need</w:t>
            </w:r>
          </w:p>
        </w:tc>
        <w:tc>
          <w:tcPr>
            <w:tcW w:w="267" w:type="pct"/>
            <w:shd w:val="clear" w:color="auto" w:fill="auto"/>
            <w:vAlign w:val="center"/>
          </w:tcPr>
          <w:p w14:paraId="70BB1907" w14:textId="77777777" w:rsidR="000D4AC1" w:rsidRPr="003C74A1" w:rsidRDefault="000D4AC1" w:rsidP="00CC0121">
            <w:pPr>
              <w:snapToGrid w:val="0"/>
              <w:jc w:val="center"/>
              <w:rPr>
                <w:rFonts w:asciiTheme="majorHAnsi" w:eastAsia="Malgun Gothic" w:hAnsiTheme="majorHAnsi" w:cstheme="majorHAnsi"/>
              </w:rPr>
            </w:pPr>
            <w:r w:rsidRPr="003C74A1">
              <w:rPr>
                <w:rFonts w:asciiTheme="majorHAnsi" w:eastAsia="Malgun Gothic" w:hAnsiTheme="majorHAnsi" w:cstheme="majorHAnsi"/>
              </w:rPr>
              <w:t>Yes</w:t>
            </w:r>
          </w:p>
        </w:tc>
        <w:tc>
          <w:tcPr>
            <w:tcW w:w="219" w:type="pct"/>
            <w:shd w:val="clear" w:color="auto" w:fill="auto"/>
            <w:vAlign w:val="center"/>
          </w:tcPr>
          <w:p w14:paraId="54BC02E0" w14:textId="77777777" w:rsidR="000D4AC1" w:rsidRPr="00CA4C8A" w:rsidRDefault="000D4AC1" w:rsidP="00CC0121">
            <w:pPr>
              <w:snapToGrid w:val="0"/>
              <w:rPr>
                <w:rFonts w:asciiTheme="majorHAnsi" w:eastAsia="Malgun Gothic" w:hAnsiTheme="majorHAnsi" w:cstheme="majorHAnsi"/>
              </w:rPr>
            </w:pPr>
          </w:p>
        </w:tc>
        <w:tc>
          <w:tcPr>
            <w:tcW w:w="341" w:type="pct"/>
            <w:shd w:val="clear" w:color="auto" w:fill="auto"/>
            <w:vAlign w:val="center"/>
          </w:tcPr>
          <w:p w14:paraId="4BC7236A" w14:textId="77777777" w:rsidR="000D4AC1" w:rsidRPr="0069616C" w:rsidRDefault="000D4AC1" w:rsidP="00CC0121">
            <w:pPr>
              <w:snapToGrid w:val="0"/>
              <w:rPr>
                <w:rFonts w:asciiTheme="majorHAnsi" w:hAnsiTheme="majorHAnsi" w:cstheme="majorHAnsi"/>
              </w:rPr>
            </w:pPr>
            <w:r w:rsidRPr="0069616C">
              <w:rPr>
                <w:rFonts w:asciiTheme="majorHAnsi" w:hAnsiTheme="majorHAnsi" w:cstheme="majorHAnsi"/>
                <w:highlight w:val="yellow"/>
              </w:rPr>
              <w:t>RAN1 to clarify whether it depends on SRS Tx switch</w:t>
            </w:r>
          </w:p>
        </w:tc>
        <w:tc>
          <w:tcPr>
            <w:tcW w:w="248" w:type="pct"/>
            <w:shd w:val="clear" w:color="auto" w:fill="auto"/>
            <w:vAlign w:val="center"/>
          </w:tcPr>
          <w:p w14:paraId="31A683C2" w14:textId="77777777" w:rsidR="000D4AC1" w:rsidRPr="00CA4C8A" w:rsidRDefault="000D4AC1" w:rsidP="00CC0121">
            <w:pPr>
              <w:snapToGrid w:val="0"/>
              <w:rPr>
                <w:rFonts w:asciiTheme="majorHAnsi" w:eastAsia="MS PGothic" w:hAnsiTheme="majorHAnsi" w:cstheme="majorHAnsi"/>
              </w:rPr>
            </w:pPr>
          </w:p>
        </w:tc>
        <w:tc>
          <w:tcPr>
            <w:tcW w:w="406" w:type="pct"/>
            <w:shd w:val="clear" w:color="auto" w:fill="auto"/>
            <w:vAlign w:val="center"/>
          </w:tcPr>
          <w:p w14:paraId="5C1972AE" w14:textId="77777777" w:rsidR="000D4AC1" w:rsidRPr="009A5D34" w:rsidRDefault="000D4AC1" w:rsidP="00CC0121">
            <w:pPr>
              <w:rPr>
                <w:rFonts w:asciiTheme="majorHAnsi" w:eastAsia="Times New Roman" w:hAnsiTheme="majorHAnsi" w:cstheme="majorHAnsi"/>
              </w:rPr>
            </w:pPr>
          </w:p>
        </w:tc>
        <w:tc>
          <w:tcPr>
            <w:tcW w:w="392" w:type="pct"/>
          </w:tcPr>
          <w:p w14:paraId="575168CF" w14:textId="77777777" w:rsidR="000D4AC1" w:rsidRPr="00CA4C8A" w:rsidRDefault="000D4AC1" w:rsidP="00CC0121">
            <w:pPr>
              <w:snapToGrid w:val="0"/>
              <w:rPr>
                <w:rFonts w:asciiTheme="majorHAnsi" w:eastAsia="MS PGothic" w:hAnsiTheme="majorHAnsi" w:cstheme="majorHAnsi"/>
              </w:rPr>
            </w:pPr>
            <w:r>
              <w:rPr>
                <w:rFonts w:asciiTheme="majorHAnsi" w:eastAsia="MS PGothic" w:hAnsiTheme="majorHAnsi" w:cstheme="majorHAnsi"/>
                <w:highlight w:val="yellow"/>
              </w:rPr>
              <w:t>[Mandatory/</w:t>
            </w:r>
            <w:r w:rsidRPr="0069616C">
              <w:rPr>
                <w:rFonts w:asciiTheme="majorHAnsi" w:eastAsia="MS PGothic" w:hAnsiTheme="majorHAnsi" w:cstheme="majorHAnsi"/>
                <w:highlight w:val="yellow"/>
              </w:rPr>
              <w:t>Optional</w:t>
            </w:r>
            <w:r>
              <w:rPr>
                <w:rFonts w:asciiTheme="majorHAnsi" w:eastAsia="MS PGothic" w:hAnsiTheme="majorHAnsi" w:cstheme="majorHAnsi"/>
                <w:highlight w:val="yellow"/>
              </w:rPr>
              <w:t>]</w:t>
            </w:r>
            <w:r w:rsidRPr="0069616C">
              <w:rPr>
                <w:rFonts w:asciiTheme="majorHAnsi" w:eastAsia="MS PGothic" w:hAnsiTheme="majorHAnsi" w:cstheme="majorHAnsi"/>
                <w:highlight w:val="yellow"/>
              </w:rPr>
              <w:t xml:space="preserve"> </w:t>
            </w:r>
            <w:r w:rsidRPr="00733F32">
              <w:rPr>
                <w:rFonts w:asciiTheme="majorHAnsi" w:eastAsia="MS PGothic" w:hAnsiTheme="majorHAnsi" w:cstheme="majorHAnsi"/>
              </w:rPr>
              <w:t>with capability signaling</w:t>
            </w:r>
            <w:r w:rsidRPr="0069616C">
              <w:rPr>
                <w:rFonts w:asciiTheme="majorHAnsi" w:eastAsia="MS PGothic" w:hAnsiTheme="majorHAnsi" w:cstheme="majorHAnsi"/>
              </w:rPr>
              <w:t xml:space="preserve"> </w:t>
            </w:r>
          </w:p>
        </w:tc>
      </w:tr>
    </w:tbl>
    <w:p w14:paraId="0793B4E2" w14:textId="77777777" w:rsidR="000D4AC1" w:rsidRDefault="000D4AC1" w:rsidP="00CE6E7B">
      <w:pPr>
        <w:pStyle w:val="LGTdoc"/>
        <w:spacing w:before="20" w:afterLines="0" w:line="240" w:lineRule="auto"/>
        <w:rPr>
          <w:sz w:val="20"/>
        </w:rPr>
      </w:pPr>
    </w:p>
    <w:p w14:paraId="3CD9872B" w14:textId="17CC78A2" w:rsidR="000D4AC1" w:rsidRDefault="000D4AC1" w:rsidP="00CE6E7B">
      <w:pPr>
        <w:pStyle w:val="LGTdoc"/>
        <w:spacing w:before="20" w:afterLines="0" w:line="240" w:lineRule="auto"/>
        <w:rPr>
          <w:sz w:val="20"/>
        </w:rPr>
      </w:pPr>
      <w:r>
        <w:rPr>
          <w:sz w:val="20"/>
        </w:rPr>
        <w:t xml:space="preserve">This feature is mainly for reciprocity based precoding in TDD system. The same purpose can be achieved by CSI feedback with PMI possibly with some recalculation of effective SINR at gNB side from CQI and PMI assuming certain precoder acquired from SRS. </w:t>
      </w:r>
      <w:r w:rsidR="002D709A">
        <w:rPr>
          <w:sz w:val="20"/>
        </w:rPr>
        <w:t xml:space="preserve">Therefore, it is proposed this feature optional with capability </w:t>
      </w:r>
      <w:r w:rsidR="00433479">
        <w:rPr>
          <w:sz w:val="20"/>
        </w:rPr>
        <w:t>signalling</w:t>
      </w:r>
      <w:r w:rsidR="002D709A">
        <w:rPr>
          <w:sz w:val="20"/>
        </w:rPr>
        <w:t>.</w:t>
      </w:r>
    </w:p>
    <w:p w14:paraId="2B248321" w14:textId="77777777" w:rsidR="002D709A" w:rsidRPr="000D4AC1" w:rsidRDefault="002D709A" w:rsidP="00CE6E7B">
      <w:pPr>
        <w:pStyle w:val="LGTdoc"/>
        <w:spacing w:before="20" w:afterLines="0" w:line="240" w:lineRule="auto"/>
        <w:rPr>
          <w:sz w:val="20"/>
        </w:rPr>
      </w:pPr>
    </w:p>
    <w:p w14:paraId="0393254E" w14:textId="77777777" w:rsidR="001C2753" w:rsidRDefault="001C2753" w:rsidP="00CE6E7B">
      <w:pPr>
        <w:pStyle w:val="LGTdoc"/>
        <w:spacing w:before="20" w:afterLines="0" w:line="240" w:lineRule="auto"/>
        <w:rPr>
          <w:sz w:val="20"/>
          <w:lang w:val="en-US"/>
        </w:rPr>
      </w:pPr>
    </w:p>
    <w:p w14:paraId="054ADEBE" w14:textId="737D599F" w:rsidR="001D0C9A" w:rsidRPr="00881ED2" w:rsidRDefault="00881ED2" w:rsidP="00CE6E7B">
      <w:pPr>
        <w:pStyle w:val="LGTdoc"/>
        <w:spacing w:before="20" w:afterLines="0" w:line="240" w:lineRule="auto"/>
        <w:rPr>
          <w:b/>
          <w:sz w:val="20"/>
          <w:u w:val="single"/>
        </w:rPr>
      </w:pPr>
      <w:r w:rsidRPr="00881ED2">
        <w:rPr>
          <w:b/>
          <w:sz w:val="20"/>
          <w:u w:val="single"/>
        </w:rPr>
        <w:t>2-41: Type II codebook</w:t>
      </w:r>
      <w:r>
        <w:rPr>
          <w:b/>
          <w:sz w:val="20"/>
          <w:u w:val="single"/>
        </w:rPr>
        <w:t xml:space="preserve">: </w:t>
      </w:r>
      <w:r w:rsidRPr="001A54B6">
        <w:rPr>
          <w:b/>
          <w:i/>
          <w:sz w:val="20"/>
          <w:u w:val="single"/>
        </w:rPr>
        <w:t>Optional with capability signaling</w:t>
      </w:r>
    </w:p>
    <w:p w14:paraId="3C4EBC1A" w14:textId="415DE798" w:rsidR="00881ED2" w:rsidRPr="00881ED2" w:rsidRDefault="00881ED2" w:rsidP="00CE6E7B">
      <w:pPr>
        <w:pStyle w:val="LGTdoc"/>
        <w:spacing w:before="20" w:afterLines="0" w:line="240" w:lineRule="auto"/>
        <w:rPr>
          <w:b/>
          <w:sz w:val="20"/>
          <w:u w:val="single"/>
        </w:rPr>
      </w:pPr>
      <w:r w:rsidRPr="00881ED2">
        <w:rPr>
          <w:b/>
          <w:sz w:val="20"/>
          <w:u w:val="single"/>
        </w:rPr>
        <w:t>2-42: Support Type II SP-CSI feedback on long PUCCH</w:t>
      </w:r>
      <w:r>
        <w:rPr>
          <w:b/>
          <w:sz w:val="20"/>
          <w:u w:val="single"/>
        </w:rPr>
        <w:t>: Optional with capability signaling</w:t>
      </w:r>
      <w:r w:rsidR="005D5743">
        <w:rPr>
          <w:b/>
          <w:sz w:val="20"/>
          <w:u w:val="single"/>
        </w:rPr>
        <w:t xml:space="preserve"> (agreed as optional with capability signalling in RAN#80)</w:t>
      </w:r>
    </w:p>
    <w:p w14:paraId="586A5DBF" w14:textId="00C2F409" w:rsidR="00881ED2" w:rsidRPr="00881ED2" w:rsidRDefault="00881ED2" w:rsidP="00CE6E7B">
      <w:pPr>
        <w:pStyle w:val="LGTdoc"/>
        <w:spacing w:before="20" w:afterLines="0" w:line="240" w:lineRule="auto"/>
        <w:rPr>
          <w:b/>
          <w:sz w:val="20"/>
          <w:u w:val="single"/>
        </w:rPr>
      </w:pPr>
      <w:r w:rsidRPr="00881ED2">
        <w:rPr>
          <w:b/>
          <w:sz w:val="20"/>
          <w:u w:val="single"/>
        </w:rPr>
        <w:t>2-43: Type II codebook with port selection</w:t>
      </w:r>
      <w:r>
        <w:rPr>
          <w:b/>
          <w:sz w:val="20"/>
          <w:u w:val="single"/>
        </w:rPr>
        <w:t xml:space="preserve">: </w:t>
      </w:r>
      <w:r w:rsidRPr="001A54B6">
        <w:rPr>
          <w:b/>
          <w:i/>
          <w:sz w:val="20"/>
          <w:u w:val="single"/>
        </w:rPr>
        <w:t>Optional with capability signaling</w:t>
      </w:r>
    </w:p>
    <w:p w14:paraId="3B4512C1" w14:textId="77777777" w:rsidR="002A5465" w:rsidRDefault="002A5465" w:rsidP="00CE6E7B">
      <w:pPr>
        <w:pStyle w:val="LGTdoc"/>
        <w:spacing w:before="20" w:afterLines="0" w:line="240" w:lineRule="auto"/>
        <w:rPr>
          <w:sz w:val="20"/>
          <w:lang w:val="en-US"/>
        </w:rPr>
      </w:pPr>
    </w:p>
    <w:p w14:paraId="5218B29E" w14:textId="3F809354" w:rsidR="00881ED2" w:rsidRDefault="00881ED2" w:rsidP="00CE6E7B">
      <w:pPr>
        <w:pStyle w:val="LGTdoc"/>
        <w:spacing w:before="20" w:afterLines="0" w:line="240" w:lineRule="auto"/>
        <w:rPr>
          <w:sz w:val="20"/>
          <w:lang w:val="en-US"/>
        </w:rPr>
      </w:pPr>
      <w:r>
        <w:rPr>
          <w:sz w:val="20"/>
          <w:lang w:val="en-US"/>
        </w:rPr>
        <w:t>As discussed in [</w:t>
      </w:r>
      <w:r w:rsidR="00927993">
        <w:rPr>
          <w:sz w:val="20"/>
          <w:lang w:val="en-US"/>
        </w:rPr>
        <w:t>3</w:t>
      </w:r>
      <w:r>
        <w:rPr>
          <w:sz w:val="20"/>
          <w:lang w:val="en-US"/>
        </w:rPr>
        <w:t xml:space="preserve">], </w:t>
      </w:r>
      <w:r w:rsidR="00D560BE">
        <w:rPr>
          <w:sz w:val="20"/>
          <w:lang w:val="en-US"/>
        </w:rPr>
        <w:t>the following observations were made based on system level simulations:</w:t>
      </w:r>
    </w:p>
    <w:p w14:paraId="343E31DE" w14:textId="64E3BDF7" w:rsidR="00D560BE" w:rsidRPr="00D560BE" w:rsidRDefault="00D560BE" w:rsidP="00D560BE">
      <w:pPr>
        <w:pStyle w:val="LGTdoc"/>
        <w:numPr>
          <w:ilvl w:val="0"/>
          <w:numId w:val="19"/>
        </w:numPr>
        <w:spacing w:before="20" w:after="120"/>
        <w:rPr>
          <w:sz w:val="20"/>
          <w:lang w:val="en-US"/>
        </w:rPr>
      </w:pPr>
      <w:r w:rsidRPr="00D560BE">
        <w:rPr>
          <w:sz w:val="20"/>
          <w:lang w:val="en-US"/>
        </w:rPr>
        <w:t xml:space="preserve">Observation 1: Reciprocity-based precoding achieves better performance comparing to Type II CSI </w:t>
      </w:r>
    </w:p>
    <w:p w14:paraId="4F7BA16C" w14:textId="209EA17F" w:rsidR="00D560BE" w:rsidRPr="00D560BE" w:rsidRDefault="00D560BE" w:rsidP="00D560BE">
      <w:pPr>
        <w:pStyle w:val="LGTdoc"/>
        <w:numPr>
          <w:ilvl w:val="0"/>
          <w:numId w:val="19"/>
        </w:numPr>
        <w:spacing w:before="20" w:after="120"/>
        <w:rPr>
          <w:sz w:val="20"/>
          <w:lang w:val="en-US"/>
        </w:rPr>
      </w:pPr>
      <w:r w:rsidRPr="00D560BE">
        <w:rPr>
          <w:sz w:val="20"/>
          <w:lang w:val="en-US"/>
        </w:rPr>
        <w:t xml:space="preserve">Observation 2: The computational complexity of Type I PMI search is comparable to the computational complexity of Type II PMI search </w:t>
      </w:r>
    </w:p>
    <w:p w14:paraId="181E5950" w14:textId="6BF37CE9" w:rsidR="00D560BE" w:rsidRDefault="00D560BE" w:rsidP="00D560BE">
      <w:pPr>
        <w:pStyle w:val="LGTdoc"/>
        <w:numPr>
          <w:ilvl w:val="0"/>
          <w:numId w:val="19"/>
        </w:numPr>
        <w:spacing w:before="20" w:afterLines="0" w:line="240" w:lineRule="auto"/>
        <w:rPr>
          <w:sz w:val="20"/>
          <w:lang w:val="en-US"/>
        </w:rPr>
      </w:pPr>
      <w:r w:rsidRPr="00D560BE">
        <w:rPr>
          <w:sz w:val="20"/>
          <w:lang w:val="en-US"/>
        </w:rPr>
        <w:t>Observation 3: Implementation of Type II CSI in addition to Type I CSI leads to increased UE complexity and requires additional hardware block while the functionality of Type I and Type II CSI is similar</w:t>
      </w:r>
    </w:p>
    <w:p w14:paraId="770BE5B8" w14:textId="77777777" w:rsidR="00D560BE" w:rsidRDefault="00D560BE" w:rsidP="00D560BE">
      <w:pPr>
        <w:pStyle w:val="LGTdoc"/>
        <w:spacing w:before="20" w:afterLines="0" w:line="240" w:lineRule="auto"/>
        <w:rPr>
          <w:sz w:val="20"/>
          <w:lang w:val="en-US"/>
        </w:rPr>
      </w:pPr>
    </w:p>
    <w:p w14:paraId="1E78B42A" w14:textId="5A84D9BD" w:rsidR="00D560BE" w:rsidRDefault="00D560BE" w:rsidP="00D560BE">
      <w:pPr>
        <w:pStyle w:val="LGTdoc"/>
        <w:spacing w:before="20" w:afterLines="0" w:line="240" w:lineRule="auto"/>
        <w:rPr>
          <w:sz w:val="20"/>
          <w:lang w:val="en-US"/>
        </w:rPr>
      </w:pPr>
      <w:r>
        <w:rPr>
          <w:sz w:val="20"/>
          <w:lang w:val="en-US"/>
        </w:rPr>
        <w:t>Therefore, Type II CSI feedback should be optional considering not only performance gain but also UE complexity.</w:t>
      </w:r>
    </w:p>
    <w:p w14:paraId="6BB06E14" w14:textId="77777777" w:rsidR="00FE73EC" w:rsidRDefault="00FE73EC" w:rsidP="00D560BE">
      <w:pPr>
        <w:pStyle w:val="LGTdoc"/>
        <w:spacing w:before="20" w:afterLines="0" w:line="240" w:lineRule="auto"/>
        <w:rPr>
          <w:sz w:val="20"/>
          <w:lang w:val="en-US"/>
        </w:rPr>
      </w:pPr>
    </w:p>
    <w:p w14:paraId="307E4762" w14:textId="77777777" w:rsidR="00F9140B" w:rsidRDefault="00F9140B" w:rsidP="00D560BE">
      <w:pPr>
        <w:pStyle w:val="LGTdoc"/>
        <w:spacing w:before="20" w:afterLines="0" w:line="240" w:lineRule="auto"/>
        <w:rPr>
          <w:sz w:val="20"/>
          <w:lang w:val="en-US"/>
        </w:rPr>
      </w:pPr>
    </w:p>
    <w:p w14:paraId="6E5520F2" w14:textId="7BA842EA" w:rsidR="005F2FF8" w:rsidRPr="002B6BF2" w:rsidRDefault="005F2FF8" w:rsidP="00D560BE">
      <w:pPr>
        <w:pStyle w:val="LGTdoc"/>
        <w:spacing w:before="20" w:afterLines="0" w:line="240" w:lineRule="auto"/>
        <w:rPr>
          <w:b/>
          <w:sz w:val="20"/>
          <w:u w:val="single"/>
          <w:lang w:val="en-US"/>
        </w:rPr>
      </w:pPr>
      <w:r w:rsidRPr="002B6BF2">
        <w:rPr>
          <w:b/>
          <w:sz w:val="20"/>
          <w:u w:val="single"/>
          <w:lang w:val="en-US"/>
        </w:rPr>
        <w:t xml:space="preserve">2-56: SRS carrier switch: </w:t>
      </w:r>
      <w:r w:rsidRPr="002B6BF2">
        <w:rPr>
          <w:b/>
          <w:i/>
          <w:sz w:val="20"/>
          <w:u w:val="single"/>
          <w:lang w:val="en-US"/>
        </w:rPr>
        <w:t>Optional with capability signaling. Change type from type 1 to type 3</w:t>
      </w:r>
      <w:r w:rsidR="00E44D1B">
        <w:rPr>
          <w:b/>
          <w:i/>
          <w:sz w:val="20"/>
          <w:u w:val="single"/>
          <w:lang w:val="en-US"/>
        </w:rPr>
        <w:t xml:space="preserve"> (i.e. to per band per band combination)</w:t>
      </w:r>
    </w:p>
    <w:p w14:paraId="267ACF62" w14:textId="77777777" w:rsidR="00DE5129" w:rsidRPr="002B6BF2" w:rsidRDefault="00DE5129" w:rsidP="00EB10CB">
      <w:pPr>
        <w:pStyle w:val="LGTdoc1"/>
        <w:spacing w:beforeLines="0" w:after="0" w:afterAutospacing="0"/>
        <w:rPr>
          <w:rFonts w:ascii="Arial" w:hAnsi="Arial" w:cs="Arial"/>
          <w:lang w:val="en-US"/>
        </w:rPr>
      </w:pPr>
    </w:p>
    <w:p w14:paraId="3A86C7D7" w14:textId="0E6125F3" w:rsidR="005F2FF8" w:rsidRDefault="00D66132" w:rsidP="005F2FF8">
      <w:pPr>
        <w:pStyle w:val="LGTdoc"/>
        <w:spacing w:before="20" w:afterLines="0" w:line="240" w:lineRule="auto"/>
        <w:rPr>
          <w:sz w:val="20"/>
          <w:lang w:val="en-US"/>
        </w:rPr>
      </w:pPr>
      <w:r w:rsidRPr="002B6BF2">
        <w:rPr>
          <w:sz w:val="20"/>
          <w:lang w:val="en-US"/>
        </w:rPr>
        <w:t>There is RF implementation implication to support SRS carrier switching depending on the supported band combinations for CA and DC. It may cause interruption time depending on RF architecture. Also, the supportability of this feature will be dependent on the exact band combination and thus it is proposed optional with capability signaling and to change the type from type 1 to type 3.</w:t>
      </w:r>
    </w:p>
    <w:p w14:paraId="79EFEF7A" w14:textId="6D7A19E6" w:rsidR="00E44D1B" w:rsidRDefault="00E44D1B" w:rsidP="005F2FF8">
      <w:pPr>
        <w:pStyle w:val="LGTdoc"/>
        <w:spacing w:before="20" w:afterLines="0" w:line="240" w:lineRule="auto"/>
        <w:rPr>
          <w:sz w:val="20"/>
          <w:lang w:val="en-US"/>
        </w:rPr>
      </w:pPr>
      <w:r>
        <w:rPr>
          <w:sz w:val="20"/>
          <w:lang w:val="en-US"/>
        </w:rPr>
        <w:t>In addition, from recent LS from RAN4 R1-1805817, the following was answered to justify to change the type.</w:t>
      </w:r>
    </w:p>
    <w:p w14:paraId="5BA80930" w14:textId="77777777" w:rsidR="00E44D1B" w:rsidRDefault="00E44D1B" w:rsidP="005F2FF8">
      <w:pPr>
        <w:pStyle w:val="LGTdoc"/>
        <w:spacing w:before="20" w:afterLines="0" w:line="240" w:lineRule="auto"/>
        <w:rPr>
          <w:sz w:val="20"/>
          <w:lang w:val="en-US"/>
        </w:rPr>
      </w:pPr>
    </w:p>
    <w:p w14:paraId="0F630C3D" w14:textId="77777777" w:rsidR="00E44D1B" w:rsidRDefault="00E44D1B" w:rsidP="00E44D1B">
      <w:pPr>
        <w:rPr>
          <w:rFonts w:ascii="Arial" w:hAnsi="Arial" w:cs="Arial"/>
          <w:lang w:val="en-US" w:eastAsia="zh-CN"/>
        </w:rPr>
      </w:pPr>
      <w:r>
        <w:rPr>
          <w:rFonts w:ascii="Arial" w:hAnsi="Arial" w:cs="Arial"/>
          <w:b/>
          <w:lang w:val="en-US" w:eastAsia="zh-CN"/>
        </w:rPr>
        <w:t>Question 1</w:t>
      </w:r>
      <w:r>
        <w:rPr>
          <w:rFonts w:ascii="Arial" w:hAnsi="Arial" w:cs="Arial"/>
          <w:lang w:val="en-US" w:eastAsia="zh-CN"/>
        </w:rPr>
        <w:t xml:space="preserve">: </w:t>
      </w:r>
      <w:r>
        <w:rPr>
          <w:rFonts w:ascii="Arial" w:hAnsi="Arial" w:cs="Arial"/>
          <w:i/>
          <w:lang w:val="en-US" w:eastAsia="zh-CN"/>
        </w:rPr>
        <w:t>Can RAN4 confirm that there is a need for the UE to report pairs of bands per band combination where the SRS switching in the first NR band creates an interruption in the DL in the second NR band?</w:t>
      </w:r>
    </w:p>
    <w:p w14:paraId="65D93189" w14:textId="77777777" w:rsidR="00E44D1B" w:rsidRDefault="00E44D1B" w:rsidP="00E44D1B">
      <w:pPr>
        <w:spacing w:beforeLines="50" w:before="120" w:afterLines="100" w:after="240"/>
        <w:rPr>
          <w:rFonts w:ascii="Arial" w:hAnsi="Arial" w:cs="Arial"/>
          <w:lang w:val="en-US" w:eastAsia="zh-CN"/>
        </w:rPr>
      </w:pPr>
      <w:r>
        <w:rPr>
          <w:rFonts w:ascii="Arial" w:hAnsi="Arial" w:cs="Arial"/>
          <w:b/>
          <w:lang w:val="en-US" w:eastAsia="zh-CN"/>
        </w:rPr>
        <w:t>Answer 1</w:t>
      </w:r>
      <w:r>
        <w:rPr>
          <w:rFonts w:ascii="Arial" w:hAnsi="Arial" w:cs="Arial"/>
          <w:lang w:val="en-US" w:eastAsia="zh-CN"/>
        </w:rPr>
        <w:t>: It is the RAN4 understanding that there is a need for the UE to report pairs of bands per band combination where the SRS switching in the first NR band creates an interruption in the DL in the second NR band for inter-band NR CA.</w:t>
      </w:r>
    </w:p>
    <w:p w14:paraId="58755BF7" w14:textId="77777777" w:rsidR="00E44D1B" w:rsidRDefault="00E44D1B" w:rsidP="005F2FF8">
      <w:pPr>
        <w:pStyle w:val="LGTdoc"/>
        <w:spacing w:before="20" w:afterLines="0" w:line="240" w:lineRule="auto"/>
        <w:rPr>
          <w:sz w:val="20"/>
          <w:lang w:val="en-US"/>
        </w:rPr>
      </w:pPr>
    </w:p>
    <w:p w14:paraId="1A34AFDA" w14:textId="3DA34EB9" w:rsidR="00EA3746" w:rsidRPr="00AF2273" w:rsidRDefault="00EA3746" w:rsidP="005F2FF8">
      <w:pPr>
        <w:pStyle w:val="LGTdoc"/>
        <w:spacing w:before="20" w:afterLines="0" w:line="240" w:lineRule="auto"/>
        <w:rPr>
          <w:b/>
          <w:sz w:val="20"/>
          <w:u w:val="single"/>
          <w:lang w:val="en-US"/>
        </w:rPr>
      </w:pPr>
      <w:r w:rsidRPr="00AF2273">
        <w:rPr>
          <w:b/>
          <w:sz w:val="20"/>
          <w:u w:val="single"/>
          <w:lang w:val="en-US"/>
        </w:rPr>
        <w:t>5-4: Dynamic switching between RA Type 0 and RA Type 1 for PUSCH</w:t>
      </w:r>
      <w:r>
        <w:rPr>
          <w:b/>
          <w:sz w:val="20"/>
          <w:u w:val="single"/>
          <w:lang w:val="en-US"/>
        </w:rPr>
        <w:t>: To update the descriptions</w:t>
      </w:r>
    </w:p>
    <w:p w14:paraId="7BDB6B84" w14:textId="77777777" w:rsidR="00EA3746" w:rsidRPr="005F2FF8" w:rsidRDefault="00EA3746" w:rsidP="005F2FF8">
      <w:pPr>
        <w:pStyle w:val="LGTdoc"/>
        <w:spacing w:before="20" w:afterLines="0" w:line="240" w:lineRule="auto"/>
        <w:rPr>
          <w:sz w:val="20"/>
          <w:lang w:val="en-US"/>
        </w:rPr>
      </w:pPr>
    </w:p>
    <w:p w14:paraId="05D9909E" w14:textId="77777777" w:rsidR="00EA3746" w:rsidRDefault="00EA3746" w:rsidP="00EA3746">
      <w:pPr>
        <w:pStyle w:val="LGTdoc"/>
        <w:spacing w:before="20" w:afterLines="0" w:line="240" w:lineRule="auto"/>
        <w:rPr>
          <w:sz w:val="20"/>
          <w:lang w:val="en-US"/>
        </w:rPr>
      </w:pPr>
      <w:r>
        <w:rPr>
          <w:sz w:val="20"/>
          <w:lang w:val="en-US"/>
        </w:rPr>
        <w:t>In [10], RAN4 requested to remove FG 0-12:</w:t>
      </w:r>
    </w:p>
    <w:p w14:paraId="068DB24D" w14:textId="77777777" w:rsidR="00EA3746" w:rsidRDefault="00EA3746" w:rsidP="00EA3746">
      <w:pPr>
        <w:pStyle w:val="LGTdoc"/>
        <w:spacing w:before="20" w:afterLines="0" w:line="240" w:lineRule="auto"/>
        <w:rPr>
          <w:sz w:val="20"/>
          <w:lang w:val="en-US"/>
        </w:rPr>
      </w:pPr>
    </w:p>
    <w:p w14:paraId="04FDF098" w14:textId="77777777" w:rsidR="00EA3746" w:rsidRDefault="00EA3746" w:rsidP="00EA3746">
      <w:pPr>
        <w:numPr>
          <w:ilvl w:val="1"/>
          <w:numId w:val="23"/>
        </w:numPr>
        <w:overflowPunct/>
        <w:autoSpaceDE/>
        <w:autoSpaceDN/>
        <w:adjustRightInd/>
        <w:spacing w:after="0"/>
        <w:jc w:val="both"/>
        <w:textAlignment w:val="auto"/>
        <w:rPr>
          <w:rFonts w:ascii="Arial" w:eastAsia="MS Mincho" w:hAnsi="Arial" w:cs="Arial"/>
          <w:lang w:val="en-US" w:eastAsia="ja-JP"/>
        </w:rPr>
      </w:pPr>
      <w:r>
        <w:rPr>
          <w:rFonts w:ascii="Arial" w:eastAsia="MS Mincho" w:hAnsi="Arial" w:cs="Arial"/>
          <w:lang w:eastAsia="ja-JP"/>
        </w:rPr>
        <w:lastRenderedPageBreak/>
        <w:t>0-12</w:t>
      </w:r>
      <w:r>
        <w:rPr>
          <w:rFonts w:ascii="Arial" w:eastAsia="MS Mincho" w:hAnsi="Arial" w:cs="Arial"/>
          <w:lang w:eastAsia="ja-JP"/>
        </w:rPr>
        <w:tab/>
        <w:t>Non-contiguous UL PRB CP-OFDM per CC</w:t>
      </w:r>
    </w:p>
    <w:p w14:paraId="1D03A8AD" w14:textId="77777777" w:rsidR="00EA3746" w:rsidRDefault="00EA3746" w:rsidP="00EA3746">
      <w:pPr>
        <w:numPr>
          <w:ilvl w:val="2"/>
          <w:numId w:val="23"/>
        </w:numPr>
        <w:overflowPunct/>
        <w:autoSpaceDE/>
        <w:autoSpaceDN/>
        <w:adjustRightInd/>
        <w:spacing w:after="0"/>
        <w:jc w:val="both"/>
        <w:textAlignment w:val="auto"/>
        <w:rPr>
          <w:rFonts w:ascii="Arial" w:eastAsia="MS Mincho" w:hAnsi="Arial" w:cs="Arial"/>
          <w:lang w:val="en-US" w:eastAsia="ja-JP"/>
        </w:rPr>
      </w:pPr>
      <w:r>
        <w:rPr>
          <w:rFonts w:ascii="Arial" w:eastAsia="MS Mincho" w:hAnsi="Arial" w:cs="Arial"/>
          <w:lang w:val="en-US" w:eastAsia="ja-JP"/>
        </w:rPr>
        <w:t xml:space="preserve">For FR1 UL CP-OFDM, only “almost contiguous allocation” defined in TS38.101-1 is allowed in Rel.15 as non-contiguous allocation (per CC). </w:t>
      </w:r>
    </w:p>
    <w:p w14:paraId="306AA3D4" w14:textId="77777777" w:rsidR="00EA3746" w:rsidRDefault="00EA3746" w:rsidP="00EA3746">
      <w:pPr>
        <w:numPr>
          <w:ilvl w:val="2"/>
          <w:numId w:val="23"/>
        </w:numPr>
        <w:overflowPunct/>
        <w:autoSpaceDE/>
        <w:autoSpaceDN/>
        <w:adjustRightInd/>
        <w:spacing w:after="0"/>
        <w:jc w:val="both"/>
        <w:textAlignment w:val="auto"/>
        <w:rPr>
          <w:rFonts w:ascii="Arial" w:eastAsia="MS Mincho" w:hAnsi="Arial" w:cs="Arial"/>
          <w:lang w:val="en-US" w:eastAsia="ja-JP"/>
        </w:rPr>
      </w:pPr>
      <w:r>
        <w:rPr>
          <w:rFonts w:ascii="Arial" w:eastAsia="MS Mincho" w:hAnsi="Arial" w:cs="Arial"/>
          <w:lang w:val="en-US" w:eastAsia="ja-JP"/>
        </w:rPr>
        <w:t>For FR2 UL CP-OFDM, non-contiguous allocation is not allowed in Rel.15 (per CC).</w:t>
      </w:r>
    </w:p>
    <w:p w14:paraId="061BD196" w14:textId="77777777" w:rsidR="00EA3746" w:rsidRDefault="00EA3746" w:rsidP="00EA3746">
      <w:pPr>
        <w:numPr>
          <w:ilvl w:val="2"/>
          <w:numId w:val="23"/>
        </w:numPr>
        <w:overflowPunct/>
        <w:autoSpaceDE/>
        <w:autoSpaceDN/>
        <w:adjustRightInd/>
        <w:spacing w:after="0"/>
        <w:jc w:val="both"/>
        <w:textAlignment w:val="auto"/>
        <w:rPr>
          <w:rFonts w:ascii="Arial" w:eastAsia="MS Mincho" w:hAnsi="Arial" w:cs="Arial"/>
          <w:lang w:val="en-US" w:eastAsia="ja-JP"/>
        </w:rPr>
      </w:pPr>
      <w:r>
        <w:rPr>
          <w:rFonts w:ascii="Arial" w:eastAsia="MS Mincho" w:hAnsi="Arial" w:cs="Arial"/>
          <w:lang w:val="en-US" w:eastAsia="ja-JP"/>
        </w:rPr>
        <w:t>It is up to RAN1 how to capture the corresponding agreements on Non-contiguous UL PRB CP-OFDM applicability in RAN1 specifications.</w:t>
      </w:r>
    </w:p>
    <w:p w14:paraId="48032EF1" w14:textId="77777777" w:rsidR="00AB3ED9" w:rsidRDefault="00AB3ED9" w:rsidP="00EB10CB">
      <w:pPr>
        <w:pStyle w:val="LGTdoc1"/>
        <w:spacing w:beforeLines="0" w:after="0" w:afterAutospacing="0"/>
        <w:rPr>
          <w:sz w:val="20"/>
          <w:lang w:val="en-US"/>
        </w:rPr>
      </w:pPr>
    </w:p>
    <w:p w14:paraId="74442B99" w14:textId="18C1912C" w:rsidR="00EA3746" w:rsidRDefault="00EA3746" w:rsidP="00EB10CB">
      <w:pPr>
        <w:pStyle w:val="LGTdoc1"/>
        <w:spacing w:beforeLines="0" w:after="0" w:afterAutospacing="0"/>
        <w:rPr>
          <w:b w:val="0"/>
          <w:sz w:val="20"/>
          <w:lang w:val="en-US"/>
        </w:rPr>
      </w:pPr>
      <w:r>
        <w:rPr>
          <w:b w:val="0"/>
          <w:sz w:val="20"/>
          <w:lang w:val="en-US"/>
        </w:rPr>
        <w:t>Thus, the following is proposed:</w:t>
      </w:r>
    </w:p>
    <w:p w14:paraId="1519F83F" w14:textId="77777777" w:rsidR="00EA3746" w:rsidRPr="00AF2273" w:rsidRDefault="00EA3746" w:rsidP="00EB10CB">
      <w:pPr>
        <w:pStyle w:val="LGTdoc1"/>
        <w:spacing w:beforeLines="0" w:after="0" w:afterAutospacing="0"/>
        <w:rPr>
          <w:b w:val="0"/>
          <w:sz w:val="20"/>
          <w:lang w:val="en-US"/>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6"/>
        <w:gridCol w:w="1173"/>
        <w:gridCol w:w="1310"/>
        <w:gridCol w:w="522"/>
        <w:gridCol w:w="427"/>
        <w:gridCol w:w="945"/>
        <w:gridCol w:w="546"/>
        <w:gridCol w:w="572"/>
        <w:gridCol w:w="572"/>
        <w:gridCol w:w="468"/>
        <w:gridCol w:w="730"/>
        <w:gridCol w:w="530"/>
        <w:gridCol w:w="975"/>
        <w:gridCol w:w="840"/>
      </w:tblGrid>
      <w:tr w:rsidR="00EA3746" w:rsidRPr="00453ECA" w14:paraId="6D0A53A0" w14:textId="77777777" w:rsidTr="00955C33">
        <w:trPr>
          <w:trHeight w:val="930"/>
        </w:trPr>
        <w:tc>
          <w:tcPr>
            <w:tcW w:w="215" w:type="pct"/>
            <w:shd w:val="clear" w:color="auto" w:fill="auto"/>
            <w:vAlign w:val="center"/>
          </w:tcPr>
          <w:p w14:paraId="29142E54" w14:textId="77777777" w:rsidR="00EA3746" w:rsidRPr="00A2545F" w:rsidRDefault="00EA3746" w:rsidP="00955C33">
            <w:pPr>
              <w:snapToGrid w:val="0"/>
              <w:rPr>
                <w:rFonts w:ascii="Arial" w:eastAsia="MS PGothic" w:hAnsi="Arial" w:cs="Arial"/>
                <w:sz w:val="18"/>
                <w:szCs w:val="18"/>
              </w:rPr>
            </w:pPr>
            <w:r w:rsidRPr="00A2545F">
              <w:rPr>
                <w:rFonts w:ascii="Arial" w:eastAsia="MS PGothic" w:hAnsi="Arial" w:cs="Arial"/>
                <w:sz w:val="18"/>
                <w:szCs w:val="18"/>
              </w:rPr>
              <w:t>5-4</w:t>
            </w:r>
          </w:p>
        </w:tc>
        <w:tc>
          <w:tcPr>
            <w:tcW w:w="541" w:type="pct"/>
            <w:shd w:val="clear" w:color="auto" w:fill="auto"/>
          </w:tcPr>
          <w:p w14:paraId="064206BD" w14:textId="77777777" w:rsidR="00EA3746" w:rsidRPr="00A2545F" w:rsidRDefault="00EA3746" w:rsidP="00955C33">
            <w:pPr>
              <w:snapToGrid w:val="0"/>
              <w:rPr>
                <w:rFonts w:ascii="Arial" w:eastAsia="MS PGothic" w:hAnsi="Arial" w:cs="Arial"/>
                <w:sz w:val="18"/>
                <w:szCs w:val="18"/>
              </w:rPr>
            </w:pPr>
            <w:r w:rsidRPr="00A2545F">
              <w:rPr>
                <w:rFonts w:ascii="Arial" w:eastAsia="MS PGothic" w:hAnsi="Arial" w:cs="Arial"/>
                <w:sz w:val="18"/>
                <w:szCs w:val="18"/>
              </w:rPr>
              <w:t>Dynamic switching between RA Type 0 and RA Type 1 for PUSCH</w:t>
            </w:r>
          </w:p>
        </w:tc>
        <w:tc>
          <w:tcPr>
            <w:tcW w:w="605" w:type="pct"/>
            <w:shd w:val="clear" w:color="auto" w:fill="auto"/>
            <w:vAlign w:val="center"/>
          </w:tcPr>
          <w:p w14:paraId="2E09394F" w14:textId="77777777" w:rsidR="00EA3746" w:rsidRPr="00A2545F" w:rsidRDefault="00EA3746" w:rsidP="00955C33">
            <w:pPr>
              <w:snapToGrid w:val="0"/>
              <w:rPr>
                <w:rFonts w:ascii="Arial" w:eastAsia="MS PGothic" w:hAnsi="Arial" w:cs="Arial"/>
                <w:sz w:val="18"/>
                <w:szCs w:val="18"/>
              </w:rPr>
            </w:pPr>
          </w:p>
        </w:tc>
        <w:tc>
          <w:tcPr>
            <w:tcW w:w="241" w:type="pct"/>
            <w:shd w:val="clear" w:color="auto" w:fill="auto"/>
          </w:tcPr>
          <w:p w14:paraId="32E84B77" w14:textId="77777777" w:rsidR="00EA3746" w:rsidRPr="00A2545F" w:rsidRDefault="00EA3746" w:rsidP="00955C33">
            <w:pPr>
              <w:snapToGrid w:val="0"/>
              <w:rPr>
                <w:rFonts w:ascii="Arial" w:eastAsia="MS PGothic" w:hAnsi="Arial" w:cs="Arial"/>
                <w:sz w:val="18"/>
                <w:szCs w:val="18"/>
              </w:rPr>
            </w:pPr>
          </w:p>
        </w:tc>
        <w:tc>
          <w:tcPr>
            <w:tcW w:w="197" w:type="pct"/>
            <w:shd w:val="clear" w:color="auto" w:fill="auto"/>
            <w:vAlign w:val="center"/>
          </w:tcPr>
          <w:p w14:paraId="14A3DDD0" w14:textId="77777777" w:rsidR="00EA3746" w:rsidRPr="00A2545F" w:rsidRDefault="00EA3746" w:rsidP="00955C33">
            <w:pPr>
              <w:snapToGrid w:val="0"/>
              <w:rPr>
                <w:rFonts w:ascii="Arial" w:eastAsia="MS PGothic" w:hAnsi="Arial" w:cs="Arial"/>
                <w:sz w:val="18"/>
                <w:szCs w:val="18"/>
              </w:rPr>
            </w:pPr>
            <w:r w:rsidRPr="00A2545F">
              <w:rPr>
                <w:rFonts w:ascii="Arial" w:eastAsia="MS PGothic" w:hAnsi="Arial" w:cs="Arial"/>
                <w:sz w:val="18"/>
                <w:szCs w:val="18"/>
              </w:rPr>
              <w:t>Yes</w:t>
            </w:r>
          </w:p>
        </w:tc>
        <w:tc>
          <w:tcPr>
            <w:tcW w:w="436" w:type="pct"/>
            <w:shd w:val="clear" w:color="auto" w:fill="auto"/>
            <w:vAlign w:val="center"/>
          </w:tcPr>
          <w:p w14:paraId="6D813646" w14:textId="77777777" w:rsidR="00EA3746" w:rsidRPr="00A2545F" w:rsidRDefault="00EA3746" w:rsidP="00955C33">
            <w:pPr>
              <w:snapToGrid w:val="0"/>
              <w:rPr>
                <w:rFonts w:ascii="Arial" w:eastAsia="MS PGothic" w:hAnsi="Arial" w:cs="Arial"/>
                <w:sz w:val="18"/>
                <w:szCs w:val="18"/>
              </w:rPr>
            </w:pPr>
          </w:p>
        </w:tc>
        <w:tc>
          <w:tcPr>
            <w:tcW w:w="252" w:type="pct"/>
            <w:shd w:val="clear" w:color="auto" w:fill="auto"/>
            <w:vAlign w:val="center"/>
          </w:tcPr>
          <w:p w14:paraId="110C00BC" w14:textId="77777777" w:rsidR="00EA3746" w:rsidRPr="00EB58BB" w:rsidRDefault="00EA3746" w:rsidP="00955C33">
            <w:pPr>
              <w:snapToGrid w:val="0"/>
              <w:rPr>
                <w:rFonts w:ascii="Arial" w:eastAsia="MS PGothic" w:hAnsi="Arial" w:cs="Arial"/>
                <w:sz w:val="18"/>
                <w:szCs w:val="18"/>
              </w:rPr>
            </w:pPr>
            <w:r w:rsidRPr="00EB58BB">
              <w:rPr>
                <w:rFonts w:ascii="Arial" w:eastAsia="MS PGothic" w:hAnsi="Arial" w:cs="Arial"/>
                <w:sz w:val="18"/>
                <w:szCs w:val="18"/>
              </w:rPr>
              <w:t>Type 4</w:t>
            </w:r>
          </w:p>
        </w:tc>
        <w:tc>
          <w:tcPr>
            <w:tcW w:w="264" w:type="pct"/>
            <w:shd w:val="clear" w:color="auto" w:fill="auto"/>
            <w:vAlign w:val="center"/>
          </w:tcPr>
          <w:p w14:paraId="1484F5F4" w14:textId="77777777" w:rsidR="00EA3746" w:rsidRPr="00A2545F" w:rsidRDefault="00EA3746" w:rsidP="00955C33">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4" w:type="pct"/>
            <w:shd w:val="clear" w:color="auto" w:fill="auto"/>
            <w:vAlign w:val="center"/>
          </w:tcPr>
          <w:p w14:paraId="4BDC5A52" w14:textId="4E99ED52" w:rsidR="00EA3746" w:rsidRPr="00A2545F" w:rsidRDefault="00EA3746" w:rsidP="00955C33">
            <w:pPr>
              <w:snapToGrid w:val="0"/>
              <w:jc w:val="center"/>
              <w:rPr>
                <w:rFonts w:ascii="Malgun Gothic" w:eastAsia="Malgun Gothic" w:hAnsi="Malgun Gothic" w:cs="MS PGothic"/>
                <w:sz w:val="18"/>
                <w:szCs w:val="18"/>
              </w:rPr>
            </w:pPr>
            <w:r w:rsidRPr="00AF2273">
              <w:rPr>
                <w:rFonts w:ascii="Arial" w:eastAsia="MS PGothic" w:hAnsi="Arial" w:cs="Arial"/>
                <w:strike/>
                <w:sz w:val="18"/>
                <w:szCs w:val="18"/>
                <w:highlight w:val="yellow"/>
              </w:rPr>
              <w:t>No need</w:t>
            </w:r>
            <w:r w:rsidR="00C25B38" w:rsidRPr="00AF2273">
              <w:rPr>
                <w:rFonts w:ascii="Arial" w:eastAsia="MS PGothic" w:hAnsi="Arial" w:cs="Arial"/>
                <w:sz w:val="18"/>
                <w:szCs w:val="18"/>
                <w:highlight w:val="yellow"/>
              </w:rPr>
              <w:t xml:space="preserve"> Yes</w:t>
            </w:r>
          </w:p>
        </w:tc>
        <w:tc>
          <w:tcPr>
            <w:tcW w:w="216" w:type="pct"/>
            <w:shd w:val="clear" w:color="auto" w:fill="auto"/>
            <w:vAlign w:val="center"/>
          </w:tcPr>
          <w:p w14:paraId="5F81DCF8" w14:textId="77777777" w:rsidR="00EA3746" w:rsidRPr="00A2545F" w:rsidRDefault="00EA3746" w:rsidP="00955C33">
            <w:pPr>
              <w:snapToGrid w:val="0"/>
              <w:rPr>
                <w:rFonts w:ascii="Malgun Gothic" w:eastAsia="Malgun Gothic" w:hAnsi="Malgun Gothic" w:cs="MS PGothic"/>
                <w:sz w:val="18"/>
                <w:szCs w:val="18"/>
              </w:rPr>
            </w:pPr>
          </w:p>
        </w:tc>
        <w:tc>
          <w:tcPr>
            <w:tcW w:w="337" w:type="pct"/>
            <w:shd w:val="clear" w:color="auto" w:fill="auto"/>
            <w:vAlign w:val="center"/>
          </w:tcPr>
          <w:p w14:paraId="4D8CF13F" w14:textId="77777777" w:rsidR="00EA3746" w:rsidRPr="00C25B38" w:rsidRDefault="00C25B38" w:rsidP="00955C33">
            <w:pPr>
              <w:snapToGrid w:val="0"/>
              <w:rPr>
                <w:rFonts w:eastAsia="Malgun Gothic"/>
                <w:sz w:val="18"/>
                <w:szCs w:val="18"/>
              </w:rPr>
            </w:pPr>
            <w:r w:rsidRPr="00AF2273">
              <w:rPr>
                <w:rFonts w:eastAsia="Malgun Gothic"/>
                <w:sz w:val="18"/>
                <w:szCs w:val="18"/>
              </w:rPr>
              <w:t>FR1 only for UE supporting ‘almost contiguous allocation’</w:t>
            </w:r>
            <w:r w:rsidRPr="00C25B38">
              <w:rPr>
                <w:rFonts w:eastAsia="Malgun Gothic"/>
                <w:sz w:val="18"/>
                <w:szCs w:val="18"/>
              </w:rPr>
              <w:t>. Not supported for FR2</w:t>
            </w:r>
          </w:p>
          <w:p w14:paraId="330FE4D7" w14:textId="77777777" w:rsidR="00C25B38" w:rsidRPr="00C25B38" w:rsidRDefault="00C25B38" w:rsidP="00955C33">
            <w:pPr>
              <w:snapToGrid w:val="0"/>
              <w:rPr>
                <w:rFonts w:eastAsia="Malgun Gothic"/>
                <w:sz w:val="18"/>
                <w:szCs w:val="18"/>
              </w:rPr>
            </w:pPr>
          </w:p>
          <w:p w14:paraId="1407067D" w14:textId="2A98973F" w:rsidR="00C25B38" w:rsidRPr="00AF2273" w:rsidRDefault="00C25B38" w:rsidP="00955C33">
            <w:pPr>
              <w:snapToGrid w:val="0"/>
              <w:rPr>
                <w:rFonts w:eastAsia="Malgun Gothic"/>
                <w:sz w:val="18"/>
                <w:szCs w:val="18"/>
              </w:rPr>
            </w:pPr>
            <w:r w:rsidRPr="00C25B38">
              <w:rPr>
                <w:rFonts w:eastAsia="Malgun Gothic"/>
                <w:sz w:val="18"/>
                <w:szCs w:val="18"/>
              </w:rPr>
              <w:t>This feature is only for CP-OFDM.</w:t>
            </w:r>
          </w:p>
        </w:tc>
        <w:tc>
          <w:tcPr>
            <w:tcW w:w="245" w:type="pct"/>
            <w:shd w:val="clear" w:color="auto" w:fill="auto"/>
            <w:vAlign w:val="center"/>
          </w:tcPr>
          <w:p w14:paraId="6C90AE91" w14:textId="77777777" w:rsidR="00EA3746" w:rsidRPr="00A2545F" w:rsidRDefault="00EA3746" w:rsidP="00955C33">
            <w:pPr>
              <w:snapToGrid w:val="0"/>
              <w:rPr>
                <w:rFonts w:ascii="Arial" w:eastAsia="MS PGothic" w:hAnsi="Arial" w:cs="Arial"/>
                <w:sz w:val="18"/>
                <w:szCs w:val="18"/>
              </w:rPr>
            </w:pPr>
          </w:p>
        </w:tc>
        <w:tc>
          <w:tcPr>
            <w:tcW w:w="450" w:type="pct"/>
            <w:shd w:val="clear" w:color="000000" w:fill="BFBFBF"/>
            <w:vAlign w:val="center"/>
          </w:tcPr>
          <w:p w14:paraId="0585E39F" w14:textId="77777777" w:rsidR="00EA3746" w:rsidRPr="00A2545F" w:rsidRDefault="00EA3746" w:rsidP="00955C33">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388" w:type="pct"/>
            <w:shd w:val="clear" w:color="auto" w:fill="auto"/>
          </w:tcPr>
          <w:p w14:paraId="7C79F073" w14:textId="77777777" w:rsidR="00EA3746" w:rsidRPr="00453ECA" w:rsidRDefault="00EA3746" w:rsidP="00955C33">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r>
    </w:tbl>
    <w:p w14:paraId="7688333C" w14:textId="77777777" w:rsidR="00B86F3D" w:rsidRDefault="00B86F3D" w:rsidP="00EB10CB">
      <w:pPr>
        <w:pStyle w:val="LGTdoc1"/>
        <w:spacing w:beforeLines="0" w:after="0" w:afterAutospacing="0"/>
        <w:rPr>
          <w:rFonts w:ascii="Arial" w:hAnsi="Arial" w:cs="Arial"/>
          <w:lang w:val="en-US"/>
        </w:rPr>
      </w:pPr>
    </w:p>
    <w:p w14:paraId="359573B2" w14:textId="39CD8E69" w:rsidR="00AF2273" w:rsidRPr="004B1528" w:rsidRDefault="00AF2273" w:rsidP="004B1528">
      <w:pPr>
        <w:pStyle w:val="LGTdoc"/>
        <w:spacing w:before="20" w:afterLines="0" w:line="240" w:lineRule="auto"/>
        <w:rPr>
          <w:sz w:val="20"/>
          <w:u w:val="single"/>
          <w:lang w:val="en-US"/>
        </w:rPr>
      </w:pPr>
      <w:r w:rsidRPr="004B1528">
        <w:rPr>
          <w:b/>
          <w:sz w:val="20"/>
          <w:u w:val="single"/>
          <w:lang w:val="en-US"/>
        </w:rPr>
        <w:t>6-4:</w:t>
      </w:r>
      <w:r>
        <w:rPr>
          <w:b/>
          <w:sz w:val="20"/>
          <w:u w:val="single"/>
          <w:lang w:val="en-US"/>
        </w:rPr>
        <w:t xml:space="preserve"> </w:t>
      </w:r>
      <w:r w:rsidRPr="00AF2273">
        <w:rPr>
          <w:b/>
          <w:sz w:val="20"/>
          <w:u w:val="single"/>
          <w:lang w:val="en-US"/>
        </w:rPr>
        <w:t>BWP adaptation with different numerologies</w:t>
      </w:r>
    </w:p>
    <w:p w14:paraId="17635D6A" w14:textId="77777777" w:rsidR="00AF2273" w:rsidRDefault="00AF2273" w:rsidP="00EB10CB">
      <w:pPr>
        <w:pStyle w:val="LGTdoc1"/>
        <w:spacing w:beforeLines="0" w:after="0" w:afterAutospacing="0"/>
        <w:rPr>
          <w:rFonts w:ascii="Arial" w:hAnsi="Arial" w:cs="Arial"/>
          <w:lang w:val="en-US"/>
        </w:rPr>
      </w:pPr>
    </w:p>
    <w:p w14:paraId="1DDD33EE" w14:textId="1659E254" w:rsidR="00AF2273" w:rsidRPr="004B1528" w:rsidRDefault="00AF2273" w:rsidP="004B1528">
      <w:pPr>
        <w:pStyle w:val="LGTdoc"/>
        <w:spacing w:before="20" w:afterLines="0" w:line="240" w:lineRule="auto"/>
        <w:rPr>
          <w:sz w:val="20"/>
          <w:lang w:val="en-US"/>
        </w:rPr>
      </w:pPr>
      <w:r>
        <w:rPr>
          <w:sz w:val="20"/>
          <w:lang w:val="en-US"/>
        </w:rPr>
        <w:t xml:space="preserve">According to [12], Rel-15 will support </w:t>
      </w:r>
      <w:r w:rsidR="009E2301">
        <w:rPr>
          <w:sz w:val="20"/>
          <w:lang w:val="en-US"/>
        </w:rPr>
        <w:t>the same numerologies between DL and UL except SUL. The current UE feature list couldn’t cover the case by giving an impression that the feature is mandatory. Thus, it is proposed to clarify that different numerologies between DL and UL are not supported in Rel-15 other than SUL case.</w:t>
      </w:r>
    </w:p>
    <w:p w14:paraId="4A1DE683" w14:textId="77777777" w:rsidR="00AF2273" w:rsidRDefault="00AF2273" w:rsidP="00EB10CB">
      <w:pPr>
        <w:pStyle w:val="LGTdoc1"/>
        <w:spacing w:beforeLines="0" w:after="0" w:afterAutospacing="0"/>
        <w:rPr>
          <w:rFonts w:ascii="Arial" w:hAnsi="Arial" w:cs="Arial"/>
          <w:lang w:val="en-US"/>
        </w:rPr>
      </w:pPr>
    </w:p>
    <w:tbl>
      <w:tblPr>
        <w:tblW w:w="5050" w:type="pct"/>
        <w:tblCellMar>
          <w:left w:w="0" w:type="dxa"/>
          <w:right w:w="0" w:type="dxa"/>
        </w:tblCellMar>
        <w:tblLook w:val="04A0" w:firstRow="1" w:lastRow="0" w:firstColumn="1" w:lastColumn="0" w:noHBand="0" w:noVBand="1"/>
      </w:tblPr>
      <w:tblGrid>
        <w:gridCol w:w="359"/>
        <w:gridCol w:w="1279"/>
        <w:gridCol w:w="1279"/>
        <w:gridCol w:w="359"/>
        <w:gridCol w:w="509"/>
        <w:gridCol w:w="1279"/>
        <w:gridCol w:w="599"/>
        <w:gridCol w:w="549"/>
        <w:gridCol w:w="533"/>
        <w:gridCol w:w="204"/>
        <w:gridCol w:w="204"/>
        <w:gridCol w:w="1279"/>
        <w:gridCol w:w="949"/>
        <w:gridCol w:w="949"/>
      </w:tblGrid>
      <w:tr w:rsidR="00AF2273" w14:paraId="796863C2" w14:textId="77777777" w:rsidTr="00AF2273">
        <w:trPr>
          <w:trHeight w:val="1362"/>
        </w:trPr>
        <w:tc>
          <w:tcPr>
            <w:tcW w:w="215" w:type="pct"/>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hideMark/>
          </w:tcPr>
          <w:p w14:paraId="555270C8" w14:textId="77777777" w:rsidR="00AF2273" w:rsidRDefault="00AF2273">
            <w:pPr>
              <w:snapToGrid w:val="0"/>
              <w:rPr>
                <w:rFonts w:ascii="Arial" w:hAnsi="Arial" w:cs="Arial"/>
                <w:sz w:val="18"/>
                <w:szCs w:val="18"/>
                <w:highlight w:val="yellow"/>
                <w:lang w:val="en-US" w:eastAsia="ko-KR"/>
              </w:rPr>
            </w:pPr>
            <w:r>
              <w:rPr>
                <w:rFonts w:ascii="Arial" w:hAnsi="Arial" w:cs="Arial"/>
                <w:sz w:val="18"/>
                <w:szCs w:val="18"/>
              </w:rPr>
              <w:t>6-4</w:t>
            </w:r>
          </w:p>
        </w:tc>
        <w:tc>
          <w:tcPr>
            <w:tcW w:w="541"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6BD8C76" w14:textId="77777777" w:rsidR="00AF2273" w:rsidRDefault="00AF2273">
            <w:pPr>
              <w:snapToGrid w:val="0"/>
              <w:rPr>
                <w:rFonts w:ascii="Arial" w:hAnsi="Arial" w:cs="Arial"/>
                <w:sz w:val="18"/>
                <w:szCs w:val="18"/>
              </w:rPr>
            </w:pPr>
            <w:bookmarkStart w:id="6" w:name="_Hlk504787513"/>
            <w:r>
              <w:rPr>
                <w:rFonts w:ascii="Arial" w:hAnsi="Arial" w:cs="Arial"/>
                <w:sz w:val="18"/>
                <w:szCs w:val="18"/>
              </w:rPr>
              <w:t>BWP adaptation with different numerologies</w:t>
            </w:r>
            <w:bookmarkEnd w:id="6"/>
          </w:p>
        </w:tc>
        <w:tc>
          <w:tcPr>
            <w:tcW w:w="605"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40C2629C" w14:textId="77777777" w:rsidR="00AF2273" w:rsidRDefault="00AF2273">
            <w:pPr>
              <w:snapToGrid w:val="0"/>
              <w:rPr>
                <w:rFonts w:ascii="Arial" w:hAnsi="Arial" w:cs="Arial"/>
                <w:sz w:val="18"/>
                <w:szCs w:val="18"/>
              </w:rPr>
            </w:pPr>
            <w:r>
              <w:rPr>
                <w:rFonts w:ascii="Arial" w:hAnsi="Arial" w:cs="Arial"/>
                <w:sz w:val="18"/>
                <w:szCs w:val="18"/>
              </w:rPr>
              <w:br/>
              <w:t>1) Up to 4 UE-specific RRC configured DL BWPs per carrier</w:t>
            </w:r>
          </w:p>
          <w:p w14:paraId="7C4DC90B" w14:textId="77777777" w:rsidR="00AF2273" w:rsidRDefault="00AF2273">
            <w:pPr>
              <w:snapToGrid w:val="0"/>
              <w:rPr>
                <w:rFonts w:ascii="Arial" w:hAnsi="Arial" w:cs="Arial"/>
                <w:sz w:val="18"/>
                <w:szCs w:val="18"/>
              </w:rPr>
            </w:pPr>
            <w:r>
              <w:rPr>
                <w:rFonts w:ascii="Arial" w:hAnsi="Arial" w:cs="Arial"/>
                <w:sz w:val="18"/>
                <w:szCs w:val="18"/>
              </w:rPr>
              <w:t>2) Up to 4 UE-specific RRC configured UL BWPs per carrier</w:t>
            </w:r>
          </w:p>
          <w:p w14:paraId="4F26AB0C" w14:textId="77777777" w:rsidR="00AF2273" w:rsidRDefault="00AF2273">
            <w:pPr>
              <w:snapToGrid w:val="0"/>
              <w:rPr>
                <w:rFonts w:ascii="Arial" w:hAnsi="Arial" w:cs="Arial"/>
                <w:sz w:val="18"/>
                <w:szCs w:val="18"/>
              </w:rPr>
            </w:pPr>
          </w:p>
          <w:p w14:paraId="197CD589" w14:textId="77777777" w:rsidR="00AF2273" w:rsidRDefault="00AF2273">
            <w:pPr>
              <w:snapToGrid w:val="0"/>
              <w:rPr>
                <w:rFonts w:ascii="Arial" w:hAnsi="Arial" w:cs="Arial"/>
                <w:sz w:val="18"/>
                <w:szCs w:val="18"/>
              </w:rPr>
            </w:pPr>
            <w:r>
              <w:rPr>
                <w:rFonts w:ascii="Arial" w:hAnsi="Arial" w:cs="Arial"/>
                <w:sz w:val="18"/>
                <w:szCs w:val="18"/>
              </w:rPr>
              <w:t xml:space="preserve">3) Active BWP </w:t>
            </w:r>
            <w:r>
              <w:rPr>
                <w:rFonts w:ascii="Arial" w:hAnsi="Arial" w:cs="Arial"/>
                <w:sz w:val="18"/>
                <w:szCs w:val="18"/>
              </w:rPr>
              <w:lastRenderedPageBreak/>
              <w:t>switching by DCI and timer</w:t>
            </w:r>
          </w:p>
          <w:p w14:paraId="6518AB01" w14:textId="77777777" w:rsidR="00AF2273" w:rsidRDefault="00AF2273">
            <w:pPr>
              <w:snapToGrid w:val="0"/>
              <w:rPr>
                <w:rFonts w:ascii="Arial" w:hAnsi="Arial" w:cs="Arial"/>
                <w:sz w:val="18"/>
                <w:szCs w:val="18"/>
              </w:rPr>
            </w:pPr>
            <w:r>
              <w:rPr>
                <w:rFonts w:ascii="Arial" w:hAnsi="Arial" w:cs="Arial"/>
                <w:sz w:val="18"/>
                <w:szCs w:val="18"/>
              </w:rPr>
              <w:t>4) More than one numerologies for the UE-specific RRC configured BWPs per carrier</w:t>
            </w:r>
          </w:p>
          <w:p w14:paraId="7E653514" w14:textId="77777777" w:rsidR="00AF2273" w:rsidRDefault="00AF2273">
            <w:pPr>
              <w:snapToGrid w:val="0"/>
              <w:rPr>
                <w:rFonts w:ascii="Arial" w:hAnsi="Arial" w:cs="Arial"/>
                <w:sz w:val="18"/>
                <w:szCs w:val="18"/>
              </w:rPr>
            </w:pPr>
            <w:r w:rsidRPr="004B1528">
              <w:rPr>
                <w:rFonts w:ascii="Arial" w:hAnsi="Arial" w:cs="Arial"/>
                <w:sz w:val="18"/>
                <w:szCs w:val="18"/>
                <w:highlight w:val="cyan"/>
              </w:rPr>
              <w:t>5) Same numerology between DL and UL per cell except for SUL at a given time</w:t>
            </w:r>
          </w:p>
          <w:p w14:paraId="0BB239CE" w14:textId="77777777" w:rsidR="00AF2273" w:rsidRDefault="00AF2273">
            <w:pPr>
              <w:snapToGrid w:val="0"/>
              <w:rPr>
                <w:rFonts w:ascii="Arial" w:hAnsi="Arial" w:cs="Arial"/>
                <w:sz w:val="18"/>
                <w:szCs w:val="18"/>
              </w:rPr>
            </w:pPr>
            <w:r>
              <w:rPr>
                <w:rFonts w:ascii="Arial" w:hAnsi="Arial" w:cs="Arial"/>
                <w:sz w:val="18"/>
                <w:szCs w:val="18"/>
              </w:rPr>
              <w:t xml:space="preserve">6) BW of a UE-specific RRC configured BWP includes BW of the </w:t>
            </w:r>
            <w:r>
              <w:rPr>
                <w:rFonts w:ascii="Arial" w:hAnsi="Arial" w:cs="Arial"/>
                <w:strike/>
                <w:color w:val="FF0000"/>
                <w:sz w:val="18"/>
                <w:szCs w:val="18"/>
              </w:rPr>
              <w:t>initial DL BWP</w:t>
            </w:r>
            <w:r>
              <w:rPr>
                <w:rFonts w:ascii="Arial" w:hAnsi="Arial" w:cs="Arial"/>
                <w:color w:val="0000FF"/>
                <w:sz w:val="18"/>
                <w:szCs w:val="18"/>
                <w:u w:val="single"/>
              </w:rPr>
              <w:t xml:space="preserve"> CORESET#0 (if CORESET#0 is present) </w:t>
            </w:r>
            <w:r>
              <w:rPr>
                <w:rFonts w:ascii="Arial" w:hAnsi="Arial" w:cs="Arial"/>
                <w:sz w:val="18"/>
                <w:szCs w:val="18"/>
              </w:rPr>
              <w:t xml:space="preserve">and SSB for PCell/PScell </w:t>
            </w:r>
            <w:r>
              <w:rPr>
                <w:rFonts w:ascii="Arial" w:hAnsi="Arial" w:cs="Arial"/>
                <w:color w:val="0000FF"/>
                <w:sz w:val="18"/>
                <w:szCs w:val="18"/>
                <w:u w:val="single"/>
              </w:rPr>
              <w:t>(if configured)</w:t>
            </w:r>
            <w:r>
              <w:rPr>
                <w:rFonts w:ascii="Arial" w:hAnsi="Arial" w:cs="Arial"/>
                <w:sz w:val="18"/>
                <w:szCs w:val="18"/>
              </w:rPr>
              <w:t xml:space="preserve"> and BW of the UE-specific RRC configured BWP includes SSB for Scell if there is SSB on Scell</w:t>
            </w:r>
          </w:p>
          <w:p w14:paraId="4F6038ED" w14:textId="77777777" w:rsidR="00AF2273" w:rsidRDefault="00AF2273">
            <w:pPr>
              <w:snapToGrid w:val="0"/>
              <w:rPr>
                <w:rFonts w:ascii="Arial" w:hAnsi="Arial" w:cs="Arial"/>
                <w:sz w:val="18"/>
                <w:szCs w:val="18"/>
              </w:rPr>
            </w:pPr>
          </w:p>
        </w:tc>
        <w:tc>
          <w:tcPr>
            <w:tcW w:w="241"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3974B291" w14:textId="77777777" w:rsidR="00AF2273" w:rsidRDefault="00AF2273">
            <w:pPr>
              <w:snapToGrid w:val="0"/>
              <w:rPr>
                <w:rFonts w:ascii="Arial" w:hAnsi="Arial" w:cs="Arial"/>
                <w:sz w:val="18"/>
                <w:szCs w:val="18"/>
              </w:rPr>
            </w:pPr>
            <w:r>
              <w:rPr>
                <w:rFonts w:ascii="Arial" w:hAnsi="Arial" w:cs="Arial"/>
                <w:sz w:val="18"/>
                <w:szCs w:val="18"/>
              </w:rPr>
              <w:lastRenderedPageBreak/>
              <w:t>6-1</w:t>
            </w:r>
          </w:p>
        </w:tc>
        <w:tc>
          <w:tcPr>
            <w:tcW w:w="197"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CF32FAE" w14:textId="77777777" w:rsidR="00AF2273" w:rsidRDefault="00AF2273">
            <w:pPr>
              <w:snapToGrid w:val="0"/>
              <w:rPr>
                <w:rFonts w:ascii="Arial" w:hAnsi="Arial" w:cs="Arial"/>
                <w:sz w:val="18"/>
                <w:szCs w:val="18"/>
              </w:rPr>
            </w:pPr>
            <w:r>
              <w:rPr>
                <w:rFonts w:ascii="Arial" w:hAnsi="Arial" w:cs="Arial"/>
                <w:sz w:val="18"/>
                <w:szCs w:val="18"/>
              </w:rPr>
              <w:t>Yes</w:t>
            </w:r>
          </w:p>
        </w:tc>
        <w:tc>
          <w:tcPr>
            <w:tcW w:w="436"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878F93C" w14:textId="77777777" w:rsidR="00AF2273" w:rsidRDefault="00AF2273">
            <w:pPr>
              <w:snapToGrid w:val="0"/>
              <w:rPr>
                <w:rFonts w:ascii="Arial" w:hAnsi="Arial" w:cs="Arial"/>
                <w:sz w:val="18"/>
                <w:szCs w:val="18"/>
              </w:rPr>
            </w:pPr>
            <w:r>
              <w:rPr>
                <w:rFonts w:ascii="Arial" w:hAnsi="Arial" w:cs="Arial"/>
                <w:sz w:val="18"/>
                <w:szCs w:val="18"/>
              </w:rPr>
              <w:t>BWP adaptation with different numerologies is not possible</w:t>
            </w:r>
          </w:p>
        </w:tc>
        <w:tc>
          <w:tcPr>
            <w:tcW w:w="252"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3FE302A" w14:textId="77777777" w:rsidR="00AF2273" w:rsidRDefault="00AF2273">
            <w:pPr>
              <w:snapToGrid w:val="0"/>
              <w:rPr>
                <w:rFonts w:ascii="Arial" w:hAnsi="Arial" w:cs="Arial"/>
                <w:sz w:val="18"/>
                <w:szCs w:val="18"/>
                <w:highlight w:val="yellow"/>
              </w:rPr>
            </w:pPr>
            <w:r>
              <w:rPr>
                <w:rFonts w:ascii="Arial" w:hAnsi="Arial" w:cs="Arial"/>
                <w:sz w:val="18"/>
                <w:szCs w:val="18"/>
              </w:rPr>
              <w:t>Type 1</w:t>
            </w:r>
          </w:p>
        </w:tc>
        <w:tc>
          <w:tcPr>
            <w:tcW w:w="264"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98A8C09" w14:textId="77777777" w:rsidR="00AF2273" w:rsidRDefault="00AF2273">
            <w:pPr>
              <w:snapToGrid w:val="0"/>
              <w:rPr>
                <w:rFonts w:ascii="Arial" w:hAnsi="Arial" w:cs="Arial"/>
                <w:sz w:val="18"/>
                <w:szCs w:val="18"/>
              </w:rPr>
            </w:pPr>
            <w:r>
              <w:rPr>
                <w:rFonts w:ascii="Arial" w:hAnsi="Arial" w:cs="Arial"/>
                <w:sz w:val="18"/>
                <w:szCs w:val="18"/>
              </w:rPr>
              <w:t>N.A.</w:t>
            </w:r>
          </w:p>
        </w:tc>
        <w:tc>
          <w:tcPr>
            <w:tcW w:w="264"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32AE168" w14:textId="77777777" w:rsidR="00AF2273" w:rsidRDefault="00AF2273">
            <w:pPr>
              <w:snapToGrid w:val="0"/>
              <w:rPr>
                <w:rFonts w:ascii="Malgun Gothic" w:eastAsia="Malgun Gothic" w:hAnsi="Malgun Gothic" w:cs="Calibri"/>
                <w:sz w:val="18"/>
                <w:szCs w:val="18"/>
              </w:rPr>
            </w:pPr>
            <w:r>
              <w:rPr>
                <w:rFonts w:ascii="Malgun Gothic" w:eastAsia="Malgun Gothic" w:hAnsi="Malgun Gothic" w:hint="eastAsia"/>
                <w:sz w:val="18"/>
                <w:szCs w:val="18"/>
              </w:rPr>
              <w:t>N.A.</w:t>
            </w:r>
          </w:p>
        </w:tc>
        <w:tc>
          <w:tcPr>
            <w:tcW w:w="216"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F1605BC" w14:textId="77777777" w:rsidR="00AF2273" w:rsidRDefault="00AF2273">
            <w:pPr>
              <w:snapToGrid w:val="0"/>
              <w:rPr>
                <w:rFonts w:ascii="Malgun Gothic" w:eastAsia="Malgun Gothic" w:hAnsi="Malgun Gothic"/>
                <w:sz w:val="18"/>
                <w:szCs w:val="18"/>
                <w:highlight w:val="yellow"/>
              </w:rPr>
            </w:pPr>
          </w:p>
        </w:tc>
        <w:tc>
          <w:tcPr>
            <w:tcW w:w="337"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4AE6C48E" w14:textId="77777777" w:rsidR="00AF2273" w:rsidRDefault="00AF2273">
            <w:pPr>
              <w:snapToGrid w:val="0"/>
              <w:rPr>
                <w:rFonts w:ascii="Malgun Gothic" w:eastAsia="Malgun Gothic" w:hAnsi="Malgun Gothic"/>
                <w:sz w:val="18"/>
                <w:szCs w:val="18"/>
                <w:highlight w:val="yellow"/>
              </w:rPr>
            </w:pPr>
          </w:p>
        </w:tc>
        <w:tc>
          <w:tcPr>
            <w:tcW w:w="245"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120F4B76" w14:textId="5F53585A" w:rsidR="00AF2273" w:rsidRDefault="009E2301">
            <w:pPr>
              <w:snapToGrid w:val="0"/>
              <w:rPr>
                <w:rFonts w:ascii="Arial" w:eastAsiaTheme="minorEastAsia" w:hAnsi="Arial" w:cs="Arial"/>
                <w:sz w:val="18"/>
                <w:szCs w:val="18"/>
                <w:highlight w:val="yellow"/>
              </w:rPr>
            </w:pPr>
            <w:r w:rsidRPr="004B1528">
              <w:rPr>
                <w:rFonts w:ascii="Arial" w:eastAsiaTheme="minorEastAsia" w:hAnsi="Arial" w:cs="Arial"/>
                <w:sz w:val="18"/>
                <w:szCs w:val="18"/>
                <w:highlight w:val="cyan"/>
              </w:rPr>
              <w:t>Different numerologies between DL and UL per cell except for SUL at a given time are not supported in Rel-15.</w:t>
            </w:r>
          </w:p>
        </w:tc>
        <w:tc>
          <w:tcPr>
            <w:tcW w:w="450" w:type="pct"/>
            <w:tcBorders>
              <w:top w:val="single" w:sz="8" w:space="0" w:color="auto"/>
              <w:left w:val="nil"/>
              <w:bottom w:val="single" w:sz="8" w:space="0" w:color="auto"/>
              <w:right w:val="single" w:sz="8" w:space="0" w:color="auto"/>
            </w:tcBorders>
            <w:shd w:val="clear" w:color="auto" w:fill="BFBFBF"/>
            <w:tcMar>
              <w:top w:w="0" w:type="dxa"/>
              <w:left w:w="99" w:type="dxa"/>
              <w:bottom w:w="0" w:type="dxa"/>
              <w:right w:w="99" w:type="dxa"/>
            </w:tcMar>
            <w:vAlign w:val="center"/>
            <w:hideMark/>
          </w:tcPr>
          <w:p w14:paraId="6FCEB978" w14:textId="77777777" w:rsidR="00AF2273" w:rsidRDefault="00AF2273">
            <w:pPr>
              <w:snapToGrid w:val="0"/>
              <w:rPr>
                <w:rFonts w:ascii="Arial" w:hAnsi="Arial" w:cs="Arial"/>
                <w:sz w:val="18"/>
                <w:szCs w:val="18"/>
                <w:highlight w:val="yellow"/>
              </w:rPr>
            </w:pPr>
            <w:r>
              <w:rPr>
                <w:rFonts w:ascii="Arial" w:hAnsi="Arial" w:cs="Arial"/>
                <w:sz w:val="18"/>
                <w:szCs w:val="18"/>
              </w:rPr>
              <w:t>Optional with capability signaling</w:t>
            </w:r>
          </w:p>
        </w:tc>
        <w:tc>
          <w:tcPr>
            <w:tcW w:w="388"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68AE14FF" w14:textId="77777777" w:rsidR="00AF2273" w:rsidRDefault="00AF2273">
            <w:pPr>
              <w:snapToGrid w:val="0"/>
              <w:rPr>
                <w:rFonts w:ascii="Arial" w:hAnsi="Arial" w:cs="Arial"/>
                <w:sz w:val="18"/>
                <w:szCs w:val="18"/>
                <w:highlight w:val="yellow"/>
              </w:rPr>
            </w:pPr>
            <w:r>
              <w:rPr>
                <w:rFonts w:ascii="Arial" w:hAnsi="Arial" w:cs="Arial"/>
                <w:sz w:val="18"/>
                <w:szCs w:val="18"/>
              </w:rPr>
              <w:t>Optional with capability signaling</w:t>
            </w:r>
          </w:p>
        </w:tc>
      </w:tr>
    </w:tbl>
    <w:p w14:paraId="4DD001AF" w14:textId="77777777" w:rsidR="00AF2273" w:rsidRDefault="00AF2273" w:rsidP="00EB10CB">
      <w:pPr>
        <w:pStyle w:val="LGTdoc1"/>
        <w:spacing w:beforeLines="0" w:after="0" w:afterAutospacing="0"/>
        <w:rPr>
          <w:rFonts w:ascii="Arial" w:hAnsi="Arial" w:cs="Arial"/>
          <w:lang w:val="en-US"/>
        </w:rPr>
      </w:pPr>
    </w:p>
    <w:p w14:paraId="461CAB9C" w14:textId="458D77B1" w:rsidR="003B2D68" w:rsidRPr="00314EFF" w:rsidRDefault="003B2D68" w:rsidP="00314EFF">
      <w:pPr>
        <w:pStyle w:val="LGTdoc"/>
        <w:spacing w:before="20" w:afterLines="0" w:line="240" w:lineRule="auto"/>
        <w:rPr>
          <w:b/>
          <w:sz w:val="20"/>
          <w:u w:val="single"/>
          <w:lang w:val="en-US"/>
        </w:rPr>
      </w:pPr>
      <w:r w:rsidRPr="00314EFF">
        <w:rPr>
          <w:b/>
          <w:sz w:val="20"/>
          <w:u w:val="single"/>
          <w:lang w:val="en-US"/>
        </w:rPr>
        <w:t>6-11: Number of supported TAGs</w:t>
      </w:r>
      <w:r>
        <w:rPr>
          <w:b/>
          <w:sz w:val="20"/>
          <w:u w:val="single"/>
          <w:lang w:val="en-US"/>
        </w:rPr>
        <w:t>: To clarify this feature also covers EN-DC scenario</w:t>
      </w:r>
    </w:p>
    <w:p w14:paraId="17F7EC1A" w14:textId="77777777" w:rsidR="003B2D68" w:rsidRDefault="003B2D68" w:rsidP="00EB10CB">
      <w:pPr>
        <w:pStyle w:val="LGTdoc1"/>
        <w:spacing w:beforeLines="0" w:after="0" w:afterAutospacing="0"/>
        <w:rPr>
          <w:rFonts w:ascii="Arial" w:hAnsi="Arial" w:cs="Arial"/>
          <w:lang w:val="en-US"/>
        </w:rPr>
      </w:pPr>
    </w:p>
    <w:p w14:paraId="5F35AA6C" w14:textId="015D2F35" w:rsidR="003B2D68" w:rsidRPr="00314EFF" w:rsidRDefault="003B2D68" w:rsidP="00314EFF">
      <w:pPr>
        <w:pStyle w:val="LGTdoc"/>
        <w:spacing w:before="20" w:afterLines="0" w:line="240" w:lineRule="auto"/>
        <w:rPr>
          <w:sz w:val="20"/>
          <w:lang w:val="en-US"/>
        </w:rPr>
      </w:pPr>
      <w:r>
        <w:rPr>
          <w:sz w:val="20"/>
          <w:lang w:val="en-US"/>
        </w:rPr>
        <w:t>It has been a custom, unless clearly described, that a feature will be applied for both NR-CA/DC and EN-DC. There has been a confusion if FG 6-11 is applied to NR CA only or not. However, according to the discussion in RAN1 so far, this feature should be able to be applied to any cases including EN-DC, NR-CA, NR-DC. Thus, we propose the following:</w:t>
      </w:r>
    </w:p>
    <w:p w14:paraId="1D2950BA" w14:textId="77777777" w:rsidR="003B2D68" w:rsidRDefault="003B2D68" w:rsidP="00EB10CB">
      <w:pPr>
        <w:pStyle w:val="LGTdoc1"/>
        <w:spacing w:beforeLines="0" w:after="0" w:afterAutospacing="0"/>
        <w:rPr>
          <w:rFonts w:ascii="Arial" w:hAnsi="Arial" w:cs="Arial"/>
          <w:lang w:val="en-US"/>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6"/>
        <w:gridCol w:w="1173"/>
        <w:gridCol w:w="1310"/>
        <w:gridCol w:w="522"/>
        <w:gridCol w:w="427"/>
        <w:gridCol w:w="945"/>
        <w:gridCol w:w="546"/>
        <w:gridCol w:w="572"/>
        <w:gridCol w:w="572"/>
        <w:gridCol w:w="468"/>
        <w:gridCol w:w="730"/>
        <w:gridCol w:w="530"/>
        <w:gridCol w:w="975"/>
        <w:gridCol w:w="840"/>
      </w:tblGrid>
      <w:tr w:rsidR="003B2D68" w:rsidRPr="00A2545F" w14:paraId="0215E1A6" w14:textId="77777777" w:rsidTr="007F1568">
        <w:trPr>
          <w:trHeight w:val="510"/>
        </w:trPr>
        <w:tc>
          <w:tcPr>
            <w:tcW w:w="215" w:type="pct"/>
            <w:shd w:val="clear" w:color="auto" w:fill="auto"/>
            <w:hideMark/>
          </w:tcPr>
          <w:p w14:paraId="54F0529E" w14:textId="77777777" w:rsidR="003B2D68" w:rsidRPr="00A2545F" w:rsidRDefault="003B2D68" w:rsidP="007F1568">
            <w:pPr>
              <w:snapToGrid w:val="0"/>
              <w:rPr>
                <w:rFonts w:ascii="Arial" w:eastAsia="MS PGothic" w:hAnsi="Arial" w:cs="Arial"/>
                <w:sz w:val="18"/>
                <w:szCs w:val="18"/>
              </w:rPr>
            </w:pPr>
            <w:r w:rsidRPr="00A2545F">
              <w:rPr>
                <w:rFonts w:ascii="Arial" w:eastAsia="MS PGothic" w:hAnsi="Arial" w:cs="Arial"/>
                <w:sz w:val="18"/>
                <w:szCs w:val="18"/>
              </w:rPr>
              <w:t>6</w:t>
            </w:r>
            <w:r w:rsidRPr="00EB58BB">
              <w:rPr>
                <w:rFonts w:ascii="Calibri" w:eastAsia="MS PGothic" w:hAnsi="Calibri" w:cs="Arial"/>
                <w:sz w:val="18"/>
                <w:szCs w:val="18"/>
              </w:rPr>
              <w:t>-1</w:t>
            </w:r>
            <w:r w:rsidRPr="00A2545F">
              <w:rPr>
                <w:rFonts w:ascii="Calibri" w:eastAsia="MS PGothic" w:hAnsi="Calibri" w:cs="Arial"/>
                <w:sz w:val="18"/>
                <w:szCs w:val="18"/>
              </w:rPr>
              <w:t>1</w:t>
            </w:r>
          </w:p>
        </w:tc>
        <w:tc>
          <w:tcPr>
            <w:tcW w:w="541" w:type="pct"/>
            <w:shd w:val="clear" w:color="auto" w:fill="auto"/>
            <w:vAlign w:val="center"/>
            <w:hideMark/>
          </w:tcPr>
          <w:p w14:paraId="229E5429" w14:textId="77777777" w:rsidR="003B2D68" w:rsidRPr="00EB58BB" w:rsidRDefault="003B2D68" w:rsidP="007F1568">
            <w:pPr>
              <w:snapToGrid w:val="0"/>
              <w:rPr>
                <w:rFonts w:ascii="Arial" w:eastAsia="MS PGothic" w:hAnsi="Arial" w:cs="Arial"/>
                <w:sz w:val="18"/>
                <w:szCs w:val="18"/>
              </w:rPr>
            </w:pPr>
            <w:r w:rsidRPr="00EB58BB">
              <w:rPr>
                <w:rFonts w:ascii="Arial" w:eastAsia="MS PGothic" w:hAnsi="Arial" w:cs="Arial"/>
                <w:sz w:val="18"/>
                <w:szCs w:val="18"/>
              </w:rPr>
              <w:t>Number of supported TAGs</w:t>
            </w:r>
          </w:p>
        </w:tc>
        <w:tc>
          <w:tcPr>
            <w:tcW w:w="605" w:type="pct"/>
            <w:shd w:val="clear" w:color="auto" w:fill="auto"/>
            <w:vAlign w:val="center"/>
            <w:hideMark/>
          </w:tcPr>
          <w:p w14:paraId="2F0F7DCA" w14:textId="77777777" w:rsidR="003B2D68" w:rsidRPr="00EB58BB" w:rsidRDefault="003B2D68" w:rsidP="007F1568">
            <w:pPr>
              <w:snapToGrid w:val="0"/>
              <w:rPr>
                <w:rFonts w:ascii="Arial" w:eastAsia="MS PGothic" w:hAnsi="Arial" w:cs="Arial"/>
                <w:sz w:val="18"/>
                <w:szCs w:val="18"/>
              </w:rPr>
            </w:pPr>
            <w:r w:rsidRPr="00EB58BB">
              <w:rPr>
                <w:rFonts w:ascii="Arial" w:eastAsia="MS PGothic" w:hAnsi="Arial" w:cs="Arial"/>
                <w:sz w:val="18"/>
                <w:szCs w:val="18"/>
              </w:rPr>
              <w:t xml:space="preserve">Need of multiple capability question about the </w:t>
            </w:r>
            <w:r w:rsidRPr="00EB58BB">
              <w:rPr>
                <w:rFonts w:ascii="Arial" w:eastAsia="MS PGothic" w:hAnsi="Arial" w:cs="Arial"/>
                <w:sz w:val="18"/>
                <w:szCs w:val="18"/>
              </w:rPr>
              <w:lastRenderedPageBreak/>
              <w:t>resolution here</w:t>
            </w:r>
          </w:p>
        </w:tc>
        <w:tc>
          <w:tcPr>
            <w:tcW w:w="241" w:type="pct"/>
            <w:shd w:val="clear" w:color="auto" w:fill="auto"/>
            <w:hideMark/>
          </w:tcPr>
          <w:p w14:paraId="00598082" w14:textId="77777777" w:rsidR="003B2D68" w:rsidRPr="00A2545F" w:rsidRDefault="003B2D68" w:rsidP="007F1568">
            <w:pPr>
              <w:snapToGrid w:val="0"/>
              <w:rPr>
                <w:rFonts w:ascii="Arial" w:eastAsia="MS PGothic" w:hAnsi="Arial" w:cs="Arial"/>
                <w:sz w:val="18"/>
                <w:szCs w:val="18"/>
              </w:rPr>
            </w:pPr>
          </w:p>
        </w:tc>
        <w:tc>
          <w:tcPr>
            <w:tcW w:w="197" w:type="pct"/>
            <w:shd w:val="clear" w:color="auto" w:fill="auto"/>
            <w:vAlign w:val="center"/>
            <w:hideMark/>
          </w:tcPr>
          <w:p w14:paraId="04A3B1B4" w14:textId="77777777" w:rsidR="003B2D68" w:rsidRPr="00EB58BB" w:rsidRDefault="003B2D68" w:rsidP="007F1568">
            <w:pPr>
              <w:snapToGrid w:val="0"/>
              <w:rPr>
                <w:rFonts w:ascii="Arial" w:eastAsia="MS PGothic" w:hAnsi="Arial" w:cs="Arial"/>
                <w:sz w:val="18"/>
                <w:szCs w:val="18"/>
              </w:rPr>
            </w:pPr>
            <w:r w:rsidRPr="00EB58BB">
              <w:rPr>
                <w:rFonts w:ascii="Arial" w:eastAsia="MS PGothic" w:hAnsi="Arial" w:cs="Arial"/>
                <w:sz w:val="18"/>
                <w:szCs w:val="18"/>
              </w:rPr>
              <w:t>Yes</w:t>
            </w:r>
          </w:p>
        </w:tc>
        <w:tc>
          <w:tcPr>
            <w:tcW w:w="436" w:type="pct"/>
            <w:shd w:val="clear" w:color="auto" w:fill="auto"/>
            <w:vAlign w:val="center"/>
            <w:hideMark/>
          </w:tcPr>
          <w:p w14:paraId="16E4FBE5" w14:textId="77777777" w:rsidR="003B2D68" w:rsidRPr="00A2545F" w:rsidRDefault="003B2D68" w:rsidP="007F1568">
            <w:pPr>
              <w:snapToGrid w:val="0"/>
              <w:rPr>
                <w:rFonts w:ascii="Arial" w:eastAsia="MS PGothic" w:hAnsi="Arial" w:cs="Arial"/>
                <w:sz w:val="18"/>
                <w:szCs w:val="18"/>
              </w:rPr>
            </w:pPr>
          </w:p>
        </w:tc>
        <w:tc>
          <w:tcPr>
            <w:tcW w:w="252" w:type="pct"/>
            <w:shd w:val="clear" w:color="auto" w:fill="auto"/>
            <w:vAlign w:val="center"/>
            <w:hideMark/>
          </w:tcPr>
          <w:p w14:paraId="69A03633" w14:textId="77777777" w:rsidR="003B2D68" w:rsidRPr="00EB58BB" w:rsidRDefault="003B2D68" w:rsidP="007F1568">
            <w:pPr>
              <w:snapToGrid w:val="0"/>
              <w:rPr>
                <w:rFonts w:ascii="Arial" w:eastAsia="MS PGothic" w:hAnsi="Arial" w:cs="Arial"/>
                <w:sz w:val="18"/>
                <w:szCs w:val="18"/>
              </w:rPr>
            </w:pPr>
            <w:r w:rsidRPr="00EB58BB">
              <w:rPr>
                <w:rFonts w:ascii="Arial" w:eastAsia="MS PGothic" w:hAnsi="Arial" w:cs="Arial"/>
                <w:sz w:val="18"/>
                <w:szCs w:val="18"/>
              </w:rPr>
              <w:t xml:space="preserve">Type </w:t>
            </w:r>
            <w:r>
              <w:rPr>
                <w:rFonts w:ascii="Arial" w:eastAsia="MS PGothic" w:hAnsi="Arial" w:cs="Arial"/>
                <w:sz w:val="18"/>
                <w:szCs w:val="18"/>
              </w:rPr>
              <w:t>3</w:t>
            </w:r>
          </w:p>
        </w:tc>
        <w:tc>
          <w:tcPr>
            <w:tcW w:w="264" w:type="pct"/>
            <w:shd w:val="clear" w:color="auto" w:fill="auto"/>
            <w:vAlign w:val="center"/>
            <w:hideMark/>
          </w:tcPr>
          <w:p w14:paraId="424C2A6A" w14:textId="77777777" w:rsidR="003B2D68" w:rsidRPr="00A2545F" w:rsidRDefault="003B2D68" w:rsidP="007F1568">
            <w:pPr>
              <w:snapToGrid w:val="0"/>
              <w:rPr>
                <w:rFonts w:ascii="Arial" w:eastAsia="MS PGothic" w:hAnsi="Arial" w:cs="Arial"/>
                <w:sz w:val="18"/>
                <w:szCs w:val="18"/>
              </w:rPr>
            </w:pPr>
            <w:r>
              <w:rPr>
                <w:rFonts w:ascii="Arial" w:eastAsia="MS PGothic" w:hAnsi="Arial" w:cs="Arial"/>
                <w:sz w:val="18"/>
                <w:szCs w:val="18"/>
              </w:rPr>
              <w:t>N.A.</w:t>
            </w:r>
          </w:p>
        </w:tc>
        <w:tc>
          <w:tcPr>
            <w:tcW w:w="264" w:type="pct"/>
            <w:shd w:val="clear" w:color="auto" w:fill="auto"/>
            <w:vAlign w:val="center"/>
          </w:tcPr>
          <w:p w14:paraId="7F040B9B" w14:textId="77777777" w:rsidR="003B2D68" w:rsidRPr="00CA4C8A" w:rsidRDefault="003B2D68" w:rsidP="007F1568">
            <w:pPr>
              <w:snapToGrid w:val="0"/>
              <w:rPr>
                <w:rFonts w:ascii="Malgun Gothic" w:hAnsi="Malgun Gothic" w:cs="MS PGothic"/>
                <w:sz w:val="18"/>
                <w:szCs w:val="18"/>
              </w:rPr>
            </w:pPr>
            <w:r>
              <w:rPr>
                <w:rFonts w:ascii="Arial" w:eastAsia="MS PGothic" w:hAnsi="Arial" w:cs="Arial"/>
                <w:sz w:val="18"/>
                <w:szCs w:val="18"/>
              </w:rPr>
              <w:t>N.A.</w:t>
            </w:r>
          </w:p>
        </w:tc>
        <w:tc>
          <w:tcPr>
            <w:tcW w:w="216" w:type="pct"/>
            <w:shd w:val="clear" w:color="auto" w:fill="auto"/>
            <w:vAlign w:val="center"/>
            <w:hideMark/>
          </w:tcPr>
          <w:p w14:paraId="593E371D" w14:textId="77777777" w:rsidR="003B2D68" w:rsidRPr="00A2545F" w:rsidRDefault="003B2D68" w:rsidP="007F1568">
            <w:pPr>
              <w:snapToGrid w:val="0"/>
              <w:rPr>
                <w:rFonts w:ascii="Malgun Gothic" w:eastAsia="Malgun Gothic" w:hAnsi="Malgun Gothic" w:cs="MS PGothic"/>
                <w:sz w:val="18"/>
                <w:szCs w:val="18"/>
              </w:rPr>
            </w:pPr>
          </w:p>
        </w:tc>
        <w:tc>
          <w:tcPr>
            <w:tcW w:w="337" w:type="pct"/>
            <w:shd w:val="clear" w:color="auto" w:fill="auto"/>
            <w:vAlign w:val="center"/>
            <w:hideMark/>
          </w:tcPr>
          <w:p w14:paraId="42D52C7A" w14:textId="77777777" w:rsidR="003B2D68" w:rsidRPr="00A2545F" w:rsidRDefault="003B2D68" w:rsidP="007F1568">
            <w:pPr>
              <w:snapToGrid w:val="0"/>
              <w:rPr>
                <w:rFonts w:ascii="Malgun Gothic" w:eastAsia="Malgun Gothic" w:hAnsi="Malgun Gothic" w:cs="MS PGothic"/>
                <w:sz w:val="18"/>
                <w:szCs w:val="18"/>
              </w:rPr>
            </w:pPr>
          </w:p>
        </w:tc>
        <w:tc>
          <w:tcPr>
            <w:tcW w:w="245" w:type="pct"/>
            <w:shd w:val="clear" w:color="auto" w:fill="auto"/>
            <w:vAlign w:val="center"/>
            <w:hideMark/>
          </w:tcPr>
          <w:p w14:paraId="07180F1A" w14:textId="187A3886" w:rsidR="003B2D68" w:rsidRPr="00314EFF" w:rsidRDefault="003B2D68" w:rsidP="007F1568">
            <w:pPr>
              <w:snapToGrid w:val="0"/>
              <w:rPr>
                <w:rFonts w:ascii="Arial" w:eastAsia="MS PGothic" w:hAnsi="Arial" w:cs="Arial"/>
                <w:sz w:val="18"/>
                <w:szCs w:val="18"/>
                <w:highlight w:val="cyan"/>
              </w:rPr>
            </w:pPr>
            <w:r w:rsidRPr="00314EFF">
              <w:rPr>
                <w:rFonts w:ascii="Arial" w:eastAsia="MS PGothic" w:hAnsi="Arial" w:cs="Arial"/>
                <w:sz w:val="18"/>
                <w:szCs w:val="18"/>
                <w:highlight w:val="cyan"/>
              </w:rPr>
              <w:t xml:space="preserve">This feature group </w:t>
            </w:r>
            <w:r w:rsidRPr="00314EFF">
              <w:rPr>
                <w:rFonts w:ascii="Arial" w:eastAsia="MS PGothic" w:hAnsi="Arial" w:cs="Arial"/>
                <w:sz w:val="18"/>
                <w:szCs w:val="18"/>
                <w:highlight w:val="cyan"/>
              </w:rPr>
              <w:lastRenderedPageBreak/>
              <w:t>is applied to NR-CA, NR-DC, and EN-DC</w:t>
            </w:r>
          </w:p>
        </w:tc>
        <w:tc>
          <w:tcPr>
            <w:tcW w:w="450" w:type="pct"/>
            <w:shd w:val="clear" w:color="000000" w:fill="BFBFBF"/>
            <w:vAlign w:val="center"/>
            <w:hideMark/>
          </w:tcPr>
          <w:p w14:paraId="41081690" w14:textId="77777777" w:rsidR="003B2D68" w:rsidRPr="00A2545F" w:rsidRDefault="003B2D68" w:rsidP="007F1568">
            <w:pPr>
              <w:snapToGrid w:val="0"/>
              <w:rPr>
                <w:rFonts w:ascii="Arial" w:eastAsia="MS PGothic" w:hAnsi="Arial" w:cs="Arial"/>
                <w:sz w:val="18"/>
                <w:szCs w:val="18"/>
              </w:rPr>
            </w:pPr>
          </w:p>
        </w:tc>
        <w:tc>
          <w:tcPr>
            <w:tcW w:w="388" w:type="pct"/>
            <w:shd w:val="clear" w:color="auto" w:fill="auto"/>
            <w:hideMark/>
          </w:tcPr>
          <w:p w14:paraId="6E565C0A" w14:textId="77777777" w:rsidR="003B2D68" w:rsidRPr="00A2545F" w:rsidRDefault="003B2D68" w:rsidP="007F1568">
            <w:pPr>
              <w:snapToGrid w:val="0"/>
              <w:rPr>
                <w:rFonts w:ascii="Arial" w:eastAsia="MS PGothic" w:hAnsi="Arial" w:cs="Arial"/>
                <w:sz w:val="18"/>
                <w:szCs w:val="18"/>
              </w:rPr>
            </w:pPr>
            <w:r w:rsidRPr="00453ECA">
              <w:rPr>
                <w:rFonts w:ascii="Arial" w:eastAsia="MS PGothic" w:hAnsi="Arial" w:cs="Arial"/>
                <w:sz w:val="18"/>
                <w:szCs w:val="18"/>
              </w:rPr>
              <w:t>{1, 2, 3, 4}</w:t>
            </w:r>
          </w:p>
        </w:tc>
      </w:tr>
    </w:tbl>
    <w:p w14:paraId="281F7B15" w14:textId="7128D267" w:rsidR="003B2D68" w:rsidRDefault="003B2D68" w:rsidP="00EB10CB">
      <w:pPr>
        <w:pStyle w:val="LGTdoc1"/>
        <w:spacing w:beforeLines="0" w:after="0" w:afterAutospacing="0"/>
        <w:rPr>
          <w:rFonts w:ascii="Arial" w:hAnsi="Arial" w:cs="Arial"/>
          <w:lang w:val="en-US"/>
        </w:rPr>
      </w:pPr>
    </w:p>
    <w:p w14:paraId="46B32342" w14:textId="77777777" w:rsidR="00BB0312" w:rsidRPr="00FC7BBB" w:rsidRDefault="00BB0312"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40596FDD" w14:textId="2FA80A21" w:rsidR="006266E5" w:rsidRDefault="00970EC2" w:rsidP="00DB4FD0">
      <w:pPr>
        <w:pStyle w:val="LGTdoc"/>
        <w:spacing w:before="120" w:after="120"/>
        <w:ind w:left="300" w:hangingChars="150" w:hanging="300"/>
        <w:jc w:val="left"/>
        <w:rPr>
          <w:sz w:val="20"/>
        </w:rPr>
      </w:pPr>
      <w:r w:rsidRPr="00FC7BBB">
        <w:rPr>
          <w:sz w:val="20"/>
        </w:rPr>
        <w:t xml:space="preserve">[1] </w:t>
      </w:r>
      <w:r w:rsidR="00B32D0F" w:rsidRPr="00B32D0F">
        <w:rPr>
          <w:sz w:val="20"/>
        </w:rPr>
        <w:t>R1-1812037</w:t>
      </w:r>
      <w:r w:rsidR="00CE6E7B">
        <w:rPr>
          <w:sz w:val="20"/>
        </w:rPr>
        <w:t xml:space="preserve">, </w:t>
      </w:r>
      <w:r w:rsidR="00B32D0F" w:rsidRPr="00B32D0F">
        <w:rPr>
          <w:sz w:val="20"/>
        </w:rPr>
        <w:t>LS on RAN1 NR UE features update</w:t>
      </w:r>
      <w:r w:rsidR="00CE6E7B">
        <w:rPr>
          <w:sz w:val="20"/>
        </w:rPr>
        <w:t>, RAN</w:t>
      </w:r>
      <w:r w:rsidR="00B32D0F">
        <w:rPr>
          <w:sz w:val="20"/>
        </w:rPr>
        <w:t>1</w:t>
      </w:r>
    </w:p>
    <w:p w14:paraId="1B236576" w14:textId="65A061E6" w:rsidR="00A143C6" w:rsidRDefault="00A143C6" w:rsidP="00CE6E7B">
      <w:pPr>
        <w:pStyle w:val="LGTdoc"/>
        <w:spacing w:before="120" w:after="120"/>
        <w:ind w:left="300" w:hangingChars="150" w:hanging="300"/>
        <w:jc w:val="left"/>
        <w:rPr>
          <w:sz w:val="20"/>
          <w:lang w:val="en-US"/>
        </w:rPr>
      </w:pPr>
      <w:r>
        <w:rPr>
          <w:sz w:val="20"/>
        </w:rPr>
        <w:t>[</w:t>
      </w:r>
      <w:r w:rsidR="00927993">
        <w:rPr>
          <w:sz w:val="20"/>
        </w:rPr>
        <w:t>2</w:t>
      </w:r>
      <w:r>
        <w:rPr>
          <w:sz w:val="20"/>
        </w:rPr>
        <w:t xml:space="preserve">] </w:t>
      </w:r>
      <w:r w:rsidRPr="00A143C6">
        <w:rPr>
          <w:sz w:val="20"/>
          <w:lang w:val="en-US"/>
        </w:rPr>
        <w:t>R1-1704729</w:t>
      </w:r>
      <w:r>
        <w:rPr>
          <w:sz w:val="20"/>
          <w:lang w:val="en-US"/>
        </w:rPr>
        <w:t xml:space="preserve">, </w:t>
      </w:r>
      <w:r w:rsidRPr="00A143C6">
        <w:rPr>
          <w:sz w:val="20"/>
          <w:lang w:val="en-US"/>
        </w:rPr>
        <w:t>On CSI feedback Type I</w:t>
      </w:r>
      <w:r>
        <w:rPr>
          <w:sz w:val="20"/>
          <w:lang w:val="en-US"/>
        </w:rPr>
        <w:t>, Intel Corporation</w:t>
      </w:r>
    </w:p>
    <w:p w14:paraId="2B6E5184" w14:textId="54D89AFB" w:rsidR="00881ED2" w:rsidRDefault="00881ED2" w:rsidP="00CE6E7B">
      <w:pPr>
        <w:pStyle w:val="LGTdoc"/>
        <w:spacing w:before="120" w:after="120"/>
        <w:ind w:left="300" w:hangingChars="150" w:hanging="300"/>
        <w:jc w:val="left"/>
        <w:rPr>
          <w:sz w:val="20"/>
          <w:lang w:val="en-US"/>
        </w:rPr>
      </w:pPr>
      <w:r>
        <w:rPr>
          <w:sz w:val="20"/>
          <w:lang w:val="en-US"/>
        </w:rPr>
        <w:t>[</w:t>
      </w:r>
      <w:r w:rsidR="00463E26">
        <w:rPr>
          <w:sz w:val="20"/>
          <w:lang w:val="en-US"/>
        </w:rPr>
        <w:t>3</w:t>
      </w:r>
      <w:r>
        <w:rPr>
          <w:sz w:val="20"/>
          <w:lang w:val="en-US"/>
        </w:rPr>
        <w:t xml:space="preserve">] </w:t>
      </w:r>
      <w:r w:rsidRPr="00881ED2">
        <w:rPr>
          <w:sz w:val="20"/>
          <w:lang w:val="en-US"/>
        </w:rPr>
        <w:t>R1-1804718</w:t>
      </w:r>
      <w:r>
        <w:rPr>
          <w:sz w:val="20"/>
          <w:lang w:val="en-US"/>
        </w:rPr>
        <w:t xml:space="preserve">, </w:t>
      </w:r>
      <w:r w:rsidRPr="00881ED2">
        <w:rPr>
          <w:sz w:val="20"/>
          <w:lang w:val="en-US"/>
        </w:rPr>
        <w:t>On UE capability signalling for Type II CSI</w:t>
      </w:r>
      <w:r>
        <w:rPr>
          <w:sz w:val="20"/>
          <w:lang w:val="en-US"/>
        </w:rPr>
        <w:t>, Intel Corporation</w:t>
      </w:r>
    </w:p>
    <w:p w14:paraId="1397B4F5" w14:textId="114DBC18" w:rsidR="00463E26" w:rsidRDefault="00463E26" w:rsidP="00CE6E7B">
      <w:pPr>
        <w:pStyle w:val="LGTdoc"/>
        <w:spacing w:before="120" w:after="120"/>
        <w:ind w:left="300" w:hangingChars="150" w:hanging="300"/>
        <w:jc w:val="left"/>
        <w:rPr>
          <w:sz w:val="20"/>
          <w:lang w:val="en-US"/>
        </w:rPr>
      </w:pPr>
      <w:r>
        <w:rPr>
          <w:sz w:val="20"/>
          <w:lang w:val="en-US"/>
        </w:rPr>
        <w:t xml:space="preserve">[4] RP-172844, </w:t>
      </w:r>
      <w:r w:rsidRPr="00463E26">
        <w:rPr>
          <w:sz w:val="20"/>
          <w:lang w:val="en-US"/>
        </w:rPr>
        <w:t>NR workload management</w:t>
      </w:r>
      <w:r>
        <w:rPr>
          <w:sz w:val="20"/>
          <w:lang w:val="en-US"/>
        </w:rPr>
        <w:t>, RAN Chairman</w:t>
      </w:r>
    </w:p>
    <w:p w14:paraId="4824C5F0" w14:textId="6AF21520" w:rsidR="0031400B" w:rsidRDefault="002B274D" w:rsidP="00CE6E7B">
      <w:pPr>
        <w:pStyle w:val="LGTdoc"/>
        <w:spacing w:before="120" w:after="120"/>
        <w:ind w:left="300" w:hangingChars="150" w:hanging="300"/>
        <w:jc w:val="left"/>
        <w:rPr>
          <w:sz w:val="20"/>
          <w:lang w:val="en-US"/>
        </w:rPr>
      </w:pPr>
      <w:r>
        <w:rPr>
          <w:sz w:val="20"/>
          <w:lang w:val="en-US"/>
        </w:rPr>
        <w:t xml:space="preserve">[5] R4-1803564, </w:t>
      </w:r>
      <w:r w:rsidRPr="002B274D">
        <w:rPr>
          <w:sz w:val="20"/>
          <w:lang w:val="en-US"/>
        </w:rPr>
        <w:t>LS on UE feature list</w:t>
      </w:r>
      <w:r>
        <w:rPr>
          <w:sz w:val="20"/>
          <w:lang w:val="en-US"/>
        </w:rPr>
        <w:t>, RAN4</w:t>
      </w:r>
    </w:p>
    <w:p w14:paraId="79131A5C" w14:textId="47014F56" w:rsidR="00B27D47" w:rsidRPr="00AA17B5" w:rsidRDefault="00B27D47" w:rsidP="00CE6E7B">
      <w:pPr>
        <w:pStyle w:val="LGTdoc"/>
        <w:spacing w:before="120" w:after="120"/>
        <w:ind w:left="300" w:hangingChars="150" w:hanging="300"/>
        <w:jc w:val="left"/>
        <w:rPr>
          <w:sz w:val="20"/>
          <w:lang w:val="en-US"/>
        </w:rPr>
      </w:pPr>
      <w:r>
        <w:rPr>
          <w:sz w:val="20"/>
          <w:lang w:val="en-US"/>
        </w:rPr>
        <w:t xml:space="preserve">[6] </w:t>
      </w:r>
      <w:r w:rsidRPr="00AA17B5">
        <w:rPr>
          <w:sz w:val="20"/>
          <w:lang w:val="en-US"/>
        </w:rPr>
        <w:t>R1-1808003, LS on the feasibility of 1 symbol GP for 60KHz in FR1 and 120KHz in FR2, RAN4</w:t>
      </w:r>
    </w:p>
    <w:p w14:paraId="19188B53" w14:textId="70617355" w:rsidR="00B27D47" w:rsidRDefault="00B27D47" w:rsidP="00CE6E7B">
      <w:pPr>
        <w:pStyle w:val="LGTdoc"/>
        <w:spacing w:before="120" w:after="120"/>
        <w:ind w:left="300" w:hangingChars="150" w:hanging="300"/>
        <w:jc w:val="left"/>
        <w:rPr>
          <w:sz w:val="20"/>
          <w:lang w:val="en-US"/>
        </w:rPr>
      </w:pPr>
      <w:r w:rsidRPr="00AA17B5">
        <w:rPr>
          <w:sz w:val="20"/>
          <w:lang w:val="en-US"/>
        </w:rPr>
        <w:t xml:space="preserve">[7] </w:t>
      </w:r>
      <w:r w:rsidR="00AA17B5" w:rsidRPr="008447BC">
        <w:rPr>
          <w:sz w:val="20"/>
          <w:szCs w:val="20"/>
        </w:rPr>
        <w:t xml:space="preserve">R1-1808674, </w:t>
      </w:r>
      <w:r w:rsidR="00AA17B5">
        <w:rPr>
          <w:sz w:val="20"/>
          <w:szCs w:val="20"/>
        </w:rPr>
        <w:t>“</w:t>
      </w:r>
      <w:r w:rsidR="00AA17B5" w:rsidRPr="008447BC">
        <w:rPr>
          <w:sz w:val="20"/>
          <w:szCs w:val="20"/>
        </w:rPr>
        <w:t>NR scheduling and HARQ procedures</w:t>
      </w:r>
      <w:r w:rsidR="00AA17B5">
        <w:rPr>
          <w:sz w:val="20"/>
          <w:szCs w:val="20"/>
        </w:rPr>
        <w:t xml:space="preserve">,” </w:t>
      </w:r>
      <w:r w:rsidR="00AA17B5" w:rsidRPr="008447BC">
        <w:rPr>
          <w:sz w:val="20"/>
          <w:szCs w:val="20"/>
        </w:rPr>
        <w:t>Intel Corporation</w:t>
      </w:r>
      <w:r w:rsidR="00AA17B5">
        <w:rPr>
          <w:sz w:val="20"/>
          <w:szCs w:val="20"/>
        </w:rPr>
        <w:t>, RAN1 #93, Gothenburg, Sweden, Aug. 2018</w:t>
      </w:r>
    </w:p>
    <w:p w14:paraId="03725310" w14:textId="77777777" w:rsidR="00D11B00" w:rsidRDefault="00BB53CC" w:rsidP="0031400B">
      <w:pPr>
        <w:pStyle w:val="LGTdoc"/>
        <w:spacing w:before="120" w:after="120"/>
        <w:ind w:left="300" w:hangingChars="150" w:hanging="300"/>
        <w:jc w:val="left"/>
        <w:rPr>
          <w:sz w:val="20"/>
          <w:lang w:val="en-US"/>
        </w:rPr>
      </w:pPr>
      <w:r>
        <w:rPr>
          <w:sz w:val="20"/>
          <w:lang w:val="en-US"/>
        </w:rPr>
        <w:t xml:space="preserve">[8] </w:t>
      </w:r>
      <w:r w:rsidRPr="00BB53CC">
        <w:rPr>
          <w:sz w:val="20"/>
          <w:lang w:val="en-US"/>
        </w:rPr>
        <w:t>RP-181483</w:t>
      </w:r>
      <w:r>
        <w:rPr>
          <w:sz w:val="20"/>
          <w:lang w:val="en-US"/>
        </w:rPr>
        <w:t xml:space="preserve">, </w:t>
      </w:r>
      <w:r w:rsidRPr="00BB53CC">
        <w:rPr>
          <w:sz w:val="20"/>
          <w:lang w:val="en-US"/>
        </w:rPr>
        <w:t>RAN1 NR UE feature list</w:t>
      </w:r>
      <w:r>
        <w:rPr>
          <w:sz w:val="20"/>
          <w:lang w:val="en-US"/>
        </w:rPr>
        <w:t>, NTT DOCOMO</w:t>
      </w:r>
    </w:p>
    <w:p w14:paraId="01A8ED30" w14:textId="0A933118" w:rsidR="00257ED5" w:rsidRDefault="00257ED5" w:rsidP="0031400B">
      <w:pPr>
        <w:pStyle w:val="LGTdoc"/>
        <w:spacing w:before="120" w:after="120"/>
        <w:ind w:left="300" w:hangingChars="150" w:hanging="300"/>
        <w:jc w:val="left"/>
        <w:rPr>
          <w:sz w:val="20"/>
          <w:lang w:val="en-US"/>
        </w:rPr>
      </w:pPr>
      <w:r>
        <w:rPr>
          <w:sz w:val="20"/>
          <w:lang w:val="en-US"/>
        </w:rPr>
        <w:t xml:space="preserve">[9] </w:t>
      </w:r>
      <w:r w:rsidRPr="00257ED5">
        <w:rPr>
          <w:sz w:val="20"/>
          <w:lang w:val="en-US"/>
        </w:rPr>
        <w:t>R1-1808171</w:t>
      </w:r>
      <w:r>
        <w:rPr>
          <w:sz w:val="20"/>
          <w:lang w:val="en-US"/>
        </w:rPr>
        <w:t xml:space="preserve">, </w:t>
      </w:r>
      <w:r w:rsidRPr="00257ED5">
        <w:rPr>
          <w:sz w:val="20"/>
          <w:lang w:val="en-US"/>
        </w:rPr>
        <w:t>Reply LS on Bandwidth configuration for initial BWP</w:t>
      </w:r>
      <w:r>
        <w:rPr>
          <w:sz w:val="20"/>
          <w:lang w:val="en-US"/>
        </w:rPr>
        <w:t>, RAN2</w:t>
      </w:r>
    </w:p>
    <w:p w14:paraId="17874A83" w14:textId="5C07FCA5" w:rsidR="00D259F3" w:rsidRDefault="00D259F3" w:rsidP="0031400B">
      <w:pPr>
        <w:pStyle w:val="LGTdoc"/>
        <w:spacing w:before="120" w:after="120"/>
        <w:ind w:left="300" w:hangingChars="150" w:hanging="300"/>
        <w:jc w:val="left"/>
        <w:rPr>
          <w:sz w:val="20"/>
          <w:lang w:val="en-US"/>
        </w:rPr>
      </w:pPr>
      <w:r>
        <w:rPr>
          <w:sz w:val="20"/>
          <w:lang w:val="en-US"/>
        </w:rPr>
        <w:t xml:space="preserve">[10] </w:t>
      </w:r>
      <w:r w:rsidRPr="00D259F3">
        <w:rPr>
          <w:sz w:val="20"/>
          <w:lang w:val="en-US"/>
        </w:rPr>
        <w:t>R1-1810063</w:t>
      </w:r>
      <w:r>
        <w:rPr>
          <w:sz w:val="20"/>
          <w:lang w:val="en-US"/>
        </w:rPr>
        <w:t xml:space="preserve">, </w:t>
      </w:r>
      <w:r w:rsidRPr="00D259F3">
        <w:rPr>
          <w:sz w:val="20"/>
          <w:lang w:val="en-US"/>
        </w:rPr>
        <w:t>LS on UE feature list for NR</w:t>
      </w:r>
      <w:r>
        <w:rPr>
          <w:sz w:val="20"/>
          <w:lang w:val="en-US"/>
        </w:rPr>
        <w:t>, RAN4</w:t>
      </w:r>
    </w:p>
    <w:p w14:paraId="0AC59008" w14:textId="6C054300" w:rsidR="00BB0312" w:rsidRDefault="00BB0312" w:rsidP="0031400B">
      <w:pPr>
        <w:pStyle w:val="LGTdoc"/>
        <w:spacing w:before="120" w:after="120"/>
        <w:ind w:left="300" w:hangingChars="150" w:hanging="300"/>
        <w:jc w:val="left"/>
        <w:rPr>
          <w:sz w:val="20"/>
          <w:lang w:val="en-US"/>
        </w:rPr>
      </w:pPr>
      <w:r>
        <w:rPr>
          <w:sz w:val="20"/>
          <w:lang w:val="en-US"/>
        </w:rPr>
        <w:t xml:space="preserve">[11] </w:t>
      </w:r>
      <w:r w:rsidRPr="00BB0312">
        <w:rPr>
          <w:sz w:val="20"/>
          <w:lang w:val="en-US"/>
        </w:rPr>
        <w:t>RP-182014</w:t>
      </w:r>
      <w:r>
        <w:rPr>
          <w:sz w:val="20"/>
          <w:lang w:val="en-US"/>
        </w:rPr>
        <w:t xml:space="preserve">, </w:t>
      </w:r>
      <w:r w:rsidRPr="00BB0312">
        <w:rPr>
          <w:sz w:val="20"/>
          <w:lang w:val="en-US"/>
        </w:rPr>
        <w:t>Way Forward for Cross-Carrier Scheduling with Different Numerologies</w:t>
      </w:r>
      <w:r>
        <w:rPr>
          <w:sz w:val="20"/>
          <w:lang w:val="en-US"/>
        </w:rPr>
        <w:t>, Nokia</w:t>
      </w:r>
    </w:p>
    <w:p w14:paraId="41843A2C" w14:textId="68E4D51D" w:rsidR="00AF2273" w:rsidRPr="00E916A7" w:rsidRDefault="00AF2273" w:rsidP="0031400B">
      <w:pPr>
        <w:pStyle w:val="LGTdoc"/>
        <w:spacing w:before="120" w:after="120"/>
        <w:ind w:left="300" w:hangingChars="150" w:hanging="300"/>
        <w:jc w:val="left"/>
        <w:rPr>
          <w:sz w:val="20"/>
          <w:lang w:val="en-US"/>
        </w:rPr>
      </w:pPr>
      <w:r>
        <w:rPr>
          <w:sz w:val="20"/>
          <w:lang w:val="en-US"/>
        </w:rPr>
        <w:t xml:space="preserve">[12] </w:t>
      </w:r>
      <w:r w:rsidRPr="00AF2273">
        <w:rPr>
          <w:sz w:val="20"/>
          <w:lang w:val="en-US"/>
        </w:rPr>
        <w:t>RP-172108</w:t>
      </w:r>
      <w:r>
        <w:rPr>
          <w:sz w:val="20"/>
          <w:lang w:val="en-US"/>
        </w:rPr>
        <w:t xml:space="preserve">, </w:t>
      </w:r>
      <w:r w:rsidRPr="00AF2273">
        <w:rPr>
          <w:sz w:val="20"/>
          <w:lang w:val="en-US"/>
        </w:rPr>
        <w:t>Updated work plan of RAN 1 and 4 NR</w:t>
      </w:r>
      <w:r>
        <w:rPr>
          <w:sz w:val="20"/>
          <w:lang w:val="en-US"/>
        </w:rPr>
        <w:t xml:space="preserve">, </w:t>
      </w:r>
      <w:r w:rsidRPr="00AF2273">
        <w:rPr>
          <w:sz w:val="20"/>
          <w:lang w:val="en-US"/>
        </w:rPr>
        <w:t>NTT DOCOMO &amp; drafting group</w:t>
      </w:r>
    </w:p>
    <w:p w14:paraId="6662E7A9" w14:textId="695DA7B5" w:rsidR="00CE6E7B" w:rsidRPr="00915C3F" w:rsidRDefault="00CE6E7B" w:rsidP="00DB4FD0">
      <w:pPr>
        <w:pStyle w:val="LGTdoc"/>
        <w:spacing w:before="120" w:after="120"/>
        <w:ind w:left="300" w:hangingChars="150" w:hanging="300"/>
        <w:jc w:val="left"/>
        <w:rPr>
          <w:sz w:val="20"/>
        </w:rPr>
      </w:pPr>
    </w:p>
    <w:p w14:paraId="422559E3" w14:textId="0FDBCF09" w:rsidR="00385823" w:rsidRPr="00915C3F" w:rsidRDefault="00385823" w:rsidP="00915C3F">
      <w:pPr>
        <w:pStyle w:val="LGTdoc"/>
        <w:spacing w:before="120" w:after="120"/>
        <w:ind w:left="300" w:hangingChars="150" w:hanging="300"/>
        <w:jc w:val="left"/>
        <w:rPr>
          <w:sz w:val="20"/>
        </w:rPr>
      </w:pPr>
    </w:p>
    <w:sectPr w:rsidR="00385823" w:rsidRPr="00915C3F" w:rsidSect="00FC27AE">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FA3D3" w14:textId="77777777" w:rsidR="008049EE" w:rsidRDefault="008049EE">
      <w:r>
        <w:separator/>
      </w:r>
    </w:p>
  </w:endnote>
  <w:endnote w:type="continuationSeparator" w:id="0">
    <w:p w14:paraId="5E04DEF2" w14:textId="77777777" w:rsidR="008049EE" w:rsidRDefault="0080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463E26" w:rsidRDefault="00463E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463E26" w:rsidRDefault="00463E2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463E26" w:rsidRDefault="00463E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D544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5440">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EB5F5" w14:textId="77777777" w:rsidR="008049EE" w:rsidRDefault="008049EE">
      <w:r>
        <w:separator/>
      </w:r>
    </w:p>
  </w:footnote>
  <w:footnote w:type="continuationSeparator" w:id="0">
    <w:p w14:paraId="47860D4F" w14:textId="77777777" w:rsidR="008049EE" w:rsidRDefault="00804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463E26" w:rsidRDefault="00463E2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FB42CF"/>
    <w:multiLevelType w:val="hybridMultilevel"/>
    <w:tmpl w:val="066E2B6C"/>
    <w:lvl w:ilvl="0" w:tplc="1422C56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9549C1"/>
    <w:multiLevelType w:val="hybridMultilevel"/>
    <w:tmpl w:val="91C2566A"/>
    <w:lvl w:ilvl="0" w:tplc="1422C56A">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D7B02"/>
    <w:multiLevelType w:val="hybridMultilevel"/>
    <w:tmpl w:val="453EB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BF2F08"/>
    <w:multiLevelType w:val="hybridMultilevel"/>
    <w:tmpl w:val="00925E1E"/>
    <w:lvl w:ilvl="0" w:tplc="20B65F82">
      <w:start w:val="1"/>
      <w:numFmt w:val="bullet"/>
      <w:lvlText w:val="•"/>
      <w:lvlJc w:val="left"/>
      <w:pPr>
        <w:tabs>
          <w:tab w:val="num" w:pos="360"/>
        </w:tabs>
        <w:ind w:left="360" w:hanging="360"/>
      </w:pPr>
      <w:rPr>
        <w:rFonts w:ascii="Arial" w:hAnsi="Arial" w:hint="default"/>
      </w:rPr>
    </w:lvl>
    <w:lvl w:ilvl="1" w:tplc="923C77A4">
      <w:start w:val="50"/>
      <w:numFmt w:val="bullet"/>
      <w:lvlText w:val="•"/>
      <w:lvlJc w:val="left"/>
      <w:pPr>
        <w:tabs>
          <w:tab w:val="num" w:pos="1080"/>
        </w:tabs>
        <w:ind w:left="1080" w:hanging="360"/>
      </w:pPr>
      <w:rPr>
        <w:rFonts w:ascii="Arial" w:hAnsi="Arial" w:hint="default"/>
      </w:rPr>
    </w:lvl>
    <w:lvl w:ilvl="2" w:tplc="3C5027D2">
      <w:start w:val="1"/>
      <w:numFmt w:val="bullet"/>
      <w:lvlText w:val="•"/>
      <w:lvlJc w:val="left"/>
      <w:pPr>
        <w:tabs>
          <w:tab w:val="num" w:pos="1800"/>
        </w:tabs>
        <w:ind w:left="1800" w:hanging="360"/>
      </w:pPr>
      <w:rPr>
        <w:rFonts w:ascii="Arial" w:hAnsi="Arial" w:hint="default"/>
      </w:rPr>
    </w:lvl>
    <w:lvl w:ilvl="3" w:tplc="0090E940" w:tentative="1">
      <w:start w:val="1"/>
      <w:numFmt w:val="bullet"/>
      <w:lvlText w:val="•"/>
      <w:lvlJc w:val="left"/>
      <w:pPr>
        <w:tabs>
          <w:tab w:val="num" w:pos="2520"/>
        </w:tabs>
        <w:ind w:left="2520" w:hanging="360"/>
      </w:pPr>
      <w:rPr>
        <w:rFonts w:ascii="Arial" w:hAnsi="Arial" w:hint="default"/>
      </w:rPr>
    </w:lvl>
    <w:lvl w:ilvl="4" w:tplc="CAD872BE" w:tentative="1">
      <w:start w:val="1"/>
      <w:numFmt w:val="bullet"/>
      <w:lvlText w:val="•"/>
      <w:lvlJc w:val="left"/>
      <w:pPr>
        <w:tabs>
          <w:tab w:val="num" w:pos="3240"/>
        </w:tabs>
        <w:ind w:left="3240" w:hanging="360"/>
      </w:pPr>
      <w:rPr>
        <w:rFonts w:ascii="Arial" w:hAnsi="Arial" w:hint="default"/>
      </w:rPr>
    </w:lvl>
    <w:lvl w:ilvl="5" w:tplc="4B207BAE" w:tentative="1">
      <w:start w:val="1"/>
      <w:numFmt w:val="bullet"/>
      <w:lvlText w:val="•"/>
      <w:lvlJc w:val="left"/>
      <w:pPr>
        <w:tabs>
          <w:tab w:val="num" w:pos="3960"/>
        </w:tabs>
        <w:ind w:left="3960" w:hanging="360"/>
      </w:pPr>
      <w:rPr>
        <w:rFonts w:ascii="Arial" w:hAnsi="Arial" w:hint="default"/>
      </w:rPr>
    </w:lvl>
    <w:lvl w:ilvl="6" w:tplc="350A3AB6" w:tentative="1">
      <w:start w:val="1"/>
      <w:numFmt w:val="bullet"/>
      <w:lvlText w:val="•"/>
      <w:lvlJc w:val="left"/>
      <w:pPr>
        <w:tabs>
          <w:tab w:val="num" w:pos="4680"/>
        </w:tabs>
        <w:ind w:left="4680" w:hanging="360"/>
      </w:pPr>
      <w:rPr>
        <w:rFonts w:ascii="Arial" w:hAnsi="Arial" w:hint="default"/>
      </w:rPr>
    </w:lvl>
    <w:lvl w:ilvl="7" w:tplc="B82E6876" w:tentative="1">
      <w:start w:val="1"/>
      <w:numFmt w:val="bullet"/>
      <w:lvlText w:val="•"/>
      <w:lvlJc w:val="left"/>
      <w:pPr>
        <w:tabs>
          <w:tab w:val="num" w:pos="5400"/>
        </w:tabs>
        <w:ind w:left="5400" w:hanging="360"/>
      </w:pPr>
      <w:rPr>
        <w:rFonts w:ascii="Arial" w:hAnsi="Arial" w:hint="default"/>
      </w:rPr>
    </w:lvl>
    <w:lvl w:ilvl="8" w:tplc="FB3E297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7871AC"/>
    <w:multiLevelType w:val="hybridMultilevel"/>
    <w:tmpl w:val="6338C0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74C33"/>
    <w:multiLevelType w:val="hybridMultilevel"/>
    <w:tmpl w:val="1ACEA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9A4B79"/>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97D40"/>
    <w:multiLevelType w:val="hybridMultilevel"/>
    <w:tmpl w:val="6526E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A4515A5"/>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1"/>
  </w:num>
  <w:num w:numId="3">
    <w:abstractNumId w:val="17"/>
  </w:num>
  <w:num w:numId="4">
    <w:abstractNumId w:val="22"/>
  </w:num>
  <w:num w:numId="5">
    <w:abstractNumId w:val="10"/>
  </w:num>
  <w:num w:numId="6">
    <w:abstractNumId w:val="14"/>
  </w:num>
  <w:num w:numId="7">
    <w:abstractNumId w:val="9"/>
  </w:num>
  <w:num w:numId="8">
    <w:abstractNumId w:val="3"/>
  </w:num>
  <w:num w:numId="9">
    <w:abstractNumId w:val="5"/>
  </w:num>
  <w:num w:numId="10">
    <w:abstractNumId w:val="13"/>
  </w:num>
  <w:num w:numId="11">
    <w:abstractNumId w:val="2"/>
  </w:num>
  <w:num w:numId="12">
    <w:abstractNumId w:val="1"/>
  </w:num>
  <w:num w:numId="13">
    <w:abstractNumId w:val="6"/>
  </w:num>
  <w:num w:numId="14">
    <w:abstractNumId w:val="20"/>
  </w:num>
  <w:num w:numId="15">
    <w:abstractNumId w:val="25"/>
  </w:num>
  <w:num w:numId="16">
    <w:abstractNumId w:val="16"/>
  </w:num>
  <w:num w:numId="17">
    <w:abstractNumId w:val="8"/>
  </w:num>
  <w:num w:numId="18">
    <w:abstractNumId w:val="19"/>
  </w:num>
  <w:num w:numId="19">
    <w:abstractNumId w:val="4"/>
  </w:num>
  <w:num w:numId="20">
    <w:abstractNumId w:val="24"/>
  </w:num>
  <w:num w:numId="21">
    <w:abstractNumId w:val="15"/>
  </w:num>
  <w:num w:numId="22">
    <w:abstractNumId w:val="7"/>
  </w:num>
  <w:num w:numId="23">
    <w:abstractNumId w:val="23"/>
  </w:num>
  <w:num w:numId="24">
    <w:abstractNumId w:val="11"/>
  </w:num>
  <w:num w:numId="25">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089"/>
    <w:rsid w:val="00001223"/>
    <w:rsid w:val="00001FC3"/>
    <w:rsid w:val="00002375"/>
    <w:rsid w:val="00002459"/>
    <w:rsid w:val="00003131"/>
    <w:rsid w:val="0000368E"/>
    <w:rsid w:val="000036F3"/>
    <w:rsid w:val="00003772"/>
    <w:rsid w:val="000037FB"/>
    <w:rsid w:val="00004885"/>
    <w:rsid w:val="00004CD0"/>
    <w:rsid w:val="00004D8C"/>
    <w:rsid w:val="00004DCB"/>
    <w:rsid w:val="000051F0"/>
    <w:rsid w:val="00005327"/>
    <w:rsid w:val="0000553B"/>
    <w:rsid w:val="00006780"/>
    <w:rsid w:val="00006C7A"/>
    <w:rsid w:val="00006C7B"/>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4FFF"/>
    <w:rsid w:val="00015646"/>
    <w:rsid w:val="00015BCB"/>
    <w:rsid w:val="000162B2"/>
    <w:rsid w:val="00016DCE"/>
    <w:rsid w:val="0001729B"/>
    <w:rsid w:val="00017309"/>
    <w:rsid w:val="00017F4B"/>
    <w:rsid w:val="00020331"/>
    <w:rsid w:val="000205C1"/>
    <w:rsid w:val="000208B8"/>
    <w:rsid w:val="00020D61"/>
    <w:rsid w:val="0002130A"/>
    <w:rsid w:val="0002165C"/>
    <w:rsid w:val="00021765"/>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684"/>
    <w:rsid w:val="000258DD"/>
    <w:rsid w:val="0002591B"/>
    <w:rsid w:val="00025A33"/>
    <w:rsid w:val="00025AFC"/>
    <w:rsid w:val="000266AE"/>
    <w:rsid w:val="00026905"/>
    <w:rsid w:val="00026977"/>
    <w:rsid w:val="00026AF7"/>
    <w:rsid w:val="00026EF9"/>
    <w:rsid w:val="00027333"/>
    <w:rsid w:val="00027345"/>
    <w:rsid w:val="0002790C"/>
    <w:rsid w:val="000300FE"/>
    <w:rsid w:val="00030308"/>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CBD"/>
    <w:rsid w:val="00036D9C"/>
    <w:rsid w:val="00036E7A"/>
    <w:rsid w:val="00036FA7"/>
    <w:rsid w:val="0003723C"/>
    <w:rsid w:val="000377E3"/>
    <w:rsid w:val="00037910"/>
    <w:rsid w:val="000379D9"/>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109"/>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AD3"/>
    <w:rsid w:val="00073BD8"/>
    <w:rsid w:val="00073FC4"/>
    <w:rsid w:val="00074375"/>
    <w:rsid w:val="000743A0"/>
    <w:rsid w:val="00074BF5"/>
    <w:rsid w:val="000752CD"/>
    <w:rsid w:val="00075680"/>
    <w:rsid w:val="0007590A"/>
    <w:rsid w:val="00075999"/>
    <w:rsid w:val="00076478"/>
    <w:rsid w:val="00077579"/>
    <w:rsid w:val="000805B2"/>
    <w:rsid w:val="00080786"/>
    <w:rsid w:val="00080D74"/>
    <w:rsid w:val="0008130A"/>
    <w:rsid w:val="00082152"/>
    <w:rsid w:val="000822B7"/>
    <w:rsid w:val="00082535"/>
    <w:rsid w:val="000826FF"/>
    <w:rsid w:val="00082A49"/>
    <w:rsid w:val="000830B9"/>
    <w:rsid w:val="00083322"/>
    <w:rsid w:val="00083788"/>
    <w:rsid w:val="00084255"/>
    <w:rsid w:val="00084F67"/>
    <w:rsid w:val="00085239"/>
    <w:rsid w:val="00085BC7"/>
    <w:rsid w:val="000862BA"/>
    <w:rsid w:val="00086B50"/>
    <w:rsid w:val="00086C4D"/>
    <w:rsid w:val="00086CF2"/>
    <w:rsid w:val="0008731C"/>
    <w:rsid w:val="000875F3"/>
    <w:rsid w:val="0008760B"/>
    <w:rsid w:val="00087881"/>
    <w:rsid w:val="00087BAB"/>
    <w:rsid w:val="00087E29"/>
    <w:rsid w:val="00087F91"/>
    <w:rsid w:val="00090573"/>
    <w:rsid w:val="00090586"/>
    <w:rsid w:val="00091714"/>
    <w:rsid w:val="00092053"/>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88E"/>
    <w:rsid w:val="000B1CD3"/>
    <w:rsid w:val="000B256B"/>
    <w:rsid w:val="000B2B4D"/>
    <w:rsid w:val="000B32D4"/>
    <w:rsid w:val="000B38DA"/>
    <w:rsid w:val="000B3F37"/>
    <w:rsid w:val="000B49D7"/>
    <w:rsid w:val="000B53AF"/>
    <w:rsid w:val="000B546F"/>
    <w:rsid w:val="000B60B9"/>
    <w:rsid w:val="000B65BE"/>
    <w:rsid w:val="000B6BDF"/>
    <w:rsid w:val="000B71B6"/>
    <w:rsid w:val="000B7234"/>
    <w:rsid w:val="000B7387"/>
    <w:rsid w:val="000B76BB"/>
    <w:rsid w:val="000B7D5E"/>
    <w:rsid w:val="000C133A"/>
    <w:rsid w:val="000C198E"/>
    <w:rsid w:val="000C1DBD"/>
    <w:rsid w:val="000C1F69"/>
    <w:rsid w:val="000C2C24"/>
    <w:rsid w:val="000C2DE1"/>
    <w:rsid w:val="000C393F"/>
    <w:rsid w:val="000C3987"/>
    <w:rsid w:val="000C3F16"/>
    <w:rsid w:val="000C4422"/>
    <w:rsid w:val="000C4C76"/>
    <w:rsid w:val="000C550B"/>
    <w:rsid w:val="000C5759"/>
    <w:rsid w:val="000C59A4"/>
    <w:rsid w:val="000C5D70"/>
    <w:rsid w:val="000C5E7D"/>
    <w:rsid w:val="000C673C"/>
    <w:rsid w:val="000C69F8"/>
    <w:rsid w:val="000C6C6D"/>
    <w:rsid w:val="000C71D9"/>
    <w:rsid w:val="000C79E2"/>
    <w:rsid w:val="000C7C3E"/>
    <w:rsid w:val="000D037E"/>
    <w:rsid w:val="000D087D"/>
    <w:rsid w:val="000D0A0F"/>
    <w:rsid w:val="000D0AB8"/>
    <w:rsid w:val="000D0BCC"/>
    <w:rsid w:val="000D0C0A"/>
    <w:rsid w:val="000D0F9A"/>
    <w:rsid w:val="000D148D"/>
    <w:rsid w:val="000D14EB"/>
    <w:rsid w:val="000D1610"/>
    <w:rsid w:val="000D1737"/>
    <w:rsid w:val="000D18A9"/>
    <w:rsid w:val="000D1B28"/>
    <w:rsid w:val="000D206C"/>
    <w:rsid w:val="000D21E2"/>
    <w:rsid w:val="000D23C1"/>
    <w:rsid w:val="000D2A02"/>
    <w:rsid w:val="000D2AE0"/>
    <w:rsid w:val="000D2EA5"/>
    <w:rsid w:val="000D35D4"/>
    <w:rsid w:val="000D362A"/>
    <w:rsid w:val="000D37FA"/>
    <w:rsid w:val="000D3A6C"/>
    <w:rsid w:val="000D3BA7"/>
    <w:rsid w:val="000D4324"/>
    <w:rsid w:val="000D46EE"/>
    <w:rsid w:val="000D49CF"/>
    <w:rsid w:val="000D4ABD"/>
    <w:rsid w:val="000D4AC1"/>
    <w:rsid w:val="000D4BEB"/>
    <w:rsid w:val="000D4DE6"/>
    <w:rsid w:val="000D4DFF"/>
    <w:rsid w:val="000D55EA"/>
    <w:rsid w:val="000D5711"/>
    <w:rsid w:val="000D59D6"/>
    <w:rsid w:val="000D5A82"/>
    <w:rsid w:val="000D5AB0"/>
    <w:rsid w:val="000D5AD1"/>
    <w:rsid w:val="000D5C0C"/>
    <w:rsid w:val="000D5E4D"/>
    <w:rsid w:val="000D697E"/>
    <w:rsid w:val="000D6E96"/>
    <w:rsid w:val="000D7268"/>
    <w:rsid w:val="000D75CC"/>
    <w:rsid w:val="000D7783"/>
    <w:rsid w:val="000D7C7C"/>
    <w:rsid w:val="000D7D1B"/>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5B48"/>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9A9"/>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FC8"/>
    <w:rsid w:val="0010660E"/>
    <w:rsid w:val="00106873"/>
    <w:rsid w:val="00106A95"/>
    <w:rsid w:val="00106B5E"/>
    <w:rsid w:val="00106CC3"/>
    <w:rsid w:val="00106E7E"/>
    <w:rsid w:val="001074D1"/>
    <w:rsid w:val="00107950"/>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D6"/>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0A6B"/>
    <w:rsid w:val="00131172"/>
    <w:rsid w:val="00131683"/>
    <w:rsid w:val="00131AC6"/>
    <w:rsid w:val="001321CE"/>
    <w:rsid w:val="001322B0"/>
    <w:rsid w:val="001324AE"/>
    <w:rsid w:val="00132767"/>
    <w:rsid w:val="00132798"/>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1D6"/>
    <w:rsid w:val="00150518"/>
    <w:rsid w:val="001508E1"/>
    <w:rsid w:val="00150BAF"/>
    <w:rsid w:val="00150CD5"/>
    <w:rsid w:val="00151096"/>
    <w:rsid w:val="001510B6"/>
    <w:rsid w:val="001510BE"/>
    <w:rsid w:val="001510ED"/>
    <w:rsid w:val="0015121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BCE"/>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5F54"/>
    <w:rsid w:val="00186395"/>
    <w:rsid w:val="00186885"/>
    <w:rsid w:val="00186B4D"/>
    <w:rsid w:val="0018767B"/>
    <w:rsid w:val="001876A5"/>
    <w:rsid w:val="00187DA7"/>
    <w:rsid w:val="00190307"/>
    <w:rsid w:val="00190927"/>
    <w:rsid w:val="00190BD5"/>
    <w:rsid w:val="00191011"/>
    <w:rsid w:val="00191033"/>
    <w:rsid w:val="00191727"/>
    <w:rsid w:val="00191A2B"/>
    <w:rsid w:val="00191A77"/>
    <w:rsid w:val="00191EBF"/>
    <w:rsid w:val="001923B4"/>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4B6"/>
    <w:rsid w:val="001A5960"/>
    <w:rsid w:val="001A61A0"/>
    <w:rsid w:val="001A6205"/>
    <w:rsid w:val="001A628F"/>
    <w:rsid w:val="001A6AFE"/>
    <w:rsid w:val="001A6F38"/>
    <w:rsid w:val="001A706D"/>
    <w:rsid w:val="001A7103"/>
    <w:rsid w:val="001A71EB"/>
    <w:rsid w:val="001A72EE"/>
    <w:rsid w:val="001A7912"/>
    <w:rsid w:val="001A7924"/>
    <w:rsid w:val="001A7BF4"/>
    <w:rsid w:val="001A7C23"/>
    <w:rsid w:val="001A7C61"/>
    <w:rsid w:val="001A7CBD"/>
    <w:rsid w:val="001A7EF4"/>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B764A"/>
    <w:rsid w:val="001C002C"/>
    <w:rsid w:val="001C0085"/>
    <w:rsid w:val="001C04E1"/>
    <w:rsid w:val="001C063F"/>
    <w:rsid w:val="001C080B"/>
    <w:rsid w:val="001C0883"/>
    <w:rsid w:val="001C16A9"/>
    <w:rsid w:val="001C1E53"/>
    <w:rsid w:val="001C211D"/>
    <w:rsid w:val="001C2753"/>
    <w:rsid w:val="001C2E60"/>
    <w:rsid w:val="001C3474"/>
    <w:rsid w:val="001C3605"/>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C9A"/>
    <w:rsid w:val="001D1258"/>
    <w:rsid w:val="001D13B0"/>
    <w:rsid w:val="001D19F8"/>
    <w:rsid w:val="001D1CFF"/>
    <w:rsid w:val="001D2B3C"/>
    <w:rsid w:val="001D2BB2"/>
    <w:rsid w:val="001D2E6C"/>
    <w:rsid w:val="001D2ECD"/>
    <w:rsid w:val="001D329E"/>
    <w:rsid w:val="001D34C7"/>
    <w:rsid w:val="001D3C68"/>
    <w:rsid w:val="001D3F18"/>
    <w:rsid w:val="001D4174"/>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D56"/>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45B"/>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1F21"/>
    <w:rsid w:val="002221E1"/>
    <w:rsid w:val="002222A4"/>
    <w:rsid w:val="0022337A"/>
    <w:rsid w:val="00223833"/>
    <w:rsid w:val="00223ACD"/>
    <w:rsid w:val="00223ADC"/>
    <w:rsid w:val="00223D12"/>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99B"/>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69E"/>
    <w:rsid w:val="00251929"/>
    <w:rsid w:val="00251F5E"/>
    <w:rsid w:val="002521CC"/>
    <w:rsid w:val="002522FF"/>
    <w:rsid w:val="0025292F"/>
    <w:rsid w:val="002530CC"/>
    <w:rsid w:val="002530D6"/>
    <w:rsid w:val="002530D9"/>
    <w:rsid w:val="0025325D"/>
    <w:rsid w:val="002533FF"/>
    <w:rsid w:val="00253400"/>
    <w:rsid w:val="002537F5"/>
    <w:rsid w:val="00253A89"/>
    <w:rsid w:val="00253D64"/>
    <w:rsid w:val="00255BAE"/>
    <w:rsid w:val="00255C71"/>
    <w:rsid w:val="00256086"/>
    <w:rsid w:val="00256F02"/>
    <w:rsid w:val="002571C8"/>
    <w:rsid w:val="002571DD"/>
    <w:rsid w:val="002572F1"/>
    <w:rsid w:val="00257A62"/>
    <w:rsid w:val="00257ED5"/>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327"/>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076"/>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9ED"/>
    <w:rsid w:val="002A3B12"/>
    <w:rsid w:val="002A3CF2"/>
    <w:rsid w:val="002A4102"/>
    <w:rsid w:val="002A4918"/>
    <w:rsid w:val="002A4E20"/>
    <w:rsid w:val="002A523D"/>
    <w:rsid w:val="002A5465"/>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137C"/>
    <w:rsid w:val="002B21D6"/>
    <w:rsid w:val="002B2331"/>
    <w:rsid w:val="002B274D"/>
    <w:rsid w:val="002B2C92"/>
    <w:rsid w:val="002B2F85"/>
    <w:rsid w:val="002B3081"/>
    <w:rsid w:val="002B318B"/>
    <w:rsid w:val="002B32BC"/>
    <w:rsid w:val="002B340B"/>
    <w:rsid w:val="002B34AE"/>
    <w:rsid w:val="002B3D90"/>
    <w:rsid w:val="002B3DB9"/>
    <w:rsid w:val="002B42D1"/>
    <w:rsid w:val="002B4C39"/>
    <w:rsid w:val="002B5976"/>
    <w:rsid w:val="002B6397"/>
    <w:rsid w:val="002B64FE"/>
    <w:rsid w:val="002B651D"/>
    <w:rsid w:val="002B6890"/>
    <w:rsid w:val="002B694E"/>
    <w:rsid w:val="002B6BF2"/>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18F0"/>
    <w:rsid w:val="002D2057"/>
    <w:rsid w:val="002D2B4E"/>
    <w:rsid w:val="002D3968"/>
    <w:rsid w:val="002D40C3"/>
    <w:rsid w:val="002D425A"/>
    <w:rsid w:val="002D4322"/>
    <w:rsid w:val="002D499A"/>
    <w:rsid w:val="002D4A54"/>
    <w:rsid w:val="002D4E37"/>
    <w:rsid w:val="002D52E0"/>
    <w:rsid w:val="002D5923"/>
    <w:rsid w:val="002D5DEA"/>
    <w:rsid w:val="002D6127"/>
    <w:rsid w:val="002D6240"/>
    <w:rsid w:val="002D6330"/>
    <w:rsid w:val="002D68C3"/>
    <w:rsid w:val="002D6C69"/>
    <w:rsid w:val="002D709A"/>
    <w:rsid w:val="002D772F"/>
    <w:rsid w:val="002E018E"/>
    <w:rsid w:val="002E04F0"/>
    <w:rsid w:val="002E0E94"/>
    <w:rsid w:val="002E16BC"/>
    <w:rsid w:val="002E1941"/>
    <w:rsid w:val="002E21D5"/>
    <w:rsid w:val="002E2393"/>
    <w:rsid w:val="002E251B"/>
    <w:rsid w:val="002E2923"/>
    <w:rsid w:val="002E2A76"/>
    <w:rsid w:val="002E306D"/>
    <w:rsid w:val="002E3624"/>
    <w:rsid w:val="002E3653"/>
    <w:rsid w:val="002E36AE"/>
    <w:rsid w:val="002E38B7"/>
    <w:rsid w:val="002E58E1"/>
    <w:rsid w:val="002E5BDD"/>
    <w:rsid w:val="002E5C56"/>
    <w:rsid w:val="002E679D"/>
    <w:rsid w:val="002E6A6E"/>
    <w:rsid w:val="002E7321"/>
    <w:rsid w:val="002E7894"/>
    <w:rsid w:val="002F0045"/>
    <w:rsid w:val="002F00F0"/>
    <w:rsid w:val="002F0161"/>
    <w:rsid w:val="002F025B"/>
    <w:rsid w:val="002F0684"/>
    <w:rsid w:val="002F0ADB"/>
    <w:rsid w:val="002F2AE0"/>
    <w:rsid w:val="002F3F16"/>
    <w:rsid w:val="002F413F"/>
    <w:rsid w:val="002F44AD"/>
    <w:rsid w:val="002F45D3"/>
    <w:rsid w:val="002F4934"/>
    <w:rsid w:val="002F4A52"/>
    <w:rsid w:val="002F4CF5"/>
    <w:rsid w:val="002F4FC5"/>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7AD"/>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400B"/>
    <w:rsid w:val="003141C2"/>
    <w:rsid w:val="00314629"/>
    <w:rsid w:val="00314EFF"/>
    <w:rsid w:val="0031599D"/>
    <w:rsid w:val="00315F72"/>
    <w:rsid w:val="00316072"/>
    <w:rsid w:val="00316265"/>
    <w:rsid w:val="00316C58"/>
    <w:rsid w:val="00316E0C"/>
    <w:rsid w:val="00316E46"/>
    <w:rsid w:val="00317050"/>
    <w:rsid w:val="0031758F"/>
    <w:rsid w:val="00317688"/>
    <w:rsid w:val="00317884"/>
    <w:rsid w:val="003200D5"/>
    <w:rsid w:val="00320B1B"/>
    <w:rsid w:val="00320F85"/>
    <w:rsid w:val="00321576"/>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CF7"/>
    <w:rsid w:val="00335E2A"/>
    <w:rsid w:val="00336225"/>
    <w:rsid w:val="00336780"/>
    <w:rsid w:val="003367C5"/>
    <w:rsid w:val="003370D3"/>
    <w:rsid w:val="00337C28"/>
    <w:rsid w:val="00337C71"/>
    <w:rsid w:val="00340E16"/>
    <w:rsid w:val="00340E58"/>
    <w:rsid w:val="00341087"/>
    <w:rsid w:val="003419EE"/>
    <w:rsid w:val="00341CDF"/>
    <w:rsid w:val="0034243C"/>
    <w:rsid w:val="0034246D"/>
    <w:rsid w:val="003426DE"/>
    <w:rsid w:val="0034305B"/>
    <w:rsid w:val="003430CE"/>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092D"/>
    <w:rsid w:val="0035149D"/>
    <w:rsid w:val="00351506"/>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1F36"/>
    <w:rsid w:val="0036262C"/>
    <w:rsid w:val="00362C5A"/>
    <w:rsid w:val="00363CE1"/>
    <w:rsid w:val="00364A63"/>
    <w:rsid w:val="0036692E"/>
    <w:rsid w:val="00367D2F"/>
    <w:rsid w:val="003700A7"/>
    <w:rsid w:val="00370285"/>
    <w:rsid w:val="003704EE"/>
    <w:rsid w:val="0037080A"/>
    <w:rsid w:val="00370880"/>
    <w:rsid w:val="00370ECC"/>
    <w:rsid w:val="00370EFD"/>
    <w:rsid w:val="00371137"/>
    <w:rsid w:val="00371766"/>
    <w:rsid w:val="00371831"/>
    <w:rsid w:val="003719F5"/>
    <w:rsid w:val="00372029"/>
    <w:rsid w:val="003724A1"/>
    <w:rsid w:val="00372521"/>
    <w:rsid w:val="003725EB"/>
    <w:rsid w:val="00372A6B"/>
    <w:rsid w:val="00372FD7"/>
    <w:rsid w:val="003730FB"/>
    <w:rsid w:val="00373E10"/>
    <w:rsid w:val="00373F2C"/>
    <w:rsid w:val="0037406C"/>
    <w:rsid w:val="003741D2"/>
    <w:rsid w:val="003744CB"/>
    <w:rsid w:val="00374664"/>
    <w:rsid w:val="00374804"/>
    <w:rsid w:val="00374F06"/>
    <w:rsid w:val="00374F99"/>
    <w:rsid w:val="00375145"/>
    <w:rsid w:val="00375FFC"/>
    <w:rsid w:val="003761DC"/>
    <w:rsid w:val="003764B5"/>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07"/>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33C"/>
    <w:rsid w:val="003B0901"/>
    <w:rsid w:val="003B0B4D"/>
    <w:rsid w:val="003B1046"/>
    <w:rsid w:val="003B14B8"/>
    <w:rsid w:val="003B1575"/>
    <w:rsid w:val="003B176D"/>
    <w:rsid w:val="003B188F"/>
    <w:rsid w:val="003B1CC2"/>
    <w:rsid w:val="003B21B1"/>
    <w:rsid w:val="003B2B79"/>
    <w:rsid w:val="003B2D68"/>
    <w:rsid w:val="003B2F98"/>
    <w:rsid w:val="003B4482"/>
    <w:rsid w:val="003B4A84"/>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3FB"/>
    <w:rsid w:val="003C07D7"/>
    <w:rsid w:val="003C0985"/>
    <w:rsid w:val="003C0D37"/>
    <w:rsid w:val="003C1EC9"/>
    <w:rsid w:val="003C2C9D"/>
    <w:rsid w:val="003C3B73"/>
    <w:rsid w:val="003C3F9F"/>
    <w:rsid w:val="003C4250"/>
    <w:rsid w:val="003C4952"/>
    <w:rsid w:val="003C4D16"/>
    <w:rsid w:val="003C4D8C"/>
    <w:rsid w:val="003C4F25"/>
    <w:rsid w:val="003C5612"/>
    <w:rsid w:val="003C60A2"/>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39E3"/>
    <w:rsid w:val="003D4330"/>
    <w:rsid w:val="003D4350"/>
    <w:rsid w:val="003D4409"/>
    <w:rsid w:val="003D4FD7"/>
    <w:rsid w:val="003D50AE"/>
    <w:rsid w:val="003D5176"/>
    <w:rsid w:val="003D52A8"/>
    <w:rsid w:val="003D5717"/>
    <w:rsid w:val="003D5878"/>
    <w:rsid w:val="003D59FE"/>
    <w:rsid w:val="003D60D5"/>
    <w:rsid w:val="003D63BA"/>
    <w:rsid w:val="003D680E"/>
    <w:rsid w:val="003D7458"/>
    <w:rsid w:val="003D79E8"/>
    <w:rsid w:val="003E089F"/>
    <w:rsid w:val="003E0ADB"/>
    <w:rsid w:val="003E0CE4"/>
    <w:rsid w:val="003E0D4C"/>
    <w:rsid w:val="003E1304"/>
    <w:rsid w:val="003E1748"/>
    <w:rsid w:val="003E1CF4"/>
    <w:rsid w:val="003E240A"/>
    <w:rsid w:val="003E2BF4"/>
    <w:rsid w:val="003E34E1"/>
    <w:rsid w:val="003E3524"/>
    <w:rsid w:val="003E3C5B"/>
    <w:rsid w:val="003E3D11"/>
    <w:rsid w:val="003E40C9"/>
    <w:rsid w:val="003E4642"/>
    <w:rsid w:val="003E4CDB"/>
    <w:rsid w:val="003E5258"/>
    <w:rsid w:val="003E52EB"/>
    <w:rsid w:val="003E5D04"/>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ADA"/>
    <w:rsid w:val="003F4405"/>
    <w:rsid w:val="003F45CF"/>
    <w:rsid w:val="003F4933"/>
    <w:rsid w:val="003F4977"/>
    <w:rsid w:val="003F4C9F"/>
    <w:rsid w:val="003F4E1C"/>
    <w:rsid w:val="003F4E39"/>
    <w:rsid w:val="003F536B"/>
    <w:rsid w:val="003F57DE"/>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1C70"/>
    <w:rsid w:val="004024AB"/>
    <w:rsid w:val="00402F2C"/>
    <w:rsid w:val="0040303D"/>
    <w:rsid w:val="0040379F"/>
    <w:rsid w:val="00403805"/>
    <w:rsid w:val="00403824"/>
    <w:rsid w:val="00403DBD"/>
    <w:rsid w:val="00403F25"/>
    <w:rsid w:val="0040495B"/>
    <w:rsid w:val="00404AE9"/>
    <w:rsid w:val="00405194"/>
    <w:rsid w:val="0040525A"/>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427"/>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C8"/>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159"/>
    <w:rsid w:val="00433479"/>
    <w:rsid w:val="004339D3"/>
    <w:rsid w:val="00433C6F"/>
    <w:rsid w:val="00434583"/>
    <w:rsid w:val="00434754"/>
    <w:rsid w:val="0043480E"/>
    <w:rsid w:val="00434A45"/>
    <w:rsid w:val="00434A59"/>
    <w:rsid w:val="00434D46"/>
    <w:rsid w:val="00435248"/>
    <w:rsid w:val="004353C1"/>
    <w:rsid w:val="0043542F"/>
    <w:rsid w:val="004355EB"/>
    <w:rsid w:val="00435602"/>
    <w:rsid w:val="004356FA"/>
    <w:rsid w:val="00435C02"/>
    <w:rsid w:val="00435CCF"/>
    <w:rsid w:val="00436A3B"/>
    <w:rsid w:val="00437027"/>
    <w:rsid w:val="004371AB"/>
    <w:rsid w:val="00437580"/>
    <w:rsid w:val="004402A7"/>
    <w:rsid w:val="0044035D"/>
    <w:rsid w:val="00440EA5"/>
    <w:rsid w:val="0044131C"/>
    <w:rsid w:val="0044142F"/>
    <w:rsid w:val="004425C2"/>
    <w:rsid w:val="00442824"/>
    <w:rsid w:val="00442BCC"/>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0F3"/>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F08"/>
    <w:rsid w:val="00455105"/>
    <w:rsid w:val="00455C09"/>
    <w:rsid w:val="00456114"/>
    <w:rsid w:val="00456797"/>
    <w:rsid w:val="004567D5"/>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3E26"/>
    <w:rsid w:val="0046434B"/>
    <w:rsid w:val="00464513"/>
    <w:rsid w:val="00464919"/>
    <w:rsid w:val="00464EE0"/>
    <w:rsid w:val="00465461"/>
    <w:rsid w:val="00465467"/>
    <w:rsid w:val="00465573"/>
    <w:rsid w:val="00465591"/>
    <w:rsid w:val="004658C3"/>
    <w:rsid w:val="00465EB3"/>
    <w:rsid w:val="0046645E"/>
    <w:rsid w:val="004666D2"/>
    <w:rsid w:val="0046682E"/>
    <w:rsid w:val="00467838"/>
    <w:rsid w:val="0047041E"/>
    <w:rsid w:val="00470750"/>
    <w:rsid w:val="00470893"/>
    <w:rsid w:val="00470E35"/>
    <w:rsid w:val="0047166D"/>
    <w:rsid w:val="00471856"/>
    <w:rsid w:val="004719A1"/>
    <w:rsid w:val="00471A3A"/>
    <w:rsid w:val="00471DB0"/>
    <w:rsid w:val="00471F3B"/>
    <w:rsid w:val="00471FAB"/>
    <w:rsid w:val="00472ACB"/>
    <w:rsid w:val="004734F7"/>
    <w:rsid w:val="00473F5F"/>
    <w:rsid w:val="0047410D"/>
    <w:rsid w:val="00474873"/>
    <w:rsid w:val="00474FB4"/>
    <w:rsid w:val="004750A1"/>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9C8"/>
    <w:rsid w:val="00482ADC"/>
    <w:rsid w:val="00482B1F"/>
    <w:rsid w:val="00482BAD"/>
    <w:rsid w:val="004834CE"/>
    <w:rsid w:val="00483D11"/>
    <w:rsid w:val="00483D20"/>
    <w:rsid w:val="0048406D"/>
    <w:rsid w:val="0048410E"/>
    <w:rsid w:val="004842A6"/>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3DE"/>
    <w:rsid w:val="0049143D"/>
    <w:rsid w:val="004918A0"/>
    <w:rsid w:val="004924E5"/>
    <w:rsid w:val="00492619"/>
    <w:rsid w:val="00492E8F"/>
    <w:rsid w:val="0049349F"/>
    <w:rsid w:val="004935A4"/>
    <w:rsid w:val="00493D08"/>
    <w:rsid w:val="00494E75"/>
    <w:rsid w:val="00495071"/>
    <w:rsid w:val="00495227"/>
    <w:rsid w:val="004961DB"/>
    <w:rsid w:val="0049653E"/>
    <w:rsid w:val="00496BEF"/>
    <w:rsid w:val="0049792C"/>
    <w:rsid w:val="004A01E1"/>
    <w:rsid w:val="004A0E00"/>
    <w:rsid w:val="004A11BC"/>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0CC"/>
    <w:rsid w:val="004B0656"/>
    <w:rsid w:val="004B0706"/>
    <w:rsid w:val="004B0787"/>
    <w:rsid w:val="004B1313"/>
    <w:rsid w:val="004B1528"/>
    <w:rsid w:val="004B169E"/>
    <w:rsid w:val="004B1B53"/>
    <w:rsid w:val="004B1C42"/>
    <w:rsid w:val="004B2650"/>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3F05"/>
    <w:rsid w:val="004C42ED"/>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2B8"/>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C56"/>
    <w:rsid w:val="004F4E53"/>
    <w:rsid w:val="004F58AB"/>
    <w:rsid w:val="004F60C4"/>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DB2"/>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9F6"/>
    <w:rsid w:val="00513F8F"/>
    <w:rsid w:val="00513FCF"/>
    <w:rsid w:val="005141DB"/>
    <w:rsid w:val="00514455"/>
    <w:rsid w:val="005147E7"/>
    <w:rsid w:val="00514882"/>
    <w:rsid w:val="00514971"/>
    <w:rsid w:val="005149A2"/>
    <w:rsid w:val="00514CEE"/>
    <w:rsid w:val="005150E4"/>
    <w:rsid w:val="005154A2"/>
    <w:rsid w:val="00515907"/>
    <w:rsid w:val="00515E2B"/>
    <w:rsid w:val="00516B96"/>
    <w:rsid w:val="005173A4"/>
    <w:rsid w:val="0051770E"/>
    <w:rsid w:val="0052001B"/>
    <w:rsid w:val="005205C8"/>
    <w:rsid w:val="00520F13"/>
    <w:rsid w:val="005213CC"/>
    <w:rsid w:val="00521718"/>
    <w:rsid w:val="00521D65"/>
    <w:rsid w:val="005221A4"/>
    <w:rsid w:val="00522B6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2EFE"/>
    <w:rsid w:val="00533215"/>
    <w:rsid w:val="005334E4"/>
    <w:rsid w:val="00533540"/>
    <w:rsid w:val="005338BD"/>
    <w:rsid w:val="0053394F"/>
    <w:rsid w:val="0053411E"/>
    <w:rsid w:val="005347FB"/>
    <w:rsid w:val="005349EB"/>
    <w:rsid w:val="00534AA6"/>
    <w:rsid w:val="00534AE4"/>
    <w:rsid w:val="00534C83"/>
    <w:rsid w:val="00535A27"/>
    <w:rsid w:val="0053637E"/>
    <w:rsid w:val="005364F4"/>
    <w:rsid w:val="00536AEE"/>
    <w:rsid w:val="00537BE9"/>
    <w:rsid w:val="00537E22"/>
    <w:rsid w:val="00540147"/>
    <w:rsid w:val="0054081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03"/>
    <w:rsid w:val="00545C3D"/>
    <w:rsid w:val="00545E6A"/>
    <w:rsid w:val="0054623A"/>
    <w:rsid w:val="00546310"/>
    <w:rsid w:val="00546738"/>
    <w:rsid w:val="005467D6"/>
    <w:rsid w:val="00546942"/>
    <w:rsid w:val="00547123"/>
    <w:rsid w:val="005504D9"/>
    <w:rsid w:val="00550501"/>
    <w:rsid w:val="00550C80"/>
    <w:rsid w:val="00550D6F"/>
    <w:rsid w:val="00550E94"/>
    <w:rsid w:val="005511B1"/>
    <w:rsid w:val="005513DC"/>
    <w:rsid w:val="00551E1E"/>
    <w:rsid w:val="00551E52"/>
    <w:rsid w:val="00552038"/>
    <w:rsid w:val="0055225D"/>
    <w:rsid w:val="0055233E"/>
    <w:rsid w:val="00552569"/>
    <w:rsid w:val="005526F2"/>
    <w:rsid w:val="00552FF4"/>
    <w:rsid w:val="0055410A"/>
    <w:rsid w:val="00554671"/>
    <w:rsid w:val="005547CB"/>
    <w:rsid w:val="00554A4A"/>
    <w:rsid w:val="00554C6F"/>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57F88"/>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3E4"/>
    <w:rsid w:val="0057054C"/>
    <w:rsid w:val="005706C1"/>
    <w:rsid w:val="00570825"/>
    <w:rsid w:val="005708C3"/>
    <w:rsid w:val="005708C6"/>
    <w:rsid w:val="00570C3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0C"/>
    <w:rsid w:val="00575E27"/>
    <w:rsid w:val="00575EC1"/>
    <w:rsid w:val="005764B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71F"/>
    <w:rsid w:val="00583C6C"/>
    <w:rsid w:val="00583E78"/>
    <w:rsid w:val="00584496"/>
    <w:rsid w:val="00585932"/>
    <w:rsid w:val="00585C3A"/>
    <w:rsid w:val="00585E25"/>
    <w:rsid w:val="0058628A"/>
    <w:rsid w:val="005863AF"/>
    <w:rsid w:val="00586897"/>
    <w:rsid w:val="00586A51"/>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12B"/>
    <w:rsid w:val="005954F2"/>
    <w:rsid w:val="00595777"/>
    <w:rsid w:val="005959E0"/>
    <w:rsid w:val="00595A39"/>
    <w:rsid w:val="00595E99"/>
    <w:rsid w:val="00595ED3"/>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0824"/>
    <w:rsid w:val="005B0A9A"/>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2C2"/>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8C7"/>
    <w:rsid w:val="005D2A49"/>
    <w:rsid w:val="005D2B7E"/>
    <w:rsid w:val="005D2EE8"/>
    <w:rsid w:val="005D31D3"/>
    <w:rsid w:val="005D3D16"/>
    <w:rsid w:val="005D4764"/>
    <w:rsid w:val="005D5499"/>
    <w:rsid w:val="005D5743"/>
    <w:rsid w:val="005D576B"/>
    <w:rsid w:val="005D594D"/>
    <w:rsid w:val="005D5E46"/>
    <w:rsid w:val="005D609E"/>
    <w:rsid w:val="005D64A5"/>
    <w:rsid w:val="005D6581"/>
    <w:rsid w:val="005D6929"/>
    <w:rsid w:val="005D6B30"/>
    <w:rsid w:val="005D6D69"/>
    <w:rsid w:val="005D6E1C"/>
    <w:rsid w:val="005D7741"/>
    <w:rsid w:val="005D77E3"/>
    <w:rsid w:val="005D7E04"/>
    <w:rsid w:val="005E0082"/>
    <w:rsid w:val="005E0274"/>
    <w:rsid w:val="005E0D65"/>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810"/>
    <w:rsid w:val="005F0B4C"/>
    <w:rsid w:val="005F0B53"/>
    <w:rsid w:val="005F0C46"/>
    <w:rsid w:val="005F1FE4"/>
    <w:rsid w:val="005F2FF8"/>
    <w:rsid w:val="005F327D"/>
    <w:rsid w:val="005F369B"/>
    <w:rsid w:val="005F3F7F"/>
    <w:rsid w:val="005F4050"/>
    <w:rsid w:val="005F40E5"/>
    <w:rsid w:val="005F410E"/>
    <w:rsid w:val="005F42C9"/>
    <w:rsid w:val="005F46D9"/>
    <w:rsid w:val="005F4950"/>
    <w:rsid w:val="005F4E06"/>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280E"/>
    <w:rsid w:val="00603341"/>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79"/>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5DB4"/>
    <w:rsid w:val="00616885"/>
    <w:rsid w:val="0061717F"/>
    <w:rsid w:val="006171DC"/>
    <w:rsid w:val="006175CF"/>
    <w:rsid w:val="006201A2"/>
    <w:rsid w:val="00620254"/>
    <w:rsid w:val="00620267"/>
    <w:rsid w:val="00620564"/>
    <w:rsid w:val="00620686"/>
    <w:rsid w:val="006209E8"/>
    <w:rsid w:val="006210C5"/>
    <w:rsid w:val="00621B6A"/>
    <w:rsid w:val="00621C0B"/>
    <w:rsid w:val="00621C72"/>
    <w:rsid w:val="00621CAD"/>
    <w:rsid w:val="006220BE"/>
    <w:rsid w:val="006221A5"/>
    <w:rsid w:val="0062286B"/>
    <w:rsid w:val="00623427"/>
    <w:rsid w:val="00623EF3"/>
    <w:rsid w:val="00624AFA"/>
    <w:rsid w:val="00624C6E"/>
    <w:rsid w:val="00624FB3"/>
    <w:rsid w:val="00625B24"/>
    <w:rsid w:val="006261B5"/>
    <w:rsid w:val="0062657C"/>
    <w:rsid w:val="006266E5"/>
    <w:rsid w:val="00626C25"/>
    <w:rsid w:val="00626E64"/>
    <w:rsid w:val="006270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37EC6"/>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752"/>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6B6E"/>
    <w:rsid w:val="00676D87"/>
    <w:rsid w:val="00677368"/>
    <w:rsid w:val="00677725"/>
    <w:rsid w:val="00677A65"/>
    <w:rsid w:val="0068013A"/>
    <w:rsid w:val="00680A97"/>
    <w:rsid w:val="00680F30"/>
    <w:rsid w:val="00680F81"/>
    <w:rsid w:val="0068102D"/>
    <w:rsid w:val="00681245"/>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2D1"/>
    <w:rsid w:val="00693CA1"/>
    <w:rsid w:val="006943ED"/>
    <w:rsid w:val="0069447C"/>
    <w:rsid w:val="006949AD"/>
    <w:rsid w:val="006958EA"/>
    <w:rsid w:val="00695AA8"/>
    <w:rsid w:val="00695E95"/>
    <w:rsid w:val="00696244"/>
    <w:rsid w:val="006969D6"/>
    <w:rsid w:val="0069703E"/>
    <w:rsid w:val="0069755C"/>
    <w:rsid w:val="006979DC"/>
    <w:rsid w:val="00697C2C"/>
    <w:rsid w:val="006A01E2"/>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26"/>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5718"/>
    <w:rsid w:val="006B6001"/>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61A"/>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2C4F"/>
    <w:rsid w:val="006D31AF"/>
    <w:rsid w:val="006D31DD"/>
    <w:rsid w:val="006D45EC"/>
    <w:rsid w:val="006D492A"/>
    <w:rsid w:val="006D493C"/>
    <w:rsid w:val="006D4F72"/>
    <w:rsid w:val="006D59BF"/>
    <w:rsid w:val="006D5AE7"/>
    <w:rsid w:val="006D5EC2"/>
    <w:rsid w:val="006D5FEF"/>
    <w:rsid w:val="006D615D"/>
    <w:rsid w:val="006D7598"/>
    <w:rsid w:val="006D790E"/>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199"/>
    <w:rsid w:val="0070023A"/>
    <w:rsid w:val="007017EA"/>
    <w:rsid w:val="0070181F"/>
    <w:rsid w:val="0070193E"/>
    <w:rsid w:val="007019AD"/>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C65"/>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142"/>
    <w:rsid w:val="00714312"/>
    <w:rsid w:val="00714722"/>
    <w:rsid w:val="0071482A"/>
    <w:rsid w:val="00714D6A"/>
    <w:rsid w:val="00715F04"/>
    <w:rsid w:val="00715F49"/>
    <w:rsid w:val="007162F2"/>
    <w:rsid w:val="007163BF"/>
    <w:rsid w:val="0071649C"/>
    <w:rsid w:val="00716DB8"/>
    <w:rsid w:val="00716FC0"/>
    <w:rsid w:val="00717267"/>
    <w:rsid w:val="007178EE"/>
    <w:rsid w:val="00717B0A"/>
    <w:rsid w:val="00717CEA"/>
    <w:rsid w:val="00717E1F"/>
    <w:rsid w:val="00720759"/>
    <w:rsid w:val="00720BD4"/>
    <w:rsid w:val="007215A9"/>
    <w:rsid w:val="007218A9"/>
    <w:rsid w:val="0072190B"/>
    <w:rsid w:val="00721E1D"/>
    <w:rsid w:val="00721FC7"/>
    <w:rsid w:val="00722580"/>
    <w:rsid w:val="0072295F"/>
    <w:rsid w:val="00722B72"/>
    <w:rsid w:val="00723701"/>
    <w:rsid w:val="00723EC3"/>
    <w:rsid w:val="00724426"/>
    <w:rsid w:val="00725068"/>
    <w:rsid w:val="007254B1"/>
    <w:rsid w:val="0072560E"/>
    <w:rsid w:val="00725CB6"/>
    <w:rsid w:val="00725D75"/>
    <w:rsid w:val="0072602E"/>
    <w:rsid w:val="00726281"/>
    <w:rsid w:val="0072665F"/>
    <w:rsid w:val="00727003"/>
    <w:rsid w:val="00727810"/>
    <w:rsid w:val="00727E9F"/>
    <w:rsid w:val="00730302"/>
    <w:rsid w:val="0073128B"/>
    <w:rsid w:val="007313D4"/>
    <w:rsid w:val="0073171A"/>
    <w:rsid w:val="00731910"/>
    <w:rsid w:val="00731A41"/>
    <w:rsid w:val="00731D37"/>
    <w:rsid w:val="00731E4B"/>
    <w:rsid w:val="00732321"/>
    <w:rsid w:val="00733016"/>
    <w:rsid w:val="00733315"/>
    <w:rsid w:val="0073382B"/>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3E8E"/>
    <w:rsid w:val="00744055"/>
    <w:rsid w:val="007446C6"/>
    <w:rsid w:val="00744FB1"/>
    <w:rsid w:val="0074576E"/>
    <w:rsid w:val="0074594E"/>
    <w:rsid w:val="00745EBB"/>
    <w:rsid w:val="00746167"/>
    <w:rsid w:val="00746199"/>
    <w:rsid w:val="0074644A"/>
    <w:rsid w:val="00747446"/>
    <w:rsid w:val="00747A0A"/>
    <w:rsid w:val="00747BD8"/>
    <w:rsid w:val="00747E09"/>
    <w:rsid w:val="00747F05"/>
    <w:rsid w:val="0075038A"/>
    <w:rsid w:val="007509F9"/>
    <w:rsid w:val="007515C8"/>
    <w:rsid w:val="007517D1"/>
    <w:rsid w:val="00751C18"/>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D76"/>
    <w:rsid w:val="00764E4E"/>
    <w:rsid w:val="00764EB8"/>
    <w:rsid w:val="00765098"/>
    <w:rsid w:val="0076598E"/>
    <w:rsid w:val="00765C9C"/>
    <w:rsid w:val="00765FDC"/>
    <w:rsid w:val="00766559"/>
    <w:rsid w:val="007667D5"/>
    <w:rsid w:val="00766B0E"/>
    <w:rsid w:val="00766BFB"/>
    <w:rsid w:val="00766DFE"/>
    <w:rsid w:val="0076731C"/>
    <w:rsid w:val="00767416"/>
    <w:rsid w:val="0076747C"/>
    <w:rsid w:val="007678B6"/>
    <w:rsid w:val="007706B4"/>
    <w:rsid w:val="00770CEE"/>
    <w:rsid w:val="007717C2"/>
    <w:rsid w:val="007721AD"/>
    <w:rsid w:val="007726F2"/>
    <w:rsid w:val="007726FD"/>
    <w:rsid w:val="00772D15"/>
    <w:rsid w:val="00772DAA"/>
    <w:rsid w:val="00772DC3"/>
    <w:rsid w:val="007733C4"/>
    <w:rsid w:val="0077432A"/>
    <w:rsid w:val="007743A1"/>
    <w:rsid w:val="007744EF"/>
    <w:rsid w:val="007748AB"/>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6DA"/>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070C"/>
    <w:rsid w:val="007916D2"/>
    <w:rsid w:val="007917DA"/>
    <w:rsid w:val="00791A57"/>
    <w:rsid w:val="00791ADE"/>
    <w:rsid w:val="00791BEA"/>
    <w:rsid w:val="00791ED9"/>
    <w:rsid w:val="007926B7"/>
    <w:rsid w:val="00792CE2"/>
    <w:rsid w:val="00792ECC"/>
    <w:rsid w:val="00792EE2"/>
    <w:rsid w:val="007939C7"/>
    <w:rsid w:val="00793F70"/>
    <w:rsid w:val="007947FB"/>
    <w:rsid w:val="00794A46"/>
    <w:rsid w:val="00794D80"/>
    <w:rsid w:val="007954AC"/>
    <w:rsid w:val="0079601B"/>
    <w:rsid w:val="007962E1"/>
    <w:rsid w:val="0079663F"/>
    <w:rsid w:val="00796F91"/>
    <w:rsid w:val="00797BF1"/>
    <w:rsid w:val="00797DAA"/>
    <w:rsid w:val="00797F92"/>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84F"/>
    <w:rsid w:val="007A4AF1"/>
    <w:rsid w:val="007A4CAC"/>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5CB5"/>
    <w:rsid w:val="007B630D"/>
    <w:rsid w:val="007B697F"/>
    <w:rsid w:val="007B6E6A"/>
    <w:rsid w:val="007C0880"/>
    <w:rsid w:val="007C0BD2"/>
    <w:rsid w:val="007C0F3A"/>
    <w:rsid w:val="007C1065"/>
    <w:rsid w:val="007C1537"/>
    <w:rsid w:val="007C1B94"/>
    <w:rsid w:val="007C237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9A0"/>
    <w:rsid w:val="007C6D8A"/>
    <w:rsid w:val="007C722C"/>
    <w:rsid w:val="007C7B18"/>
    <w:rsid w:val="007C7EF3"/>
    <w:rsid w:val="007D0081"/>
    <w:rsid w:val="007D020B"/>
    <w:rsid w:val="007D0677"/>
    <w:rsid w:val="007D0779"/>
    <w:rsid w:val="007D096E"/>
    <w:rsid w:val="007D098C"/>
    <w:rsid w:val="007D11B6"/>
    <w:rsid w:val="007D149C"/>
    <w:rsid w:val="007D1558"/>
    <w:rsid w:val="007D1B7C"/>
    <w:rsid w:val="007D214A"/>
    <w:rsid w:val="007D2419"/>
    <w:rsid w:val="007D26C0"/>
    <w:rsid w:val="007D357E"/>
    <w:rsid w:val="007D3889"/>
    <w:rsid w:val="007D39A2"/>
    <w:rsid w:val="007D39D7"/>
    <w:rsid w:val="007D3B96"/>
    <w:rsid w:val="007D3ED3"/>
    <w:rsid w:val="007D4703"/>
    <w:rsid w:val="007D4BC3"/>
    <w:rsid w:val="007D4FF2"/>
    <w:rsid w:val="007D512C"/>
    <w:rsid w:val="007D526F"/>
    <w:rsid w:val="007D52B8"/>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3962"/>
    <w:rsid w:val="007E48CD"/>
    <w:rsid w:val="007E48E4"/>
    <w:rsid w:val="007E4ACA"/>
    <w:rsid w:val="007E4F0D"/>
    <w:rsid w:val="007E531F"/>
    <w:rsid w:val="007E5A14"/>
    <w:rsid w:val="007E5D60"/>
    <w:rsid w:val="007E5FFD"/>
    <w:rsid w:val="007E600F"/>
    <w:rsid w:val="007E6735"/>
    <w:rsid w:val="007E67F4"/>
    <w:rsid w:val="007E6EF1"/>
    <w:rsid w:val="007E7B2B"/>
    <w:rsid w:val="007E7BC1"/>
    <w:rsid w:val="007E7CBA"/>
    <w:rsid w:val="007F05E0"/>
    <w:rsid w:val="007F0B77"/>
    <w:rsid w:val="007F0DD3"/>
    <w:rsid w:val="007F0EEB"/>
    <w:rsid w:val="007F18C0"/>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BA7"/>
    <w:rsid w:val="00803E2E"/>
    <w:rsid w:val="008041E1"/>
    <w:rsid w:val="0080423A"/>
    <w:rsid w:val="00804867"/>
    <w:rsid w:val="008049EE"/>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A1D"/>
    <w:rsid w:val="00812FD5"/>
    <w:rsid w:val="008131BA"/>
    <w:rsid w:val="0081389D"/>
    <w:rsid w:val="00813CE0"/>
    <w:rsid w:val="00813FA5"/>
    <w:rsid w:val="0081433F"/>
    <w:rsid w:val="008143A0"/>
    <w:rsid w:val="008143AB"/>
    <w:rsid w:val="00814423"/>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7B6"/>
    <w:rsid w:val="00820DF1"/>
    <w:rsid w:val="00821599"/>
    <w:rsid w:val="0082172C"/>
    <w:rsid w:val="00821A4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6E3"/>
    <w:rsid w:val="00836A0A"/>
    <w:rsid w:val="00836B5B"/>
    <w:rsid w:val="00836FC2"/>
    <w:rsid w:val="00837034"/>
    <w:rsid w:val="0083768C"/>
    <w:rsid w:val="00837B05"/>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29"/>
    <w:rsid w:val="008620C2"/>
    <w:rsid w:val="00862173"/>
    <w:rsid w:val="00862290"/>
    <w:rsid w:val="008626B0"/>
    <w:rsid w:val="00862988"/>
    <w:rsid w:val="00863479"/>
    <w:rsid w:val="008635F0"/>
    <w:rsid w:val="00863870"/>
    <w:rsid w:val="00863AA0"/>
    <w:rsid w:val="00863BAB"/>
    <w:rsid w:val="008644EC"/>
    <w:rsid w:val="00864A9F"/>
    <w:rsid w:val="008650AB"/>
    <w:rsid w:val="00865696"/>
    <w:rsid w:val="00865D4C"/>
    <w:rsid w:val="00865DE1"/>
    <w:rsid w:val="00866453"/>
    <w:rsid w:val="00866781"/>
    <w:rsid w:val="00867F66"/>
    <w:rsid w:val="00867F91"/>
    <w:rsid w:val="00870018"/>
    <w:rsid w:val="008706C1"/>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96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ED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3E23"/>
    <w:rsid w:val="00894304"/>
    <w:rsid w:val="00895243"/>
    <w:rsid w:val="00895A0C"/>
    <w:rsid w:val="0089609B"/>
    <w:rsid w:val="008966A5"/>
    <w:rsid w:val="00896A6F"/>
    <w:rsid w:val="00896D10"/>
    <w:rsid w:val="00896DF5"/>
    <w:rsid w:val="008A0173"/>
    <w:rsid w:val="008A0339"/>
    <w:rsid w:val="008A03A0"/>
    <w:rsid w:val="008A0473"/>
    <w:rsid w:val="008A04C7"/>
    <w:rsid w:val="008A111D"/>
    <w:rsid w:val="008A1575"/>
    <w:rsid w:val="008A197B"/>
    <w:rsid w:val="008A1C65"/>
    <w:rsid w:val="008A1C6C"/>
    <w:rsid w:val="008A1EA1"/>
    <w:rsid w:val="008A24BD"/>
    <w:rsid w:val="008A2AAE"/>
    <w:rsid w:val="008A2AC4"/>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9A8"/>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9DE"/>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0ED"/>
    <w:rsid w:val="008C59D5"/>
    <w:rsid w:val="008C5B10"/>
    <w:rsid w:val="008C6C7A"/>
    <w:rsid w:val="008C6F4F"/>
    <w:rsid w:val="008C74CC"/>
    <w:rsid w:val="008C7F77"/>
    <w:rsid w:val="008D02CB"/>
    <w:rsid w:val="008D0436"/>
    <w:rsid w:val="008D0459"/>
    <w:rsid w:val="008D05D2"/>
    <w:rsid w:val="008D13DC"/>
    <w:rsid w:val="008D149D"/>
    <w:rsid w:val="008D1760"/>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B89"/>
    <w:rsid w:val="008F3D2D"/>
    <w:rsid w:val="008F3D7C"/>
    <w:rsid w:val="008F3DC9"/>
    <w:rsid w:val="008F4107"/>
    <w:rsid w:val="008F473A"/>
    <w:rsid w:val="008F4BFE"/>
    <w:rsid w:val="008F4E3F"/>
    <w:rsid w:val="008F5184"/>
    <w:rsid w:val="008F595E"/>
    <w:rsid w:val="008F5DC1"/>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0F61"/>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5DD3"/>
    <w:rsid w:val="0091610F"/>
    <w:rsid w:val="009161BA"/>
    <w:rsid w:val="00916827"/>
    <w:rsid w:val="00917EE5"/>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3E70"/>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27993"/>
    <w:rsid w:val="00930305"/>
    <w:rsid w:val="0093063D"/>
    <w:rsid w:val="0093135E"/>
    <w:rsid w:val="0093195D"/>
    <w:rsid w:val="00932109"/>
    <w:rsid w:val="00932130"/>
    <w:rsid w:val="009322AC"/>
    <w:rsid w:val="009324B1"/>
    <w:rsid w:val="009327B5"/>
    <w:rsid w:val="00932907"/>
    <w:rsid w:val="00932A16"/>
    <w:rsid w:val="00932A20"/>
    <w:rsid w:val="0093311E"/>
    <w:rsid w:val="00933536"/>
    <w:rsid w:val="00933D61"/>
    <w:rsid w:val="00933DE4"/>
    <w:rsid w:val="0093457F"/>
    <w:rsid w:val="009355F0"/>
    <w:rsid w:val="00935B52"/>
    <w:rsid w:val="00936951"/>
    <w:rsid w:val="00936A90"/>
    <w:rsid w:val="009370A6"/>
    <w:rsid w:val="00937AC7"/>
    <w:rsid w:val="00937C54"/>
    <w:rsid w:val="00937D15"/>
    <w:rsid w:val="009406F4"/>
    <w:rsid w:val="00940886"/>
    <w:rsid w:val="00940A5D"/>
    <w:rsid w:val="00940BCB"/>
    <w:rsid w:val="00940D85"/>
    <w:rsid w:val="00940DF4"/>
    <w:rsid w:val="00940FB5"/>
    <w:rsid w:val="0094148B"/>
    <w:rsid w:val="009419E2"/>
    <w:rsid w:val="00941A1C"/>
    <w:rsid w:val="00941B97"/>
    <w:rsid w:val="00942BB8"/>
    <w:rsid w:val="0094335F"/>
    <w:rsid w:val="00943D09"/>
    <w:rsid w:val="00944202"/>
    <w:rsid w:val="00944335"/>
    <w:rsid w:val="00944710"/>
    <w:rsid w:val="00944AF4"/>
    <w:rsid w:val="00944D54"/>
    <w:rsid w:val="00945248"/>
    <w:rsid w:val="00945687"/>
    <w:rsid w:val="00945E49"/>
    <w:rsid w:val="009462D8"/>
    <w:rsid w:val="00946388"/>
    <w:rsid w:val="009475FA"/>
    <w:rsid w:val="009503B1"/>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2B9"/>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4D4"/>
    <w:rsid w:val="00964E3C"/>
    <w:rsid w:val="00964E69"/>
    <w:rsid w:val="0096504D"/>
    <w:rsid w:val="009654F0"/>
    <w:rsid w:val="009659EA"/>
    <w:rsid w:val="0096691D"/>
    <w:rsid w:val="00966EC4"/>
    <w:rsid w:val="0096766C"/>
    <w:rsid w:val="00967851"/>
    <w:rsid w:val="00967B25"/>
    <w:rsid w:val="00967D2D"/>
    <w:rsid w:val="00970EC2"/>
    <w:rsid w:val="00970F7A"/>
    <w:rsid w:val="00970FE3"/>
    <w:rsid w:val="00971190"/>
    <w:rsid w:val="00971EC5"/>
    <w:rsid w:val="00971F6B"/>
    <w:rsid w:val="00971FCC"/>
    <w:rsid w:val="0097217F"/>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7EA"/>
    <w:rsid w:val="009749D4"/>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6BC9"/>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3CA"/>
    <w:rsid w:val="009954AD"/>
    <w:rsid w:val="00995580"/>
    <w:rsid w:val="00996546"/>
    <w:rsid w:val="0099697F"/>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1392"/>
    <w:rsid w:val="009B3221"/>
    <w:rsid w:val="009B346F"/>
    <w:rsid w:val="009B3745"/>
    <w:rsid w:val="009B3C79"/>
    <w:rsid w:val="009B4821"/>
    <w:rsid w:val="009B4BED"/>
    <w:rsid w:val="009B4C24"/>
    <w:rsid w:val="009B5821"/>
    <w:rsid w:val="009B59B0"/>
    <w:rsid w:val="009B616B"/>
    <w:rsid w:val="009B633E"/>
    <w:rsid w:val="009B68AD"/>
    <w:rsid w:val="009B6C13"/>
    <w:rsid w:val="009B7865"/>
    <w:rsid w:val="009B7BB7"/>
    <w:rsid w:val="009B7FFA"/>
    <w:rsid w:val="009C00EF"/>
    <w:rsid w:val="009C0BC1"/>
    <w:rsid w:val="009C0D53"/>
    <w:rsid w:val="009C0DBE"/>
    <w:rsid w:val="009C10DF"/>
    <w:rsid w:val="009C1A35"/>
    <w:rsid w:val="009C1A44"/>
    <w:rsid w:val="009C1D4B"/>
    <w:rsid w:val="009C1E0C"/>
    <w:rsid w:val="009C281C"/>
    <w:rsid w:val="009C3D88"/>
    <w:rsid w:val="009C4EED"/>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B6F"/>
    <w:rsid w:val="009D2C43"/>
    <w:rsid w:val="009D3CC0"/>
    <w:rsid w:val="009D3D45"/>
    <w:rsid w:val="009D422C"/>
    <w:rsid w:val="009D4303"/>
    <w:rsid w:val="009D478C"/>
    <w:rsid w:val="009D484D"/>
    <w:rsid w:val="009D49A4"/>
    <w:rsid w:val="009D4A8E"/>
    <w:rsid w:val="009D4DA3"/>
    <w:rsid w:val="009D5440"/>
    <w:rsid w:val="009D610C"/>
    <w:rsid w:val="009D62E7"/>
    <w:rsid w:val="009D6628"/>
    <w:rsid w:val="009D75A4"/>
    <w:rsid w:val="009D7A12"/>
    <w:rsid w:val="009E11A9"/>
    <w:rsid w:val="009E176B"/>
    <w:rsid w:val="009E1E13"/>
    <w:rsid w:val="009E1F70"/>
    <w:rsid w:val="009E1FFC"/>
    <w:rsid w:val="009E2301"/>
    <w:rsid w:val="009E2F97"/>
    <w:rsid w:val="009E3235"/>
    <w:rsid w:val="009E3790"/>
    <w:rsid w:val="009E457F"/>
    <w:rsid w:val="009E53AA"/>
    <w:rsid w:val="009E53D6"/>
    <w:rsid w:val="009E5527"/>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0D73"/>
    <w:rsid w:val="00A01006"/>
    <w:rsid w:val="00A011C6"/>
    <w:rsid w:val="00A02B26"/>
    <w:rsid w:val="00A03156"/>
    <w:rsid w:val="00A0377B"/>
    <w:rsid w:val="00A03893"/>
    <w:rsid w:val="00A0394B"/>
    <w:rsid w:val="00A04541"/>
    <w:rsid w:val="00A04846"/>
    <w:rsid w:val="00A04A92"/>
    <w:rsid w:val="00A054B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35"/>
    <w:rsid w:val="00A11ACA"/>
    <w:rsid w:val="00A11B10"/>
    <w:rsid w:val="00A11E0F"/>
    <w:rsid w:val="00A121EA"/>
    <w:rsid w:val="00A12206"/>
    <w:rsid w:val="00A12301"/>
    <w:rsid w:val="00A1260C"/>
    <w:rsid w:val="00A128BA"/>
    <w:rsid w:val="00A12A73"/>
    <w:rsid w:val="00A12A88"/>
    <w:rsid w:val="00A12BEE"/>
    <w:rsid w:val="00A12DEE"/>
    <w:rsid w:val="00A12EE8"/>
    <w:rsid w:val="00A131A4"/>
    <w:rsid w:val="00A13511"/>
    <w:rsid w:val="00A13715"/>
    <w:rsid w:val="00A13CF1"/>
    <w:rsid w:val="00A13FC1"/>
    <w:rsid w:val="00A143C6"/>
    <w:rsid w:val="00A144A2"/>
    <w:rsid w:val="00A145D0"/>
    <w:rsid w:val="00A14743"/>
    <w:rsid w:val="00A14B5D"/>
    <w:rsid w:val="00A15020"/>
    <w:rsid w:val="00A155C7"/>
    <w:rsid w:val="00A1562F"/>
    <w:rsid w:val="00A157EC"/>
    <w:rsid w:val="00A16150"/>
    <w:rsid w:val="00A1630A"/>
    <w:rsid w:val="00A1637F"/>
    <w:rsid w:val="00A16A02"/>
    <w:rsid w:val="00A16B03"/>
    <w:rsid w:val="00A17345"/>
    <w:rsid w:val="00A1789B"/>
    <w:rsid w:val="00A1790D"/>
    <w:rsid w:val="00A20253"/>
    <w:rsid w:val="00A2049C"/>
    <w:rsid w:val="00A205BF"/>
    <w:rsid w:val="00A2104B"/>
    <w:rsid w:val="00A210E9"/>
    <w:rsid w:val="00A218AE"/>
    <w:rsid w:val="00A21A9D"/>
    <w:rsid w:val="00A21AAA"/>
    <w:rsid w:val="00A21E51"/>
    <w:rsid w:val="00A22132"/>
    <w:rsid w:val="00A22207"/>
    <w:rsid w:val="00A226BE"/>
    <w:rsid w:val="00A22D9C"/>
    <w:rsid w:val="00A231C3"/>
    <w:rsid w:val="00A23345"/>
    <w:rsid w:val="00A23921"/>
    <w:rsid w:val="00A24111"/>
    <w:rsid w:val="00A24150"/>
    <w:rsid w:val="00A2470A"/>
    <w:rsid w:val="00A2481C"/>
    <w:rsid w:val="00A24CCF"/>
    <w:rsid w:val="00A25A28"/>
    <w:rsid w:val="00A261E4"/>
    <w:rsid w:val="00A26883"/>
    <w:rsid w:val="00A26D60"/>
    <w:rsid w:val="00A26EE0"/>
    <w:rsid w:val="00A27C60"/>
    <w:rsid w:val="00A30300"/>
    <w:rsid w:val="00A3072C"/>
    <w:rsid w:val="00A30BAE"/>
    <w:rsid w:val="00A31093"/>
    <w:rsid w:val="00A313D0"/>
    <w:rsid w:val="00A314A9"/>
    <w:rsid w:val="00A31591"/>
    <w:rsid w:val="00A3170C"/>
    <w:rsid w:val="00A31736"/>
    <w:rsid w:val="00A31C37"/>
    <w:rsid w:val="00A31E88"/>
    <w:rsid w:val="00A321EE"/>
    <w:rsid w:val="00A325C2"/>
    <w:rsid w:val="00A325CC"/>
    <w:rsid w:val="00A3261B"/>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884"/>
    <w:rsid w:val="00A44AA5"/>
    <w:rsid w:val="00A44E28"/>
    <w:rsid w:val="00A4570E"/>
    <w:rsid w:val="00A45A3B"/>
    <w:rsid w:val="00A46FAD"/>
    <w:rsid w:val="00A470ED"/>
    <w:rsid w:val="00A4728F"/>
    <w:rsid w:val="00A47430"/>
    <w:rsid w:val="00A4761F"/>
    <w:rsid w:val="00A47B4B"/>
    <w:rsid w:val="00A5044D"/>
    <w:rsid w:val="00A50B00"/>
    <w:rsid w:val="00A50F85"/>
    <w:rsid w:val="00A511FB"/>
    <w:rsid w:val="00A514EB"/>
    <w:rsid w:val="00A51561"/>
    <w:rsid w:val="00A51CC5"/>
    <w:rsid w:val="00A51D48"/>
    <w:rsid w:val="00A521E0"/>
    <w:rsid w:val="00A528C1"/>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948"/>
    <w:rsid w:val="00A57C08"/>
    <w:rsid w:val="00A57F96"/>
    <w:rsid w:val="00A6098D"/>
    <w:rsid w:val="00A61828"/>
    <w:rsid w:val="00A620AA"/>
    <w:rsid w:val="00A62953"/>
    <w:rsid w:val="00A62961"/>
    <w:rsid w:val="00A62D25"/>
    <w:rsid w:val="00A630F5"/>
    <w:rsid w:val="00A6349F"/>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0B08"/>
    <w:rsid w:val="00A7130F"/>
    <w:rsid w:val="00A7141F"/>
    <w:rsid w:val="00A716D6"/>
    <w:rsid w:val="00A71D6B"/>
    <w:rsid w:val="00A71DB0"/>
    <w:rsid w:val="00A72DF9"/>
    <w:rsid w:val="00A73873"/>
    <w:rsid w:val="00A73C2E"/>
    <w:rsid w:val="00A744A2"/>
    <w:rsid w:val="00A745D9"/>
    <w:rsid w:val="00A74A36"/>
    <w:rsid w:val="00A74E04"/>
    <w:rsid w:val="00A74F6C"/>
    <w:rsid w:val="00A75212"/>
    <w:rsid w:val="00A7538B"/>
    <w:rsid w:val="00A75857"/>
    <w:rsid w:val="00A75920"/>
    <w:rsid w:val="00A7596E"/>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7B5"/>
    <w:rsid w:val="00AA1D12"/>
    <w:rsid w:val="00AA1EEC"/>
    <w:rsid w:val="00AA210C"/>
    <w:rsid w:val="00AA29F2"/>
    <w:rsid w:val="00AA2CD8"/>
    <w:rsid w:val="00AA2D01"/>
    <w:rsid w:val="00AA30A2"/>
    <w:rsid w:val="00AA34E4"/>
    <w:rsid w:val="00AA3927"/>
    <w:rsid w:val="00AA3B44"/>
    <w:rsid w:val="00AA3FF1"/>
    <w:rsid w:val="00AA461D"/>
    <w:rsid w:val="00AA4757"/>
    <w:rsid w:val="00AA475A"/>
    <w:rsid w:val="00AA4B1B"/>
    <w:rsid w:val="00AA5584"/>
    <w:rsid w:val="00AA5A5A"/>
    <w:rsid w:val="00AA6026"/>
    <w:rsid w:val="00AA6206"/>
    <w:rsid w:val="00AA630A"/>
    <w:rsid w:val="00AA69EF"/>
    <w:rsid w:val="00AA6B64"/>
    <w:rsid w:val="00AA6F9A"/>
    <w:rsid w:val="00AA7C4F"/>
    <w:rsid w:val="00AB001C"/>
    <w:rsid w:val="00AB02C8"/>
    <w:rsid w:val="00AB0699"/>
    <w:rsid w:val="00AB06B8"/>
    <w:rsid w:val="00AB0ADE"/>
    <w:rsid w:val="00AB0CA0"/>
    <w:rsid w:val="00AB102D"/>
    <w:rsid w:val="00AB1A33"/>
    <w:rsid w:val="00AB1C99"/>
    <w:rsid w:val="00AB272E"/>
    <w:rsid w:val="00AB2857"/>
    <w:rsid w:val="00AB29E8"/>
    <w:rsid w:val="00AB3299"/>
    <w:rsid w:val="00AB33CB"/>
    <w:rsid w:val="00AB3418"/>
    <w:rsid w:val="00AB3491"/>
    <w:rsid w:val="00AB3D94"/>
    <w:rsid w:val="00AB3D9F"/>
    <w:rsid w:val="00AB3E16"/>
    <w:rsid w:val="00AB3E3E"/>
    <w:rsid w:val="00AB3ED9"/>
    <w:rsid w:val="00AB3F13"/>
    <w:rsid w:val="00AB40A9"/>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AFB"/>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158"/>
    <w:rsid w:val="00AD33C3"/>
    <w:rsid w:val="00AD34A1"/>
    <w:rsid w:val="00AD391C"/>
    <w:rsid w:val="00AD3BEC"/>
    <w:rsid w:val="00AD48F9"/>
    <w:rsid w:val="00AD514B"/>
    <w:rsid w:val="00AD574F"/>
    <w:rsid w:val="00AD59C9"/>
    <w:rsid w:val="00AD6C7F"/>
    <w:rsid w:val="00AD70C9"/>
    <w:rsid w:val="00AD717D"/>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5EA5"/>
    <w:rsid w:val="00AE6433"/>
    <w:rsid w:val="00AE646D"/>
    <w:rsid w:val="00AE6584"/>
    <w:rsid w:val="00AE69BD"/>
    <w:rsid w:val="00AE6D12"/>
    <w:rsid w:val="00AE6EEB"/>
    <w:rsid w:val="00AE723D"/>
    <w:rsid w:val="00AE7992"/>
    <w:rsid w:val="00AF0801"/>
    <w:rsid w:val="00AF1414"/>
    <w:rsid w:val="00AF2273"/>
    <w:rsid w:val="00AF28B0"/>
    <w:rsid w:val="00AF29A2"/>
    <w:rsid w:val="00AF2DED"/>
    <w:rsid w:val="00AF3C80"/>
    <w:rsid w:val="00AF3C8C"/>
    <w:rsid w:val="00AF41FC"/>
    <w:rsid w:val="00AF457C"/>
    <w:rsid w:val="00AF4648"/>
    <w:rsid w:val="00AF4659"/>
    <w:rsid w:val="00AF5021"/>
    <w:rsid w:val="00AF5363"/>
    <w:rsid w:val="00AF5954"/>
    <w:rsid w:val="00AF5EEE"/>
    <w:rsid w:val="00AF5F78"/>
    <w:rsid w:val="00AF63A9"/>
    <w:rsid w:val="00AF6591"/>
    <w:rsid w:val="00AF66F1"/>
    <w:rsid w:val="00AF67C9"/>
    <w:rsid w:val="00AF6AE3"/>
    <w:rsid w:val="00AF6B1B"/>
    <w:rsid w:val="00AF7075"/>
    <w:rsid w:val="00AF7199"/>
    <w:rsid w:val="00AF738A"/>
    <w:rsid w:val="00AF76CE"/>
    <w:rsid w:val="00AF7F09"/>
    <w:rsid w:val="00B002BA"/>
    <w:rsid w:val="00B00306"/>
    <w:rsid w:val="00B00D62"/>
    <w:rsid w:val="00B010D3"/>
    <w:rsid w:val="00B01A7A"/>
    <w:rsid w:val="00B01CC2"/>
    <w:rsid w:val="00B01F0D"/>
    <w:rsid w:val="00B02014"/>
    <w:rsid w:val="00B0226B"/>
    <w:rsid w:val="00B0226D"/>
    <w:rsid w:val="00B023FC"/>
    <w:rsid w:val="00B025E6"/>
    <w:rsid w:val="00B02A4C"/>
    <w:rsid w:val="00B03101"/>
    <w:rsid w:val="00B039CE"/>
    <w:rsid w:val="00B03D26"/>
    <w:rsid w:val="00B04C05"/>
    <w:rsid w:val="00B04D36"/>
    <w:rsid w:val="00B04EB4"/>
    <w:rsid w:val="00B04F11"/>
    <w:rsid w:val="00B054CE"/>
    <w:rsid w:val="00B05688"/>
    <w:rsid w:val="00B06A4D"/>
    <w:rsid w:val="00B06AF4"/>
    <w:rsid w:val="00B06C77"/>
    <w:rsid w:val="00B075EC"/>
    <w:rsid w:val="00B07CBE"/>
    <w:rsid w:val="00B07F35"/>
    <w:rsid w:val="00B10182"/>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0E0"/>
    <w:rsid w:val="00B2527C"/>
    <w:rsid w:val="00B254EC"/>
    <w:rsid w:val="00B25585"/>
    <w:rsid w:val="00B25A70"/>
    <w:rsid w:val="00B25BD8"/>
    <w:rsid w:val="00B25E1D"/>
    <w:rsid w:val="00B25F9A"/>
    <w:rsid w:val="00B2613A"/>
    <w:rsid w:val="00B269CE"/>
    <w:rsid w:val="00B26ABF"/>
    <w:rsid w:val="00B26D34"/>
    <w:rsid w:val="00B2757B"/>
    <w:rsid w:val="00B27D47"/>
    <w:rsid w:val="00B27D54"/>
    <w:rsid w:val="00B305BC"/>
    <w:rsid w:val="00B305C0"/>
    <w:rsid w:val="00B31E5F"/>
    <w:rsid w:val="00B32607"/>
    <w:rsid w:val="00B326BE"/>
    <w:rsid w:val="00B32821"/>
    <w:rsid w:val="00B32CE3"/>
    <w:rsid w:val="00B32D0F"/>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09CE"/>
    <w:rsid w:val="00B51346"/>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606"/>
    <w:rsid w:val="00B607B8"/>
    <w:rsid w:val="00B60E6E"/>
    <w:rsid w:val="00B6184F"/>
    <w:rsid w:val="00B619AF"/>
    <w:rsid w:val="00B61B85"/>
    <w:rsid w:val="00B61CFF"/>
    <w:rsid w:val="00B61F70"/>
    <w:rsid w:val="00B6237B"/>
    <w:rsid w:val="00B62650"/>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052"/>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6B"/>
    <w:rsid w:val="00B830F7"/>
    <w:rsid w:val="00B8321E"/>
    <w:rsid w:val="00B83AC3"/>
    <w:rsid w:val="00B83BFB"/>
    <w:rsid w:val="00B83DF6"/>
    <w:rsid w:val="00B8408E"/>
    <w:rsid w:val="00B84BE8"/>
    <w:rsid w:val="00B85516"/>
    <w:rsid w:val="00B85E03"/>
    <w:rsid w:val="00B85F67"/>
    <w:rsid w:val="00B85FF9"/>
    <w:rsid w:val="00B86557"/>
    <w:rsid w:val="00B86734"/>
    <w:rsid w:val="00B8692C"/>
    <w:rsid w:val="00B86BDC"/>
    <w:rsid w:val="00B86F3D"/>
    <w:rsid w:val="00B874FB"/>
    <w:rsid w:val="00B8769E"/>
    <w:rsid w:val="00B87C95"/>
    <w:rsid w:val="00B87E43"/>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B3F"/>
    <w:rsid w:val="00BA4D43"/>
    <w:rsid w:val="00BA5346"/>
    <w:rsid w:val="00BA54FB"/>
    <w:rsid w:val="00BA5B0F"/>
    <w:rsid w:val="00BA5C97"/>
    <w:rsid w:val="00BA5EFB"/>
    <w:rsid w:val="00BA6282"/>
    <w:rsid w:val="00BA659A"/>
    <w:rsid w:val="00BA6822"/>
    <w:rsid w:val="00BA68C1"/>
    <w:rsid w:val="00BA6CFD"/>
    <w:rsid w:val="00BA7423"/>
    <w:rsid w:val="00BA7541"/>
    <w:rsid w:val="00BA7688"/>
    <w:rsid w:val="00BA7EB0"/>
    <w:rsid w:val="00BB0214"/>
    <w:rsid w:val="00BB0312"/>
    <w:rsid w:val="00BB0528"/>
    <w:rsid w:val="00BB070E"/>
    <w:rsid w:val="00BB0B3E"/>
    <w:rsid w:val="00BB0D58"/>
    <w:rsid w:val="00BB0D75"/>
    <w:rsid w:val="00BB1966"/>
    <w:rsid w:val="00BB1B24"/>
    <w:rsid w:val="00BB1C4F"/>
    <w:rsid w:val="00BB1D50"/>
    <w:rsid w:val="00BB1DA2"/>
    <w:rsid w:val="00BB225D"/>
    <w:rsid w:val="00BB3355"/>
    <w:rsid w:val="00BB365A"/>
    <w:rsid w:val="00BB3B44"/>
    <w:rsid w:val="00BB3F4C"/>
    <w:rsid w:val="00BB3F8F"/>
    <w:rsid w:val="00BB424D"/>
    <w:rsid w:val="00BB4892"/>
    <w:rsid w:val="00BB4A42"/>
    <w:rsid w:val="00BB5321"/>
    <w:rsid w:val="00BB53CC"/>
    <w:rsid w:val="00BB56F2"/>
    <w:rsid w:val="00BB56F3"/>
    <w:rsid w:val="00BB61DC"/>
    <w:rsid w:val="00BB6431"/>
    <w:rsid w:val="00BB6472"/>
    <w:rsid w:val="00BB6C81"/>
    <w:rsid w:val="00BB6DD9"/>
    <w:rsid w:val="00BB71EC"/>
    <w:rsid w:val="00BB723D"/>
    <w:rsid w:val="00BB724B"/>
    <w:rsid w:val="00BB7634"/>
    <w:rsid w:val="00BC01F2"/>
    <w:rsid w:val="00BC07E5"/>
    <w:rsid w:val="00BC0D30"/>
    <w:rsid w:val="00BC16BF"/>
    <w:rsid w:val="00BC1A03"/>
    <w:rsid w:val="00BC1A99"/>
    <w:rsid w:val="00BC201A"/>
    <w:rsid w:val="00BC2BC7"/>
    <w:rsid w:val="00BC2F45"/>
    <w:rsid w:val="00BC321B"/>
    <w:rsid w:val="00BC344E"/>
    <w:rsid w:val="00BC38B8"/>
    <w:rsid w:val="00BC3CF8"/>
    <w:rsid w:val="00BC3FE8"/>
    <w:rsid w:val="00BC499E"/>
    <w:rsid w:val="00BC5865"/>
    <w:rsid w:val="00BC5CE2"/>
    <w:rsid w:val="00BC70D5"/>
    <w:rsid w:val="00BC71C5"/>
    <w:rsid w:val="00BC7659"/>
    <w:rsid w:val="00BC77C9"/>
    <w:rsid w:val="00BC7A42"/>
    <w:rsid w:val="00BC7D3D"/>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EA0"/>
    <w:rsid w:val="00BE403F"/>
    <w:rsid w:val="00BE475F"/>
    <w:rsid w:val="00BE5519"/>
    <w:rsid w:val="00BE57B1"/>
    <w:rsid w:val="00BE5813"/>
    <w:rsid w:val="00BE65B3"/>
    <w:rsid w:val="00BE6668"/>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475"/>
    <w:rsid w:val="00BF56A8"/>
    <w:rsid w:val="00BF60E3"/>
    <w:rsid w:val="00BF683A"/>
    <w:rsid w:val="00BF6C19"/>
    <w:rsid w:val="00BF6FBF"/>
    <w:rsid w:val="00BF6FF4"/>
    <w:rsid w:val="00BF70A1"/>
    <w:rsid w:val="00BF70F8"/>
    <w:rsid w:val="00BF7AE6"/>
    <w:rsid w:val="00BF7D39"/>
    <w:rsid w:val="00BF7D43"/>
    <w:rsid w:val="00C00630"/>
    <w:rsid w:val="00C00F1A"/>
    <w:rsid w:val="00C010F5"/>
    <w:rsid w:val="00C0150C"/>
    <w:rsid w:val="00C01835"/>
    <w:rsid w:val="00C01866"/>
    <w:rsid w:val="00C02192"/>
    <w:rsid w:val="00C023FA"/>
    <w:rsid w:val="00C02CDE"/>
    <w:rsid w:val="00C02FF6"/>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0E6E"/>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E49"/>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84A"/>
    <w:rsid w:val="00C24CA2"/>
    <w:rsid w:val="00C24EE5"/>
    <w:rsid w:val="00C24F74"/>
    <w:rsid w:val="00C250CF"/>
    <w:rsid w:val="00C2544D"/>
    <w:rsid w:val="00C25B38"/>
    <w:rsid w:val="00C25D3A"/>
    <w:rsid w:val="00C263AE"/>
    <w:rsid w:val="00C26846"/>
    <w:rsid w:val="00C26871"/>
    <w:rsid w:val="00C2695A"/>
    <w:rsid w:val="00C2714A"/>
    <w:rsid w:val="00C272D2"/>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6F82"/>
    <w:rsid w:val="00C37050"/>
    <w:rsid w:val="00C37493"/>
    <w:rsid w:val="00C37E9C"/>
    <w:rsid w:val="00C37F07"/>
    <w:rsid w:val="00C37F85"/>
    <w:rsid w:val="00C37F8D"/>
    <w:rsid w:val="00C4018E"/>
    <w:rsid w:val="00C404D5"/>
    <w:rsid w:val="00C40B7D"/>
    <w:rsid w:val="00C412F5"/>
    <w:rsid w:val="00C42130"/>
    <w:rsid w:val="00C42784"/>
    <w:rsid w:val="00C429E1"/>
    <w:rsid w:val="00C42C49"/>
    <w:rsid w:val="00C439F0"/>
    <w:rsid w:val="00C43AF6"/>
    <w:rsid w:val="00C43CE7"/>
    <w:rsid w:val="00C44189"/>
    <w:rsid w:val="00C4464F"/>
    <w:rsid w:val="00C447FB"/>
    <w:rsid w:val="00C44ADA"/>
    <w:rsid w:val="00C450B9"/>
    <w:rsid w:val="00C45658"/>
    <w:rsid w:val="00C45A9C"/>
    <w:rsid w:val="00C45B07"/>
    <w:rsid w:val="00C463BB"/>
    <w:rsid w:val="00C46978"/>
    <w:rsid w:val="00C46B53"/>
    <w:rsid w:val="00C46FC8"/>
    <w:rsid w:val="00C470AA"/>
    <w:rsid w:val="00C47AE8"/>
    <w:rsid w:val="00C47D53"/>
    <w:rsid w:val="00C508B7"/>
    <w:rsid w:val="00C50ECE"/>
    <w:rsid w:val="00C51D11"/>
    <w:rsid w:val="00C51FA2"/>
    <w:rsid w:val="00C51FA7"/>
    <w:rsid w:val="00C5257E"/>
    <w:rsid w:val="00C531B4"/>
    <w:rsid w:val="00C532F9"/>
    <w:rsid w:val="00C53E22"/>
    <w:rsid w:val="00C5411D"/>
    <w:rsid w:val="00C5464D"/>
    <w:rsid w:val="00C54C62"/>
    <w:rsid w:val="00C55ADC"/>
    <w:rsid w:val="00C5638E"/>
    <w:rsid w:val="00C5665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ED6"/>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4D6A"/>
    <w:rsid w:val="00C75004"/>
    <w:rsid w:val="00C75579"/>
    <w:rsid w:val="00C755E8"/>
    <w:rsid w:val="00C75970"/>
    <w:rsid w:val="00C75AC4"/>
    <w:rsid w:val="00C75B22"/>
    <w:rsid w:val="00C75C9D"/>
    <w:rsid w:val="00C75F6E"/>
    <w:rsid w:val="00C76A56"/>
    <w:rsid w:val="00C76A6B"/>
    <w:rsid w:val="00C7731D"/>
    <w:rsid w:val="00C7799E"/>
    <w:rsid w:val="00C77DF7"/>
    <w:rsid w:val="00C80547"/>
    <w:rsid w:val="00C80F87"/>
    <w:rsid w:val="00C815F8"/>
    <w:rsid w:val="00C8198E"/>
    <w:rsid w:val="00C81B30"/>
    <w:rsid w:val="00C82141"/>
    <w:rsid w:val="00C82387"/>
    <w:rsid w:val="00C84D86"/>
    <w:rsid w:val="00C8504F"/>
    <w:rsid w:val="00C8534D"/>
    <w:rsid w:val="00C85C20"/>
    <w:rsid w:val="00C8624E"/>
    <w:rsid w:val="00C86379"/>
    <w:rsid w:val="00C864DB"/>
    <w:rsid w:val="00C8753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2FC"/>
    <w:rsid w:val="00C9684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51E9"/>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233"/>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6F54"/>
    <w:rsid w:val="00CC728B"/>
    <w:rsid w:val="00CC7356"/>
    <w:rsid w:val="00CC74D5"/>
    <w:rsid w:val="00CC7A6D"/>
    <w:rsid w:val="00CC7BD9"/>
    <w:rsid w:val="00CC7DF5"/>
    <w:rsid w:val="00CD04B6"/>
    <w:rsid w:val="00CD04FE"/>
    <w:rsid w:val="00CD0740"/>
    <w:rsid w:val="00CD0768"/>
    <w:rsid w:val="00CD0E17"/>
    <w:rsid w:val="00CD0E37"/>
    <w:rsid w:val="00CD14CB"/>
    <w:rsid w:val="00CD179D"/>
    <w:rsid w:val="00CD1E74"/>
    <w:rsid w:val="00CD223B"/>
    <w:rsid w:val="00CD2585"/>
    <w:rsid w:val="00CD25A6"/>
    <w:rsid w:val="00CD283A"/>
    <w:rsid w:val="00CD309B"/>
    <w:rsid w:val="00CD3122"/>
    <w:rsid w:val="00CD325D"/>
    <w:rsid w:val="00CD382A"/>
    <w:rsid w:val="00CD3D0C"/>
    <w:rsid w:val="00CD3E10"/>
    <w:rsid w:val="00CD3F09"/>
    <w:rsid w:val="00CD3FAF"/>
    <w:rsid w:val="00CD42B1"/>
    <w:rsid w:val="00CD492B"/>
    <w:rsid w:val="00CD5C02"/>
    <w:rsid w:val="00CD6122"/>
    <w:rsid w:val="00CD61E3"/>
    <w:rsid w:val="00CD6814"/>
    <w:rsid w:val="00CD6E0B"/>
    <w:rsid w:val="00CD736E"/>
    <w:rsid w:val="00CD787F"/>
    <w:rsid w:val="00CE025E"/>
    <w:rsid w:val="00CE030D"/>
    <w:rsid w:val="00CE03B6"/>
    <w:rsid w:val="00CE05F2"/>
    <w:rsid w:val="00CE0CBF"/>
    <w:rsid w:val="00CE112E"/>
    <w:rsid w:val="00CE1162"/>
    <w:rsid w:val="00CE1225"/>
    <w:rsid w:val="00CE132D"/>
    <w:rsid w:val="00CE14E1"/>
    <w:rsid w:val="00CE152F"/>
    <w:rsid w:val="00CE1A6B"/>
    <w:rsid w:val="00CE212D"/>
    <w:rsid w:val="00CE253D"/>
    <w:rsid w:val="00CE2561"/>
    <w:rsid w:val="00CE3257"/>
    <w:rsid w:val="00CE451C"/>
    <w:rsid w:val="00CE4D13"/>
    <w:rsid w:val="00CE5E50"/>
    <w:rsid w:val="00CE697C"/>
    <w:rsid w:val="00CE69F3"/>
    <w:rsid w:val="00CE6AD5"/>
    <w:rsid w:val="00CE6E24"/>
    <w:rsid w:val="00CE6E7B"/>
    <w:rsid w:val="00CE76BD"/>
    <w:rsid w:val="00CE79BC"/>
    <w:rsid w:val="00CE7A0A"/>
    <w:rsid w:val="00CF02AC"/>
    <w:rsid w:val="00CF057C"/>
    <w:rsid w:val="00CF06E6"/>
    <w:rsid w:val="00CF1422"/>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93C"/>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5EE"/>
    <w:rsid w:val="00D11873"/>
    <w:rsid w:val="00D11B00"/>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379"/>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DC3"/>
    <w:rsid w:val="00D23EAA"/>
    <w:rsid w:val="00D259F3"/>
    <w:rsid w:val="00D261FB"/>
    <w:rsid w:val="00D26283"/>
    <w:rsid w:val="00D263B5"/>
    <w:rsid w:val="00D26586"/>
    <w:rsid w:val="00D267FE"/>
    <w:rsid w:val="00D26DBE"/>
    <w:rsid w:val="00D27F01"/>
    <w:rsid w:val="00D301A3"/>
    <w:rsid w:val="00D30C46"/>
    <w:rsid w:val="00D30FC7"/>
    <w:rsid w:val="00D31B9F"/>
    <w:rsid w:val="00D31BEA"/>
    <w:rsid w:val="00D328E2"/>
    <w:rsid w:val="00D32B6E"/>
    <w:rsid w:val="00D33313"/>
    <w:rsid w:val="00D33410"/>
    <w:rsid w:val="00D33AB3"/>
    <w:rsid w:val="00D33AFC"/>
    <w:rsid w:val="00D33B7C"/>
    <w:rsid w:val="00D33CAF"/>
    <w:rsid w:val="00D3410B"/>
    <w:rsid w:val="00D34402"/>
    <w:rsid w:val="00D344C9"/>
    <w:rsid w:val="00D34F88"/>
    <w:rsid w:val="00D353FF"/>
    <w:rsid w:val="00D3609F"/>
    <w:rsid w:val="00D3610A"/>
    <w:rsid w:val="00D36241"/>
    <w:rsid w:val="00D3646C"/>
    <w:rsid w:val="00D3668C"/>
    <w:rsid w:val="00D369EA"/>
    <w:rsid w:val="00D36C8E"/>
    <w:rsid w:val="00D36D7A"/>
    <w:rsid w:val="00D37953"/>
    <w:rsid w:val="00D37C2D"/>
    <w:rsid w:val="00D404CE"/>
    <w:rsid w:val="00D40E25"/>
    <w:rsid w:val="00D40E78"/>
    <w:rsid w:val="00D41009"/>
    <w:rsid w:val="00D410B5"/>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5FAE"/>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2D0C"/>
    <w:rsid w:val="00D53143"/>
    <w:rsid w:val="00D53768"/>
    <w:rsid w:val="00D53C63"/>
    <w:rsid w:val="00D54C59"/>
    <w:rsid w:val="00D54D88"/>
    <w:rsid w:val="00D55115"/>
    <w:rsid w:val="00D5521C"/>
    <w:rsid w:val="00D552BA"/>
    <w:rsid w:val="00D554E6"/>
    <w:rsid w:val="00D55723"/>
    <w:rsid w:val="00D55B68"/>
    <w:rsid w:val="00D55C37"/>
    <w:rsid w:val="00D560BE"/>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0FE1"/>
    <w:rsid w:val="00D61894"/>
    <w:rsid w:val="00D62243"/>
    <w:rsid w:val="00D6278F"/>
    <w:rsid w:val="00D62949"/>
    <w:rsid w:val="00D62DEC"/>
    <w:rsid w:val="00D62E1A"/>
    <w:rsid w:val="00D63632"/>
    <w:rsid w:val="00D63BAD"/>
    <w:rsid w:val="00D63C5F"/>
    <w:rsid w:val="00D6410E"/>
    <w:rsid w:val="00D6433E"/>
    <w:rsid w:val="00D64346"/>
    <w:rsid w:val="00D6447E"/>
    <w:rsid w:val="00D647F9"/>
    <w:rsid w:val="00D6485C"/>
    <w:rsid w:val="00D64CB8"/>
    <w:rsid w:val="00D65274"/>
    <w:rsid w:val="00D65404"/>
    <w:rsid w:val="00D6575A"/>
    <w:rsid w:val="00D65837"/>
    <w:rsid w:val="00D65AAD"/>
    <w:rsid w:val="00D66022"/>
    <w:rsid w:val="00D66065"/>
    <w:rsid w:val="00D66132"/>
    <w:rsid w:val="00D662E2"/>
    <w:rsid w:val="00D66C7A"/>
    <w:rsid w:val="00D66DAA"/>
    <w:rsid w:val="00D6707D"/>
    <w:rsid w:val="00D7010A"/>
    <w:rsid w:val="00D7040B"/>
    <w:rsid w:val="00D70A45"/>
    <w:rsid w:val="00D70F5E"/>
    <w:rsid w:val="00D70F87"/>
    <w:rsid w:val="00D7123A"/>
    <w:rsid w:val="00D713D4"/>
    <w:rsid w:val="00D73315"/>
    <w:rsid w:val="00D73347"/>
    <w:rsid w:val="00D73A3C"/>
    <w:rsid w:val="00D73A6B"/>
    <w:rsid w:val="00D73DAD"/>
    <w:rsid w:val="00D73E0D"/>
    <w:rsid w:val="00D74461"/>
    <w:rsid w:val="00D745DD"/>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77D76"/>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3C8E"/>
    <w:rsid w:val="00D84268"/>
    <w:rsid w:val="00D846C5"/>
    <w:rsid w:val="00D8562D"/>
    <w:rsid w:val="00D85863"/>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38"/>
    <w:rsid w:val="00D92CBC"/>
    <w:rsid w:val="00D92FD3"/>
    <w:rsid w:val="00D931F2"/>
    <w:rsid w:val="00D935DD"/>
    <w:rsid w:val="00D948A0"/>
    <w:rsid w:val="00D94BB0"/>
    <w:rsid w:val="00D94FF3"/>
    <w:rsid w:val="00D957C0"/>
    <w:rsid w:val="00D95BF0"/>
    <w:rsid w:val="00D95BFF"/>
    <w:rsid w:val="00D96193"/>
    <w:rsid w:val="00D96DD2"/>
    <w:rsid w:val="00D97E86"/>
    <w:rsid w:val="00DA0FC0"/>
    <w:rsid w:val="00DA1420"/>
    <w:rsid w:val="00DA1D80"/>
    <w:rsid w:val="00DA2046"/>
    <w:rsid w:val="00DA2301"/>
    <w:rsid w:val="00DA23D2"/>
    <w:rsid w:val="00DA29C4"/>
    <w:rsid w:val="00DA2C65"/>
    <w:rsid w:val="00DA2CD7"/>
    <w:rsid w:val="00DA2D3F"/>
    <w:rsid w:val="00DA2D90"/>
    <w:rsid w:val="00DA3B43"/>
    <w:rsid w:val="00DA3BE7"/>
    <w:rsid w:val="00DA3F00"/>
    <w:rsid w:val="00DA3F77"/>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243"/>
    <w:rsid w:val="00DB1539"/>
    <w:rsid w:val="00DB1F98"/>
    <w:rsid w:val="00DB2551"/>
    <w:rsid w:val="00DB3452"/>
    <w:rsid w:val="00DB35C7"/>
    <w:rsid w:val="00DB3885"/>
    <w:rsid w:val="00DB39DE"/>
    <w:rsid w:val="00DB3D52"/>
    <w:rsid w:val="00DB42C3"/>
    <w:rsid w:val="00DB4322"/>
    <w:rsid w:val="00DB4F9D"/>
    <w:rsid w:val="00DB4FD0"/>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003"/>
    <w:rsid w:val="00DC0715"/>
    <w:rsid w:val="00DC0F93"/>
    <w:rsid w:val="00DC12C6"/>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4FD"/>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64E"/>
    <w:rsid w:val="00DE4664"/>
    <w:rsid w:val="00DE47CE"/>
    <w:rsid w:val="00DE480D"/>
    <w:rsid w:val="00DE4B0C"/>
    <w:rsid w:val="00DE4C18"/>
    <w:rsid w:val="00DE4D74"/>
    <w:rsid w:val="00DE5129"/>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097"/>
    <w:rsid w:val="00DF7226"/>
    <w:rsid w:val="00E004D1"/>
    <w:rsid w:val="00E00A07"/>
    <w:rsid w:val="00E00EFF"/>
    <w:rsid w:val="00E019EA"/>
    <w:rsid w:val="00E0271E"/>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2DEE"/>
    <w:rsid w:val="00E1321F"/>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401"/>
    <w:rsid w:val="00E33802"/>
    <w:rsid w:val="00E33814"/>
    <w:rsid w:val="00E339C6"/>
    <w:rsid w:val="00E33BB9"/>
    <w:rsid w:val="00E33E4D"/>
    <w:rsid w:val="00E341D2"/>
    <w:rsid w:val="00E3457A"/>
    <w:rsid w:val="00E34F08"/>
    <w:rsid w:val="00E35F47"/>
    <w:rsid w:val="00E362BC"/>
    <w:rsid w:val="00E377BF"/>
    <w:rsid w:val="00E37C25"/>
    <w:rsid w:val="00E40362"/>
    <w:rsid w:val="00E40DAE"/>
    <w:rsid w:val="00E41A3E"/>
    <w:rsid w:val="00E41D2F"/>
    <w:rsid w:val="00E4278E"/>
    <w:rsid w:val="00E42FF3"/>
    <w:rsid w:val="00E432AE"/>
    <w:rsid w:val="00E4356E"/>
    <w:rsid w:val="00E43F1E"/>
    <w:rsid w:val="00E43FBE"/>
    <w:rsid w:val="00E4402C"/>
    <w:rsid w:val="00E44D1B"/>
    <w:rsid w:val="00E452D0"/>
    <w:rsid w:val="00E45A9D"/>
    <w:rsid w:val="00E460A1"/>
    <w:rsid w:val="00E46809"/>
    <w:rsid w:val="00E46814"/>
    <w:rsid w:val="00E46CC9"/>
    <w:rsid w:val="00E47878"/>
    <w:rsid w:val="00E47B8B"/>
    <w:rsid w:val="00E47D5F"/>
    <w:rsid w:val="00E47D96"/>
    <w:rsid w:val="00E51548"/>
    <w:rsid w:val="00E515A3"/>
    <w:rsid w:val="00E51E23"/>
    <w:rsid w:val="00E51FAC"/>
    <w:rsid w:val="00E52CCE"/>
    <w:rsid w:val="00E52F76"/>
    <w:rsid w:val="00E53098"/>
    <w:rsid w:val="00E5315C"/>
    <w:rsid w:val="00E5363E"/>
    <w:rsid w:val="00E538E0"/>
    <w:rsid w:val="00E54391"/>
    <w:rsid w:val="00E54713"/>
    <w:rsid w:val="00E54D33"/>
    <w:rsid w:val="00E553DD"/>
    <w:rsid w:val="00E55B13"/>
    <w:rsid w:val="00E56D42"/>
    <w:rsid w:val="00E5711F"/>
    <w:rsid w:val="00E5738B"/>
    <w:rsid w:val="00E5765B"/>
    <w:rsid w:val="00E6000E"/>
    <w:rsid w:val="00E602C9"/>
    <w:rsid w:val="00E608B7"/>
    <w:rsid w:val="00E60F80"/>
    <w:rsid w:val="00E61D10"/>
    <w:rsid w:val="00E61DAC"/>
    <w:rsid w:val="00E624DA"/>
    <w:rsid w:val="00E629F9"/>
    <w:rsid w:val="00E62AF2"/>
    <w:rsid w:val="00E630F7"/>
    <w:rsid w:val="00E6412A"/>
    <w:rsid w:val="00E64286"/>
    <w:rsid w:val="00E64763"/>
    <w:rsid w:val="00E656DC"/>
    <w:rsid w:val="00E65E6B"/>
    <w:rsid w:val="00E6640D"/>
    <w:rsid w:val="00E6682F"/>
    <w:rsid w:val="00E67266"/>
    <w:rsid w:val="00E674E3"/>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77FB2"/>
    <w:rsid w:val="00E8016D"/>
    <w:rsid w:val="00E80B75"/>
    <w:rsid w:val="00E810EC"/>
    <w:rsid w:val="00E8117B"/>
    <w:rsid w:val="00E81490"/>
    <w:rsid w:val="00E81F9F"/>
    <w:rsid w:val="00E81FFC"/>
    <w:rsid w:val="00E826C8"/>
    <w:rsid w:val="00E828DA"/>
    <w:rsid w:val="00E83280"/>
    <w:rsid w:val="00E832C4"/>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06FB"/>
    <w:rsid w:val="00E913F0"/>
    <w:rsid w:val="00E91514"/>
    <w:rsid w:val="00E915E1"/>
    <w:rsid w:val="00E916A7"/>
    <w:rsid w:val="00E919F0"/>
    <w:rsid w:val="00E91BF2"/>
    <w:rsid w:val="00E91DDE"/>
    <w:rsid w:val="00E91E61"/>
    <w:rsid w:val="00E920B8"/>
    <w:rsid w:val="00E924C7"/>
    <w:rsid w:val="00E926CB"/>
    <w:rsid w:val="00E92E29"/>
    <w:rsid w:val="00E92F0A"/>
    <w:rsid w:val="00E930C9"/>
    <w:rsid w:val="00E93168"/>
    <w:rsid w:val="00E9346A"/>
    <w:rsid w:val="00E93A7A"/>
    <w:rsid w:val="00E93B3D"/>
    <w:rsid w:val="00E93D80"/>
    <w:rsid w:val="00E942A2"/>
    <w:rsid w:val="00E94307"/>
    <w:rsid w:val="00E94454"/>
    <w:rsid w:val="00E94762"/>
    <w:rsid w:val="00E94CE0"/>
    <w:rsid w:val="00E95401"/>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AD0"/>
    <w:rsid w:val="00EA1B4A"/>
    <w:rsid w:val="00EA1C6F"/>
    <w:rsid w:val="00EA2271"/>
    <w:rsid w:val="00EA2730"/>
    <w:rsid w:val="00EA3746"/>
    <w:rsid w:val="00EA38C1"/>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090"/>
    <w:rsid w:val="00EB534C"/>
    <w:rsid w:val="00EB53BA"/>
    <w:rsid w:val="00EB55D2"/>
    <w:rsid w:val="00EB57E7"/>
    <w:rsid w:val="00EB5B49"/>
    <w:rsid w:val="00EB5CC3"/>
    <w:rsid w:val="00EB63E2"/>
    <w:rsid w:val="00EB6440"/>
    <w:rsid w:val="00EB6698"/>
    <w:rsid w:val="00EB6C27"/>
    <w:rsid w:val="00EB6C53"/>
    <w:rsid w:val="00EB6E81"/>
    <w:rsid w:val="00EB7832"/>
    <w:rsid w:val="00EB7B45"/>
    <w:rsid w:val="00EB7C50"/>
    <w:rsid w:val="00EB7E4D"/>
    <w:rsid w:val="00EB7F74"/>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4AE"/>
    <w:rsid w:val="00ED2828"/>
    <w:rsid w:val="00ED2FF1"/>
    <w:rsid w:val="00ED3207"/>
    <w:rsid w:val="00ED32E7"/>
    <w:rsid w:val="00ED3534"/>
    <w:rsid w:val="00ED35B9"/>
    <w:rsid w:val="00ED38D7"/>
    <w:rsid w:val="00ED3B7D"/>
    <w:rsid w:val="00ED404B"/>
    <w:rsid w:val="00ED4EC0"/>
    <w:rsid w:val="00ED5122"/>
    <w:rsid w:val="00ED54F7"/>
    <w:rsid w:val="00ED58F2"/>
    <w:rsid w:val="00ED5FFD"/>
    <w:rsid w:val="00EE08BC"/>
    <w:rsid w:val="00EE09EA"/>
    <w:rsid w:val="00EE0A49"/>
    <w:rsid w:val="00EE0D48"/>
    <w:rsid w:val="00EE0E09"/>
    <w:rsid w:val="00EE10D7"/>
    <w:rsid w:val="00EE12DA"/>
    <w:rsid w:val="00EE15CA"/>
    <w:rsid w:val="00EE15E0"/>
    <w:rsid w:val="00EE17F4"/>
    <w:rsid w:val="00EE18BB"/>
    <w:rsid w:val="00EE1CDA"/>
    <w:rsid w:val="00EE24B7"/>
    <w:rsid w:val="00EE2AAB"/>
    <w:rsid w:val="00EE2E05"/>
    <w:rsid w:val="00EE3203"/>
    <w:rsid w:val="00EE33A6"/>
    <w:rsid w:val="00EE3DCB"/>
    <w:rsid w:val="00EE4D2F"/>
    <w:rsid w:val="00EE5112"/>
    <w:rsid w:val="00EE62B4"/>
    <w:rsid w:val="00EE636D"/>
    <w:rsid w:val="00EE66B1"/>
    <w:rsid w:val="00EE7D91"/>
    <w:rsid w:val="00EE7ECE"/>
    <w:rsid w:val="00EF0225"/>
    <w:rsid w:val="00EF0582"/>
    <w:rsid w:val="00EF082A"/>
    <w:rsid w:val="00EF0BF2"/>
    <w:rsid w:val="00EF0E50"/>
    <w:rsid w:val="00EF118F"/>
    <w:rsid w:val="00EF1BCB"/>
    <w:rsid w:val="00EF1DDB"/>
    <w:rsid w:val="00EF20FD"/>
    <w:rsid w:val="00EF24E0"/>
    <w:rsid w:val="00EF2786"/>
    <w:rsid w:val="00EF2C3D"/>
    <w:rsid w:val="00EF2D8F"/>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1ABF"/>
    <w:rsid w:val="00F023A1"/>
    <w:rsid w:val="00F024E9"/>
    <w:rsid w:val="00F026AE"/>
    <w:rsid w:val="00F027FF"/>
    <w:rsid w:val="00F0301D"/>
    <w:rsid w:val="00F032DF"/>
    <w:rsid w:val="00F03466"/>
    <w:rsid w:val="00F0388F"/>
    <w:rsid w:val="00F03891"/>
    <w:rsid w:val="00F03979"/>
    <w:rsid w:val="00F04551"/>
    <w:rsid w:val="00F04D51"/>
    <w:rsid w:val="00F04F3E"/>
    <w:rsid w:val="00F0522E"/>
    <w:rsid w:val="00F05EE2"/>
    <w:rsid w:val="00F05EED"/>
    <w:rsid w:val="00F06A90"/>
    <w:rsid w:val="00F06F02"/>
    <w:rsid w:val="00F07468"/>
    <w:rsid w:val="00F10437"/>
    <w:rsid w:val="00F10465"/>
    <w:rsid w:val="00F10864"/>
    <w:rsid w:val="00F108F5"/>
    <w:rsid w:val="00F1165E"/>
    <w:rsid w:val="00F11CF5"/>
    <w:rsid w:val="00F124CB"/>
    <w:rsid w:val="00F12B3D"/>
    <w:rsid w:val="00F12D63"/>
    <w:rsid w:val="00F132DC"/>
    <w:rsid w:val="00F1403E"/>
    <w:rsid w:val="00F1415B"/>
    <w:rsid w:val="00F1476B"/>
    <w:rsid w:val="00F149F8"/>
    <w:rsid w:val="00F15763"/>
    <w:rsid w:val="00F15860"/>
    <w:rsid w:val="00F159FD"/>
    <w:rsid w:val="00F15ADA"/>
    <w:rsid w:val="00F16BB1"/>
    <w:rsid w:val="00F175B4"/>
    <w:rsid w:val="00F17A8F"/>
    <w:rsid w:val="00F2003B"/>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9A9"/>
    <w:rsid w:val="00F23BD0"/>
    <w:rsid w:val="00F23FCA"/>
    <w:rsid w:val="00F244C0"/>
    <w:rsid w:val="00F24531"/>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9B9"/>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37B1B"/>
    <w:rsid w:val="00F4125D"/>
    <w:rsid w:val="00F41F01"/>
    <w:rsid w:val="00F42910"/>
    <w:rsid w:val="00F42C2B"/>
    <w:rsid w:val="00F439C5"/>
    <w:rsid w:val="00F43D1B"/>
    <w:rsid w:val="00F44833"/>
    <w:rsid w:val="00F465C1"/>
    <w:rsid w:val="00F4678D"/>
    <w:rsid w:val="00F467B0"/>
    <w:rsid w:val="00F46E1D"/>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404"/>
    <w:rsid w:val="00F548C8"/>
    <w:rsid w:val="00F554F7"/>
    <w:rsid w:val="00F55AC5"/>
    <w:rsid w:val="00F568FF"/>
    <w:rsid w:val="00F56918"/>
    <w:rsid w:val="00F56B25"/>
    <w:rsid w:val="00F56FE4"/>
    <w:rsid w:val="00F5765A"/>
    <w:rsid w:val="00F57704"/>
    <w:rsid w:val="00F577F9"/>
    <w:rsid w:val="00F57B1F"/>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2BD"/>
    <w:rsid w:val="00F73CD4"/>
    <w:rsid w:val="00F73D87"/>
    <w:rsid w:val="00F73F43"/>
    <w:rsid w:val="00F74609"/>
    <w:rsid w:val="00F74664"/>
    <w:rsid w:val="00F74689"/>
    <w:rsid w:val="00F74791"/>
    <w:rsid w:val="00F74A7A"/>
    <w:rsid w:val="00F7540D"/>
    <w:rsid w:val="00F75487"/>
    <w:rsid w:val="00F7564B"/>
    <w:rsid w:val="00F76337"/>
    <w:rsid w:val="00F763DF"/>
    <w:rsid w:val="00F7659C"/>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40B"/>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8B3"/>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6ADB"/>
    <w:rsid w:val="00FA70DF"/>
    <w:rsid w:val="00FA7152"/>
    <w:rsid w:val="00FA759D"/>
    <w:rsid w:val="00FA7A20"/>
    <w:rsid w:val="00FA7AA6"/>
    <w:rsid w:val="00FA7C04"/>
    <w:rsid w:val="00FB0443"/>
    <w:rsid w:val="00FB11B6"/>
    <w:rsid w:val="00FB15D5"/>
    <w:rsid w:val="00FB1694"/>
    <w:rsid w:val="00FB18E8"/>
    <w:rsid w:val="00FB19D8"/>
    <w:rsid w:val="00FB1F1D"/>
    <w:rsid w:val="00FB22E5"/>
    <w:rsid w:val="00FB2864"/>
    <w:rsid w:val="00FB2F94"/>
    <w:rsid w:val="00FB37C9"/>
    <w:rsid w:val="00FB3CD6"/>
    <w:rsid w:val="00FB4065"/>
    <w:rsid w:val="00FB4760"/>
    <w:rsid w:val="00FB47B5"/>
    <w:rsid w:val="00FB52FD"/>
    <w:rsid w:val="00FB5482"/>
    <w:rsid w:val="00FB57A7"/>
    <w:rsid w:val="00FB5A29"/>
    <w:rsid w:val="00FB5A6F"/>
    <w:rsid w:val="00FB6401"/>
    <w:rsid w:val="00FB68CE"/>
    <w:rsid w:val="00FB6B9D"/>
    <w:rsid w:val="00FB72CB"/>
    <w:rsid w:val="00FB77BB"/>
    <w:rsid w:val="00FB7859"/>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4E2B"/>
    <w:rsid w:val="00FC545C"/>
    <w:rsid w:val="00FC553E"/>
    <w:rsid w:val="00FC65A0"/>
    <w:rsid w:val="00FC6B41"/>
    <w:rsid w:val="00FC7308"/>
    <w:rsid w:val="00FC7BBB"/>
    <w:rsid w:val="00FC7F93"/>
    <w:rsid w:val="00FD0218"/>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883"/>
    <w:rsid w:val="00FD7F6A"/>
    <w:rsid w:val="00FE04B6"/>
    <w:rsid w:val="00FE05E5"/>
    <w:rsid w:val="00FE0657"/>
    <w:rsid w:val="00FE09CC"/>
    <w:rsid w:val="00FE20AB"/>
    <w:rsid w:val="00FE22FE"/>
    <w:rsid w:val="00FE29F9"/>
    <w:rsid w:val="00FE2B7B"/>
    <w:rsid w:val="00FE3100"/>
    <w:rsid w:val="00FE3439"/>
    <w:rsid w:val="00FE3768"/>
    <w:rsid w:val="00FE5172"/>
    <w:rsid w:val="00FE5410"/>
    <w:rsid w:val="00FE5977"/>
    <w:rsid w:val="00FE61D7"/>
    <w:rsid w:val="00FE627C"/>
    <w:rsid w:val="00FE6DEC"/>
    <w:rsid w:val="00FE6E09"/>
    <w:rsid w:val="00FE73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3B"/>
    <w:rsid w:val="00FF5173"/>
    <w:rsid w:val="00FF51D0"/>
    <w:rsid w:val="00FF52CC"/>
    <w:rsid w:val="00FF52E3"/>
    <w:rsid w:val="00FF5868"/>
    <w:rsid w:val="00FF5EFE"/>
    <w:rsid w:val="00FF609A"/>
    <w:rsid w:val="00FF615F"/>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character" w:customStyle="1" w:styleId="TACChar">
    <w:name w:val="TAC Char"/>
    <w:basedOn w:val="DefaultParagraphFont"/>
    <w:link w:val="TAC"/>
    <w:locked/>
    <w:rsid w:val="0037080A"/>
    <w:rPr>
      <w:rFonts w:ascii="Arial" w:hAnsi="Arial"/>
      <w:sz w:val="18"/>
      <w:lang w:val="en-GB" w:eastAsia="en-US"/>
    </w:rPr>
  </w:style>
  <w:style w:type="character" w:customStyle="1" w:styleId="TALChar">
    <w:name w:val="TAL Char"/>
    <w:link w:val="TAL"/>
    <w:locked/>
    <w:rsid w:val="006C66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5834451">
      <w:bodyDiv w:val="1"/>
      <w:marLeft w:val="0"/>
      <w:marRight w:val="0"/>
      <w:marTop w:val="0"/>
      <w:marBottom w:val="0"/>
      <w:divBdr>
        <w:top w:val="none" w:sz="0" w:space="0" w:color="auto"/>
        <w:left w:val="none" w:sz="0" w:space="0" w:color="auto"/>
        <w:bottom w:val="none" w:sz="0" w:space="0" w:color="auto"/>
        <w:right w:val="none" w:sz="0" w:space="0" w:color="auto"/>
      </w:divBdr>
    </w:div>
    <w:div w:id="150757706">
      <w:bodyDiv w:val="1"/>
      <w:marLeft w:val="0"/>
      <w:marRight w:val="0"/>
      <w:marTop w:val="0"/>
      <w:marBottom w:val="0"/>
      <w:divBdr>
        <w:top w:val="none" w:sz="0" w:space="0" w:color="auto"/>
        <w:left w:val="none" w:sz="0" w:space="0" w:color="auto"/>
        <w:bottom w:val="none" w:sz="0" w:space="0" w:color="auto"/>
        <w:right w:val="none" w:sz="0" w:space="0" w:color="auto"/>
      </w:divBdr>
      <w:divsChild>
        <w:div w:id="1583760171">
          <w:marLeft w:val="360"/>
          <w:marRight w:val="0"/>
          <w:marTop w:val="200"/>
          <w:marBottom w:val="0"/>
          <w:divBdr>
            <w:top w:val="none" w:sz="0" w:space="0" w:color="auto"/>
            <w:left w:val="none" w:sz="0" w:space="0" w:color="auto"/>
            <w:bottom w:val="none" w:sz="0" w:space="0" w:color="auto"/>
            <w:right w:val="none" w:sz="0" w:space="0" w:color="auto"/>
          </w:divBdr>
        </w:div>
        <w:div w:id="771124138">
          <w:marLeft w:val="1080"/>
          <w:marRight w:val="0"/>
          <w:marTop w:val="100"/>
          <w:marBottom w:val="0"/>
          <w:divBdr>
            <w:top w:val="none" w:sz="0" w:space="0" w:color="auto"/>
            <w:left w:val="none" w:sz="0" w:space="0" w:color="auto"/>
            <w:bottom w:val="none" w:sz="0" w:space="0" w:color="auto"/>
            <w:right w:val="none" w:sz="0" w:space="0" w:color="auto"/>
          </w:divBdr>
        </w:div>
        <w:div w:id="83232904">
          <w:marLeft w:val="1080"/>
          <w:marRight w:val="0"/>
          <w:marTop w:val="100"/>
          <w:marBottom w:val="0"/>
          <w:divBdr>
            <w:top w:val="none" w:sz="0" w:space="0" w:color="auto"/>
            <w:left w:val="none" w:sz="0" w:space="0" w:color="auto"/>
            <w:bottom w:val="none" w:sz="0" w:space="0" w:color="auto"/>
            <w:right w:val="none" w:sz="0" w:space="0" w:color="auto"/>
          </w:divBdr>
        </w:div>
        <w:div w:id="729303662">
          <w:marLeft w:val="360"/>
          <w:marRight w:val="0"/>
          <w:marTop w:val="200"/>
          <w:marBottom w:val="0"/>
          <w:divBdr>
            <w:top w:val="none" w:sz="0" w:space="0" w:color="auto"/>
            <w:left w:val="none" w:sz="0" w:space="0" w:color="auto"/>
            <w:bottom w:val="none" w:sz="0" w:space="0" w:color="auto"/>
            <w:right w:val="none" w:sz="0" w:space="0" w:color="auto"/>
          </w:divBdr>
        </w:div>
        <w:div w:id="52314223">
          <w:marLeft w:val="1080"/>
          <w:marRight w:val="0"/>
          <w:marTop w:val="100"/>
          <w:marBottom w:val="0"/>
          <w:divBdr>
            <w:top w:val="none" w:sz="0" w:space="0" w:color="auto"/>
            <w:left w:val="none" w:sz="0" w:space="0" w:color="auto"/>
            <w:bottom w:val="none" w:sz="0" w:space="0" w:color="auto"/>
            <w:right w:val="none" w:sz="0" w:space="0" w:color="auto"/>
          </w:divBdr>
        </w:div>
        <w:div w:id="1036807793">
          <w:marLeft w:val="1080"/>
          <w:marRight w:val="0"/>
          <w:marTop w:val="100"/>
          <w:marBottom w:val="0"/>
          <w:divBdr>
            <w:top w:val="none" w:sz="0" w:space="0" w:color="auto"/>
            <w:left w:val="none" w:sz="0" w:space="0" w:color="auto"/>
            <w:bottom w:val="none" w:sz="0" w:space="0" w:color="auto"/>
            <w:right w:val="none" w:sz="0" w:space="0" w:color="auto"/>
          </w:divBdr>
        </w:div>
        <w:div w:id="109055353">
          <w:marLeft w:val="360"/>
          <w:marRight w:val="0"/>
          <w:marTop w:val="200"/>
          <w:marBottom w:val="0"/>
          <w:divBdr>
            <w:top w:val="none" w:sz="0" w:space="0" w:color="auto"/>
            <w:left w:val="none" w:sz="0" w:space="0" w:color="auto"/>
            <w:bottom w:val="none" w:sz="0" w:space="0" w:color="auto"/>
            <w:right w:val="none" w:sz="0" w:space="0" w:color="auto"/>
          </w:divBdr>
        </w:div>
        <w:div w:id="1909222296">
          <w:marLeft w:val="1080"/>
          <w:marRight w:val="0"/>
          <w:marTop w:val="100"/>
          <w:marBottom w:val="0"/>
          <w:divBdr>
            <w:top w:val="none" w:sz="0" w:space="0" w:color="auto"/>
            <w:left w:val="none" w:sz="0" w:space="0" w:color="auto"/>
            <w:bottom w:val="none" w:sz="0" w:space="0" w:color="auto"/>
            <w:right w:val="none" w:sz="0" w:space="0" w:color="auto"/>
          </w:divBdr>
        </w:div>
        <w:div w:id="896672508">
          <w:marLeft w:val="1080"/>
          <w:marRight w:val="0"/>
          <w:marTop w:val="100"/>
          <w:marBottom w:val="0"/>
          <w:divBdr>
            <w:top w:val="none" w:sz="0" w:space="0" w:color="auto"/>
            <w:left w:val="none" w:sz="0" w:space="0" w:color="auto"/>
            <w:bottom w:val="none" w:sz="0" w:space="0" w:color="auto"/>
            <w:right w:val="none" w:sz="0" w:space="0" w:color="auto"/>
          </w:divBdr>
        </w:div>
        <w:div w:id="261183079">
          <w:marLeft w:val="360"/>
          <w:marRight w:val="0"/>
          <w:marTop w:val="200"/>
          <w:marBottom w:val="0"/>
          <w:divBdr>
            <w:top w:val="none" w:sz="0" w:space="0" w:color="auto"/>
            <w:left w:val="none" w:sz="0" w:space="0" w:color="auto"/>
            <w:bottom w:val="none" w:sz="0" w:space="0" w:color="auto"/>
            <w:right w:val="none" w:sz="0" w:space="0" w:color="auto"/>
          </w:divBdr>
        </w:div>
        <w:div w:id="367612527">
          <w:marLeft w:val="108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274900">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783211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1966122">
      <w:bodyDiv w:val="1"/>
      <w:marLeft w:val="0"/>
      <w:marRight w:val="0"/>
      <w:marTop w:val="0"/>
      <w:marBottom w:val="0"/>
      <w:divBdr>
        <w:top w:val="none" w:sz="0" w:space="0" w:color="auto"/>
        <w:left w:val="none" w:sz="0" w:space="0" w:color="auto"/>
        <w:bottom w:val="none" w:sz="0" w:space="0" w:color="auto"/>
        <w:right w:val="none" w:sz="0" w:space="0" w:color="auto"/>
      </w:divBdr>
    </w:div>
    <w:div w:id="53458262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843998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084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954188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7832531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8272035">
      <w:bodyDiv w:val="1"/>
      <w:marLeft w:val="0"/>
      <w:marRight w:val="0"/>
      <w:marTop w:val="0"/>
      <w:marBottom w:val="0"/>
      <w:divBdr>
        <w:top w:val="none" w:sz="0" w:space="0" w:color="auto"/>
        <w:left w:val="none" w:sz="0" w:space="0" w:color="auto"/>
        <w:bottom w:val="none" w:sz="0" w:space="0" w:color="auto"/>
        <w:right w:val="none" w:sz="0" w:space="0" w:color="auto"/>
      </w:divBdr>
      <w:divsChild>
        <w:div w:id="1352147952">
          <w:marLeft w:val="360"/>
          <w:marRight w:val="0"/>
          <w:marTop w:val="200"/>
          <w:marBottom w:val="0"/>
          <w:divBdr>
            <w:top w:val="none" w:sz="0" w:space="0" w:color="auto"/>
            <w:left w:val="none" w:sz="0" w:space="0" w:color="auto"/>
            <w:bottom w:val="none" w:sz="0" w:space="0" w:color="auto"/>
            <w:right w:val="none" w:sz="0" w:space="0" w:color="auto"/>
          </w:divBdr>
        </w:div>
      </w:divsChild>
    </w:div>
    <w:div w:id="942959050">
      <w:bodyDiv w:val="1"/>
      <w:marLeft w:val="0"/>
      <w:marRight w:val="0"/>
      <w:marTop w:val="0"/>
      <w:marBottom w:val="0"/>
      <w:divBdr>
        <w:top w:val="none" w:sz="0" w:space="0" w:color="auto"/>
        <w:left w:val="none" w:sz="0" w:space="0" w:color="auto"/>
        <w:bottom w:val="none" w:sz="0" w:space="0" w:color="auto"/>
        <w:right w:val="none" w:sz="0" w:space="0" w:color="auto"/>
      </w:divBdr>
    </w:div>
    <w:div w:id="980159951">
      <w:bodyDiv w:val="1"/>
      <w:marLeft w:val="0"/>
      <w:marRight w:val="0"/>
      <w:marTop w:val="0"/>
      <w:marBottom w:val="0"/>
      <w:divBdr>
        <w:top w:val="none" w:sz="0" w:space="0" w:color="auto"/>
        <w:left w:val="none" w:sz="0" w:space="0" w:color="auto"/>
        <w:bottom w:val="none" w:sz="0" w:space="0" w:color="auto"/>
        <w:right w:val="none" w:sz="0" w:space="0" w:color="auto"/>
      </w:divBdr>
    </w:div>
    <w:div w:id="98212520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64815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729140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778810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2760725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141292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104182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1018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486810">
      <w:bodyDiv w:val="1"/>
      <w:marLeft w:val="0"/>
      <w:marRight w:val="0"/>
      <w:marTop w:val="0"/>
      <w:marBottom w:val="0"/>
      <w:divBdr>
        <w:top w:val="none" w:sz="0" w:space="0" w:color="auto"/>
        <w:left w:val="none" w:sz="0" w:space="0" w:color="auto"/>
        <w:bottom w:val="none" w:sz="0" w:space="0" w:color="auto"/>
        <w:right w:val="none" w:sz="0" w:space="0" w:color="auto"/>
      </w:divBdr>
      <w:divsChild>
        <w:div w:id="1710492489">
          <w:marLeft w:val="360"/>
          <w:marRight w:val="0"/>
          <w:marTop w:val="200"/>
          <w:marBottom w:val="0"/>
          <w:divBdr>
            <w:top w:val="none" w:sz="0" w:space="0" w:color="auto"/>
            <w:left w:val="none" w:sz="0" w:space="0" w:color="auto"/>
            <w:bottom w:val="none" w:sz="0" w:space="0" w:color="auto"/>
            <w:right w:val="none" w:sz="0" w:space="0" w:color="auto"/>
          </w:divBdr>
        </w:div>
        <w:div w:id="865142362">
          <w:marLeft w:val="1080"/>
          <w:marRight w:val="0"/>
          <w:marTop w:val="100"/>
          <w:marBottom w:val="0"/>
          <w:divBdr>
            <w:top w:val="none" w:sz="0" w:space="0" w:color="auto"/>
            <w:left w:val="none" w:sz="0" w:space="0" w:color="auto"/>
            <w:bottom w:val="none" w:sz="0" w:space="0" w:color="auto"/>
            <w:right w:val="none" w:sz="0" w:space="0" w:color="auto"/>
          </w:divBdr>
        </w:div>
        <w:div w:id="1731152619">
          <w:marLeft w:val="360"/>
          <w:marRight w:val="0"/>
          <w:marTop w:val="200"/>
          <w:marBottom w:val="0"/>
          <w:divBdr>
            <w:top w:val="none" w:sz="0" w:space="0" w:color="auto"/>
            <w:left w:val="none" w:sz="0" w:space="0" w:color="auto"/>
            <w:bottom w:val="none" w:sz="0" w:space="0" w:color="auto"/>
            <w:right w:val="none" w:sz="0" w:space="0" w:color="auto"/>
          </w:divBdr>
        </w:div>
        <w:div w:id="1822767617">
          <w:marLeft w:val="360"/>
          <w:marRight w:val="0"/>
          <w:marTop w:val="200"/>
          <w:marBottom w:val="0"/>
          <w:divBdr>
            <w:top w:val="none" w:sz="0" w:space="0" w:color="auto"/>
            <w:left w:val="none" w:sz="0" w:space="0" w:color="auto"/>
            <w:bottom w:val="none" w:sz="0" w:space="0" w:color="auto"/>
            <w:right w:val="none" w:sz="0" w:space="0" w:color="auto"/>
          </w:divBdr>
        </w:div>
        <w:div w:id="1222013960">
          <w:marLeft w:val="1080"/>
          <w:marRight w:val="0"/>
          <w:marTop w:val="10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956340">
      <w:bodyDiv w:val="1"/>
      <w:marLeft w:val="0"/>
      <w:marRight w:val="0"/>
      <w:marTop w:val="0"/>
      <w:marBottom w:val="0"/>
      <w:divBdr>
        <w:top w:val="none" w:sz="0" w:space="0" w:color="auto"/>
        <w:left w:val="none" w:sz="0" w:space="0" w:color="auto"/>
        <w:bottom w:val="none" w:sz="0" w:space="0" w:color="auto"/>
        <w:right w:val="none" w:sz="0" w:space="0" w:color="auto"/>
      </w:divBdr>
    </w:div>
    <w:div w:id="211963528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9D4E4-A27C-4B4F-9899-EB9743BFACB7}">
  <ds:schemaRefs>
    <ds:schemaRef ds:uri="http://schemas.microsoft.com/sharepoint/v3/contenttype/forms"/>
  </ds:schemaRefs>
</ds:datastoreItem>
</file>

<file path=customXml/itemProps2.xml><?xml version="1.0" encoding="utf-8"?>
<ds:datastoreItem xmlns:ds="http://schemas.openxmlformats.org/officeDocument/2006/customXml" ds:itemID="{342F3D8E-D091-4260-907F-8742BDC88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3053160-3B3E-4373-86CB-6DF0B2337E97}">
  <ds:schemaRefs>
    <ds:schemaRef ds:uri="http://schemas.openxmlformats.org/officeDocument/2006/bibliography"/>
  </ds:schemaRefs>
</ds:datastoreItem>
</file>

<file path=customXml/itemProps5.xml><?xml version="1.0" encoding="utf-8"?>
<ds:datastoreItem xmlns:ds="http://schemas.openxmlformats.org/officeDocument/2006/customXml" ds:itemID="{507F9F64-E4CF-495B-A2B4-3029BDA13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1756</Words>
  <Characters>9063</Characters>
  <Application>Microsoft Office Word</Application>
  <DocSecurity>0</DocSecurity>
  <Lines>477</Lines>
  <Paragraphs>152</Paragraphs>
  <ScaleCrop>false</ScaleCrop>
  <HeadingPairs>
    <vt:vector size="2" baseType="variant">
      <vt:variant>
        <vt:lpstr>Title</vt:lpstr>
      </vt:variant>
      <vt:variant>
        <vt:i4>1</vt:i4>
      </vt:variant>
    </vt:vector>
  </HeadingPairs>
  <TitlesOfParts>
    <vt:vector size="1" baseType="lpstr">
      <vt:lpstr>LTE-NR coexistence general issues</vt:lpstr>
    </vt:vector>
  </TitlesOfParts>
  <Company>Intel Corporation</Company>
  <LinksUpToDate>false</LinksUpToDate>
  <CharactersWithSpaces>10667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LTE-NR coexistence general issues</dc:title>
  <dc:creator>Intel Corporation</dc:creator>
  <cp:keywords>CTPClassification=CTP_PUBLIC:VisualMarkings=, CTPClassification=CTP_NT</cp:keywords>
  <cp:lastModifiedBy>Intel</cp:lastModifiedBy>
  <cp:revision>2</cp:revision>
  <cp:lastPrinted>2016-05-14T03:13:00Z</cp:lastPrinted>
  <dcterms:created xsi:type="dcterms:W3CDTF">2018-11-03T05:41:00Z</dcterms:created>
  <dcterms:modified xsi:type="dcterms:W3CDTF">2018-11-03T05:41:00Z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ddba73e6-e2d7-4e95-8504-54042e28bdf4</vt:lpwstr>
  </property>
  <property fmtid="{D5CDD505-2E9C-101B-9397-08002B2CF9AE}" pid="4" name="CTP_TimeStamp">
    <vt:lpwstr>2018-11-03 04:57:31Z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CTP_NT</vt:lpwstr>
  </property>
</Properties>
</file>