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25B1E131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="00EC7337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EC7337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</w:t>
      </w:r>
      <w:r w:rsidR="0059599A">
        <w:rPr>
          <w:rFonts w:ascii="Arial" w:hAnsi="Arial" w:cs="Arial"/>
          <w:b/>
          <w:sz w:val="24"/>
          <w:szCs w:val="24"/>
        </w:rPr>
        <w:t>9</w:t>
      </w:r>
      <w:r w:rsidR="00EC7337">
        <w:rPr>
          <w:rFonts w:ascii="Arial" w:hAnsi="Arial" w:cs="Arial"/>
          <w:b/>
          <w:sz w:val="24"/>
          <w:szCs w:val="24"/>
        </w:rPr>
        <w:t>17</w:t>
      </w:r>
    </w:p>
    <w:p w14:paraId="7B06AEC4" w14:textId="306033E2" w:rsidR="007F637A" w:rsidRDefault="00EC7337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12</w:t>
      </w:r>
      <w:r w:rsidR="007F637A"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F63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00D23DC5" w:rsidR="007F637A" w:rsidRPr="00FD021C" w:rsidRDefault="00EC7337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Chengdu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China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5BF36CD9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.4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2E259751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FA0631" w:rsidRPr="00FA0631">
        <w:rPr>
          <w:sz w:val="22"/>
          <w:szCs w:val="22"/>
        </w:rPr>
        <w:t xml:space="preserve">Coexistence of </w:t>
      </w:r>
      <w:r w:rsidR="00B41DE5">
        <w:rPr>
          <w:sz w:val="22"/>
          <w:szCs w:val="22"/>
        </w:rPr>
        <w:t>LTE-MTC</w:t>
      </w:r>
      <w:r w:rsidR="00FA0631" w:rsidRPr="00FA0631">
        <w:rPr>
          <w:sz w:val="22"/>
          <w:szCs w:val="22"/>
        </w:rPr>
        <w:t xml:space="preserve"> with NR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009C8CB5" w:rsidR="004B621A" w:rsidRPr="00FA0631" w:rsidRDefault="00FA0631" w:rsidP="00FA063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RAN#80 meeting, a new WID of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Rel-16 </w:t>
      </w:r>
      <w:r w:rsidR="00900302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MTC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enhancements for </w:t>
      </w:r>
      <w:r w:rsidR="00900302">
        <w:rPr>
          <w:rFonts w:eastAsia="Batang"/>
          <w:i/>
          <w:snapToGrid w:val="0"/>
          <w:kern w:val="2"/>
          <w:sz w:val="22"/>
          <w:szCs w:val="22"/>
          <w:lang w:eastAsia="ko-KR"/>
        </w:rPr>
        <w:t>LTE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[1] was approved with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objective to study the coexistence of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>LTE-MTC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 </w:t>
      </w:r>
    </w:p>
    <w:p w14:paraId="55C5A0E6" w14:textId="77777777" w:rsidR="00FA0631" w:rsidRPr="00FA0631" w:rsidRDefault="00FA0631" w:rsidP="00FA0631">
      <w:pPr>
        <w:spacing w:after="0"/>
        <w:rPr>
          <w:rFonts w:eastAsia="宋体"/>
          <w:b/>
          <w:bCs/>
          <w:u w:val="single"/>
          <w:lang w:eastAsia="en-US"/>
        </w:rPr>
      </w:pPr>
    </w:p>
    <w:p w14:paraId="19BA7D16" w14:textId="77777777" w:rsidR="00FA0631" w:rsidRPr="00FA0631" w:rsidRDefault="00FA0631" w:rsidP="00FA0631">
      <w:pPr>
        <w:spacing w:after="120"/>
        <w:rPr>
          <w:rFonts w:eastAsia="宋体"/>
          <w:b/>
          <w:bCs/>
          <w:u w:val="single"/>
          <w:lang w:val="en-US" w:eastAsia="en-US"/>
        </w:rPr>
      </w:pPr>
      <w:bookmarkStart w:id="0" w:name="_Hlk516692042"/>
      <w:r w:rsidRPr="00FA0631">
        <w:rPr>
          <w:rFonts w:eastAsia="宋体"/>
          <w:b/>
          <w:bCs/>
          <w:u w:val="single"/>
          <w:lang w:val="en-US" w:eastAsia="en-US"/>
        </w:rPr>
        <w:t>Coexistence with NR</w:t>
      </w:r>
    </w:p>
    <w:p w14:paraId="225D6D31" w14:textId="5AE059F2" w:rsidR="00FA0631" w:rsidRPr="00FA0631" w:rsidRDefault="00FA0631" w:rsidP="00FA0631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Study NR and LTE specifications to identify </w:t>
      </w:r>
      <w:bookmarkStart w:id="1" w:name="_Hlk516784255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possible issues related to coexistence of </w:t>
      </w:r>
      <w:bookmarkEnd w:id="1"/>
      <w:r w:rsidR="00900302">
        <w:rPr>
          <w:rFonts w:eastAsia="Batang"/>
          <w:snapToGrid w:val="0"/>
          <w:kern w:val="2"/>
          <w:sz w:val="22"/>
          <w:szCs w:val="22"/>
          <w:lang w:eastAsia="ko-KR"/>
        </w:rPr>
        <w:t>LTE-MTC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 [RAN4, RAN1, RAN2]</w:t>
      </w:r>
    </w:p>
    <w:bookmarkEnd w:id="0"/>
    <w:p w14:paraId="31060371" w14:textId="5B5C4180" w:rsidR="00C77218" w:rsidRPr="00FA0631" w:rsidRDefault="00C77218" w:rsidP="00B509B4">
      <w:pPr>
        <w:pStyle w:val="ListNumber"/>
        <w:numPr>
          <w:ilvl w:val="0"/>
          <w:numId w:val="0"/>
        </w:numPr>
      </w:pPr>
    </w:p>
    <w:p w14:paraId="1F041A01" w14:textId="0DC9DE92" w:rsidR="00EC7337" w:rsidRDefault="00EC7337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2" w:name="_Ref178064866"/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RAN1#94 meeting,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the following observation and agreement were achieved</w:t>
      </w:r>
      <w:r w:rsidR="002F526B">
        <w:rPr>
          <w:rFonts w:eastAsia="Batang"/>
          <w:snapToGrid w:val="0"/>
          <w:kern w:val="2"/>
          <w:sz w:val="22"/>
          <w:szCs w:val="22"/>
          <w:lang w:eastAsia="ko-KR"/>
        </w:rPr>
        <w:t xml:space="preserve"> [2]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6F80511F" w14:textId="28B511B7" w:rsidR="00EC7337" w:rsidRDefault="00EC7337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5ADA445" w14:textId="77777777" w:rsidR="00EC7337" w:rsidRPr="00F8091C" w:rsidRDefault="00EC7337" w:rsidP="00EC7337">
      <w:pPr>
        <w:rPr>
          <w:b/>
          <w:sz w:val="22"/>
          <w:szCs w:val="22"/>
          <w:lang w:eastAsia="zh-CN"/>
        </w:rPr>
      </w:pPr>
      <w:r w:rsidRPr="00F8091C">
        <w:rPr>
          <w:b/>
          <w:sz w:val="22"/>
          <w:szCs w:val="22"/>
          <w:lang w:eastAsia="zh-CN"/>
        </w:rPr>
        <w:t>Observation</w:t>
      </w:r>
    </w:p>
    <w:p w14:paraId="3183D7CA" w14:textId="08851E74" w:rsidR="00EC7337" w:rsidRDefault="00EC7337" w:rsidP="00EC7337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From RAN1 perspective, no issues were identified that would prevent the coexistence of NR and </w:t>
      </w:r>
      <w:proofErr w:type="spellStart"/>
      <w:r w:rsidRPr="00EC7337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</w:p>
    <w:p w14:paraId="75EDF5D8" w14:textId="77777777" w:rsidR="00EC7337" w:rsidRPr="00EC7337" w:rsidRDefault="00EC7337" w:rsidP="00EC7337">
      <w:p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7D11AB79" w14:textId="77777777" w:rsidR="00EC7337" w:rsidRPr="00F8091C" w:rsidRDefault="00EC7337" w:rsidP="00EC7337">
      <w:pPr>
        <w:rPr>
          <w:b/>
          <w:sz w:val="22"/>
          <w:szCs w:val="22"/>
          <w:lang w:eastAsia="zh-CN"/>
        </w:rPr>
      </w:pPr>
      <w:r w:rsidRPr="00F8091C">
        <w:rPr>
          <w:b/>
          <w:sz w:val="22"/>
          <w:szCs w:val="22"/>
          <w:highlight w:val="green"/>
          <w:lang w:eastAsia="zh-CN"/>
        </w:rPr>
        <w:t>Agreement</w:t>
      </w:r>
    </w:p>
    <w:p w14:paraId="29EC473B" w14:textId="77777777" w:rsidR="00EC7337" w:rsidRPr="00EC7337" w:rsidRDefault="00EC7337" w:rsidP="00EC7337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RAN1 studies additional specification enhancement for improving the performance of coexistence of </w:t>
      </w:r>
      <w:proofErr w:type="spellStart"/>
      <w:r w:rsidRPr="00EC7337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</w:t>
      </w:r>
    </w:p>
    <w:p w14:paraId="45757245" w14:textId="77777777" w:rsidR="00EC7337" w:rsidRPr="00EC7337" w:rsidRDefault="00EC7337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262A0BE" w14:textId="3391DB39" w:rsidR="00FA0631" w:rsidRPr="00FA0631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continue to discuss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facilitating </w:t>
      </w:r>
      <w:r w:rsidR="00900302">
        <w:rPr>
          <w:rFonts w:eastAsia="Batang"/>
          <w:snapToGrid w:val="0"/>
          <w:kern w:val="2"/>
          <w:sz w:val="22"/>
          <w:szCs w:val="22"/>
          <w:lang w:eastAsia="ko-KR"/>
        </w:rPr>
        <w:t>efficient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coexistence</w:t>
      </w:r>
      <w:r w:rsidR="00EC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</w:t>
      </w:r>
      <w:proofErr w:type="spellStart"/>
      <w:r w:rsidR="00EC7337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 </w:t>
      </w:r>
    </w:p>
    <w:p w14:paraId="6085A115" w14:textId="12DA86FC" w:rsidR="004000E8" w:rsidRDefault="00230D18" w:rsidP="00CE0424">
      <w:pPr>
        <w:pStyle w:val="Heading1"/>
      </w:pPr>
      <w:r>
        <w:t>2</w:t>
      </w:r>
      <w:r>
        <w:tab/>
      </w:r>
      <w:bookmarkEnd w:id="2"/>
      <w:r w:rsidR="00FA0631">
        <w:t>Discussion</w:t>
      </w:r>
    </w:p>
    <w:p w14:paraId="703969C5" w14:textId="677B7CED" w:rsidR="00EC7337" w:rsidRPr="00EC7337" w:rsidRDefault="00EC7337" w:rsidP="00EC7337">
      <w:pPr>
        <w:pStyle w:val="Heading2"/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EC7337">
        <w:rPr>
          <w:rFonts w:hint="eastAsia"/>
          <w:sz w:val="28"/>
          <w:szCs w:val="28"/>
        </w:rPr>
        <w:t xml:space="preserve">Subcarrier </w:t>
      </w:r>
      <w:r w:rsidRPr="00EC7337">
        <w:rPr>
          <w:sz w:val="28"/>
          <w:szCs w:val="28"/>
        </w:rPr>
        <w:t xml:space="preserve">and PRB </w:t>
      </w:r>
      <w:r w:rsidR="002846D2">
        <w:rPr>
          <w:sz w:val="28"/>
          <w:szCs w:val="28"/>
        </w:rPr>
        <w:t xml:space="preserve">Grid </w:t>
      </w:r>
      <w:r w:rsidRPr="00EC7337">
        <w:rPr>
          <w:rFonts w:hint="eastAsia"/>
          <w:sz w:val="28"/>
          <w:szCs w:val="28"/>
        </w:rPr>
        <w:t>Alignment</w:t>
      </w:r>
    </w:p>
    <w:p w14:paraId="7172850E" w14:textId="73E5A743" w:rsidR="00EC7337" w:rsidRDefault="002846D2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If NR uses 15kHz subcarrier spacing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coexistence with LTE-MTC then the </w:t>
      </w:r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and </w:t>
      </w:r>
      <w:proofErr w:type="spellStart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downlink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subcarrier grid </w:t>
      </w:r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>w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ill be always aligned. </w:t>
      </w:r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the uplink, there is a half-tone shift in LTE-MTC since there is no DC subcarrier in the uplink and the </w:t>
      </w:r>
      <w:proofErr w:type="spellStart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>center</w:t>
      </w:r>
      <w:proofErr w:type="spellEnd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the UL system bandwidth is on between two subcarriers. Therefore, to align the uplink subcarrier grid between NR and LTE-MTC, the half-tone shift shall be also applied </w:t>
      </w:r>
      <w:r w:rsidR="00F8091C">
        <w:rPr>
          <w:rFonts w:eastAsia="Batang"/>
          <w:snapToGrid w:val="0"/>
          <w:kern w:val="2"/>
          <w:sz w:val="22"/>
          <w:szCs w:val="22"/>
          <w:lang w:val="en-US" w:eastAsia="ko-KR"/>
        </w:rPr>
        <w:t>to</w:t>
      </w:r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NR uplink; otherwise the subcarrier grid between NR and </w:t>
      </w:r>
      <w:proofErr w:type="spellStart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will be shifted by +7.5 kHz or -7.5kHz. </w:t>
      </w:r>
    </w:p>
    <w:p w14:paraId="6FD26264" w14:textId="77777777" w:rsidR="00F8091C" w:rsidRDefault="00F8091C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A0CF5AB" w14:textId="52D4ED16" w:rsidR="004A61BA" w:rsidRDefault="004A61BA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A61BA">
        <w:rPr>
          <w:rFonts w:eastAsia="Batang"/>
          <w:snapToGrid w:val="0"/>
          <w:kern w:val="2"/>
          <w:sz w:val="22"/>
          <w:szCs w:val="22"/>
          <w:lang w:eastAsia="ko-KR"/>
        </w:rPr>
        <w:t>According to TS. 38.104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,</w:t>
      </w:r>
      <w:r w:rsidRPr="004A61BA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 optional half-tone shift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was introduced in NR uplink, and this can be used </w:t>
      </w:r>
      <w:proofErr w:type="gramStart"/>
      <w:r>
        <w:rPr>
          <w:rFonts w:eastAsia="Batang"/>
          <w:snapToGrid w:val="0"/>
          <w:kern w:val="2"/>
          <w:sz w:val="22"/>
          <w:szCs w:val="22"/>
          <w:lang w:eastAsia="ko-KR"/>
        </w:rPr>
        <w:t>for the purpose of</w:t>
      </w:r>
      <w:proofErr w:type="gram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coexistence with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Therefore, the uplink subcarrier grid between NR and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64CF8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 be aligned </w:t>
      </w:r>
      <w:r w:rsidR="00F8091C">
        <w:rPr>
          <w:rFonts w:eastAsia="Batang"/>
          <w:snapToGrid w:val="0"/>
          <w:kern w:val="2"/>
          <w:sz w:val="22"/>
          <w:szCs w:val="22"/>
          <w:lang w:eastAsia="ko-KR"/>
        </w:rPr>
        <w:t>too</w:t>
      </w:r>
      <w:r w:rsidR="00B64CF8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B64CF8">
        <w:rPr>
          <w:rFonts w:eastAsia="Batang"/>
          <w:snapToGrid w:val="0"/>
          <w:kern w:val="2"/>
          <w:sz w:val="22"/>
          <w:szCs w:val="22"/>
          <w:lang w:eastAsia="ko-KR"/>
        </w:rPr>
        <w:br/>
      </w:r>
    </w:p>
    <w:p w14:paraId="61D6B266" w14:textId="63E8EE40" w:rsidR="00B64CF8" w:rsidRDefault="00B64CF8" w:rsidP="00B64CF8">
      <w:pPr>
        <w:pStyle w:val="LGTdoc1"/>
        <w:spacing w:beforeLines="0" w:before="120" w:after="220" w:afterAutospacing="0"/>
        <w:rPr>
          <w:sz w:val="22"/>
          <w:szCs w:val="22"/>
        </w:rPr>
      </w:pPr>
      <w:bookmarkStart w:id="3" w:name="_Hlk525896787"/>
      <w:r>
        <w:rPr>
          <w:sz w:val="22"/>
          <w:szCs w:val="22"/>
          <w:u w:val="single"/>
        </w:rPr>
        <w:lastRenderedPageBreak/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half-tone shift shall be used in NR uplink to achieve the subcarrier grid alignment between NR and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</w:t>
      </w:r>
    </w:p>
    <w:bookmarkEnd w:id="3"/>
    <w:p w14:paraId="049BA35C" w14:textId="77777777" w:rsidR="00B64CF8" w:rsidRPr="00B64CF8" w:rsidRDefault="00B64CF8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0CA16C7D" w14:textId="20B62F39" w:rsidR="00B64CF8" w:rsidRDefault="00B64CF8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4" w:name="_Hlk525897003"/>
      <w:r>
        <w:rPr>
          <w:rFonts w:eastAsia="Batang"/>
          <w:snapToGrid w:val="0"/>
          <w:kern w:val="2"/>
          <w:sz w:val="22"/>
          <w:szCs w:val="22"/>
          <w:lang w:eastAsia="ko-KR"/>
        </w:rPr>
        <w:t>Since t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he DC subcarrier i</w:t>
      </w:r>
      <w:r w:rsidR="00F8091C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not used in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LTE-MTC downlink, perfect PRB alignment between NR and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not possible. </w:t>
      </w:r>
      <w:r w:rsidR="00F8091C">
        <w:rPr>
          <w:rFonts w:eastAsia="Batang"/>
          <w:snapToGrid w:val="0"/>
          <w:kern w:val="2"/>
          <w:sz w:val="22"/>
          <w:szCs w:val="22"/>
          <w:lang w:eastAsia="ko-KR"/>
        </w:rPr>
        <w:t>As a result, a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t least 1 RB will be left unused in NR </w:t>
      </w:r>
      <w:r w:rsidR="00A803A5"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>coexist</w:t>
      </w:r>
      <w:r w:rsidR="00A803A5">
        <w:rPr>
          <w:rFonts w:eastAsia="Batang"/>
          <w:snapToGrid w:val="0"/>
          <w:kern w:val="2"/>
          <w:sz w:val="22"/>
          <w:szCs w:val="22"/>
          <w:lang w:eastAsia="ko-KR"/>
        </w:rPr>
        <w:t>ing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</w:t>
      </w:r>
      <w:proofErr w:type="spellStart"/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. For up to Rel-15 </w:t>
      </w:r>
      <w:proofErr w:type="spellStart"/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>, the PRB alignment is not possible because only LTE in</w:t>
      </w:r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-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band operation is supported. However, </w:t>
      </w:r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when the LTE-MTC evolves further for the non-</w:t>
      </w:r>
      <w:proofErr w:type="spellStart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operation, e.g., standalone deployment, we can consider shifting the PRB grid of </w:t>
      </w:r>
      <w:proofErr w:type="spellStart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 xml:space="preserve"> to achieve PRB grid alignment between NR and </w:t>
      </w:r>
      <w:proofErr w:type="spellStart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B00335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p w14:paraId="38EB7893" w14:textId="28EE7958" w:rsidR="007422C3" w:rsidRDefault="007422C3" w:rsidP="007422C3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PRB grid alignment between NR and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can be considered to avoid the loss in NR resource utilization. </w:t>
      </w:r>
    </w:p>
    <w:bookmarkEnd w:id="4"/>
    <w:p w14:paraId="4096346A" w14:textId="4A1E3A0A" w:rsidR="007422C3" w:rsidRPr="00EC7337" w:rsidRDefault="007422C3" w:rsidP="007422C3">
      <w:pPr>
        <w:pStyle w:val="Heading2"/>
        <w:spacing w:before="120"/>
        <w:rPr>
          <w:sz w:val="28"/>
          <w:szCs w:val="28"/>
        </w:rPr>
      </w:pPr>
      <w:r>
        <w:rPr>
          <w:sz w:val="28"/>
          <w:szCs w:val="28"/>
        </w:rPr>
        <w:t>2.2 Resource configuration</w:t>
      </w:r>
    </w:p>
    <w:p w14:paraId="2F81169E" w14:textId="72C7C660" w:rsidR="00F812E2" w:rsidRDefault="007422C3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proofErr w:type="spellStart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within NR, </w:t>
      </w:r>
      <w:r w:rsidR="00C93F1E">
        <w:rPr>
          <w:rFonts w:eastAsia="Batang"/>
          <w:snapToGrid w:val="0"/>
          <w:kern w:val="2"/>
          <w:sz w:val="22"/>
          <w:szCs w:val="22"/>
          <w:lang w:eastAsia="ko-KR"/>
        </w:rPr>
        <w:t>b</w:t>
      </w:r>
      <w:r w:rsidR="00C93F1E" w:rsidRPr="00FA761F">
        <w:rPr>
          <w:rFonts w:eastAsia="Batang"/>
          <w:snapToGrid w:val="0"/>
          <w:kern w:val="2"/>
          <w:sz w:val="22"/>
          <w:szCs w:val="22"/>
          <w:lang w:eastAsia="ko-KR"/>
        </w:rPr>
        <w:t>oth time domain coexistence and frequency domain coexistence shall be considered.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1B7F7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The minimum system bandwidth of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e</w:t>
      </w:r>
      <w:r w:rsidR="001B7F7F">
        <w:rPr>
          <w:rFonts w:eastAsia="Batang" w:hint="eastAsia"/>
          <w:snapToGrid w:val="0"/>
          <w:kern w:val="2"/>
          <w:sz w:val="22"/>
          <w:szCs w:val="22"/>
          <w:lang w:eastAsia="ko-KR"/>
        </w:rPr>
        <w:t>MTC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6 PRBs or 1.08MHz. A straightforward way for enabling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on a NR carrier is to assign a clean 1.08MHz radio resource for </w:t>
      </w:r>
      <w:proofErr w:type="spellStart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1B7F7F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collision with NR common signals can be avoided by assigning the non-overlapping frequency domain </w:t>
      </w:r>
      <w:r w:rsidR="00C86030">
        <w:rPr>
          <w:rFonts w:eastAsia="Batang"/>
          <w:snapToGrid w:val="0"/>
          <w:kern w:val="2"/>
          <w:sz w:val="22"/>
          <w:szCs w:val="22"/>
          <w:lang w:eastAsia="ko-KR"/>
        </w:rPr>
        <w:t>resource</w:t>
      </w:r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 to </w:t>
      </w:r>
      <w:proofErr w:type="spellStart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4771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62C47775" w14:textId="77777777" w:rsidR="00F812E2" w:rsidRDefault="00F812E2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F164955" w14:textId="2477E63D" w:rsidR="00F812E2" w:rsidRDefault="00347712" w:rsidP="00F812E2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However, certain network may prefer to configure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5MHz system bandwidth since the 5MHz configuration gives a higher spectrum efficiency than the 1.4MHz. In such case, </w:t>
      </w:r>
      <w:r w:rsidR="00F74F76">
        <w:rPr>
          <w:rFonts w:eastAsia="Batang"/>
          <w:snapToGrid w:val="0"/>
          <w:kern w:val="2"/>
          <w:sz w:val="22"/>
          <w:szCs w:val="22"/>
          <w:lang w:eastAsia="ko-KR"/>
        </w:rPr>
        <w:t xml:space="preserve">a continuous </w:t>
      </w:r>
      <w:r w:rsidR="00C86030">
        <w:rPr>
          <w:rFonts w:eastAsia="Batang"/>
          <w:snapToGrid w:val="0"/>
          <w:kern w:val="2"/>
          <w:sz w:val="22"/>
          <w:szCs w:val="22"/>
          <w:lang w:eastAsia="ko-KR"/>
        </w:rPr>
        <w:t>5MHz shall be leaved as unused in the NR carrier bandwidth.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9E58E4">
        <w:rPr>
          <w:rFonts w:eastAsia="Batang"/>
          <w:snapToGrid w:val="0"/>
          <w:kern w:val="2"/>
          <w:sz w:val="22"/>
          <w:szCs w:val="22"/>
          <w:lang w:eastAsia="ko-KR"/>
        </w:rPr>
        <w:t xml:space="preserve">o improve spectrum utilization, </w:t>
      </w:r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not all the subframes are required to be used for </w:t>
      </w:r>
      <w:proofErr w:type="spellStart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Some downlink or uplink subframes can be indicated as invalid for </w:t>
      </w:r>
      <w:proofErr w:type="spellStart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7422C3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used for NR transmission</w:t>
      </w:r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The configuration of the valid subframes (or the BL/CE subframes) can be signalled via SIB1 according to Rel-13 </w:t>
      </w:r>
      <w:proofErr w:type="spellStart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F812E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33EB6">
        <w:rPr>
          <w:rFonts w:eastAsia="Batang"/>
          <w:snapToGrid w:val="0"/>
          <w:kern w:val="2"/>
          <w:sz w:val="22"/>
          <w:szCs w:val="22"/>
          <w:lang w:eastAsia="ko-KR"/>
        </w:rPr>
        <w:t xml:space="preserve">Figure 1 below shows the approaches using FDM/TDM for coexistence of </w:t>
      </w:r>
      <w:proofErr w:type="spellStart"/>
      <w:r w:rsidR="00333EB6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33EB6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 </w:t>
      </w:r>
    </w:p>
    <w:p w14:paraId="339DCF39" w14:textId="3F20C33C" w:rsidR="00F812E2" w:rsidRPr="00333EB6" w:rsidRDefault="00F812E2" w:rsidP="00347712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6EEA378" w14:textId="4C98DA54" w:rsidR="00F812E2" w:rsidRPr="00F812E2" w:rsidRDefault="00F812E2" w:rsidP="00F812E2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812E2">
        <w:rPr>
          <w:rFonts w:hint="eastAsia"/>
          <w:noProof/>
        </w:rPr>
        <w:drawing>
          <wp:inline distT="0" distB="0" distL="0" distR="0" wp14:anchorId="1CEF0E2C" wp14:editId="1942F351">
            <wp:extent cx="4999096" cy="31350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031" cy="3137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CBE97" w14:textId="665E2139" w:rsidR="00F812E2" w:rsidRPr="00697A4E" w:rsidRDefault="00F812E2" w:rsidP="00F812E2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1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 xml:space="preserve">Coexistence </w:t>
      </w:r>
      <w:r w:rsidR="00333EB6">
        <w:rPr>
          <w:b w:val="0"/>
          <w:kern w:val="2"/>
          <w:sz w:val="22"/>
          <w:szCs w:val="22"/>
        </w:rPr>
        <w:t xml:space="preserve">of </w:t>
      </w:r>
      <w:proofErr w:type="spellStart"/>
      <w:r>
        <w:rPr>
          <w:b w:val="0"/>
          <w:kern w:val="2"/>
          <w:sz w:val="22"/>
          <w:szCs w:val="22"/>
        </w:rPr>
        <w:t>eMTC</w:t>
      </w:r>
      <w:proofErr w:type="spellEnd"/>
      <w:r w:rsidR="00333EB6">
        <w:rPr>
          <w:b w:val="0"/>
          <w:kern w:val="2"/>
          <w:sz w:val="22"/>
          <w:szCs w:val="22"/>
        </w:rPr>
        <w:t xml:space="preserve"> with </w:t>
      </w:r>
      <w:r>
        <w:rPr>
          <w:b w:val="0"/>
          <w:kern w:val="2"/>
          <w:sz w:val="22"/>
          <w:szCs w:val="22"/>
        </w:rPr>
        <w:t>NR vis semi-static resource partition</w:t>
      </w:r>
    </w:p>
    <w:p w14:paraId="06178890" w14:textId="73FAECD6" w:rsidR="0059599A" w:rsidRDefault="0059599A" w:rsidP="0059599A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7422C3">
        <w:rPr>
          <w:sz w:val="22"/>
          <w:szCs w:val="22"/>
          <w:u w:val="single"/>
        </w:rPr>
        <w:t>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both 1.4MHz bandwidth and a larger bandwidth of at least 5MHz shall be supported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 </w:t>
      </w:r>
    </w:p>
    <w:p w14:paraId="458EC8BB" w14:textId="5C291AB4" w:rsidR="00D54462" w:rsidRDefault="00F77BBD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improving resource utilization, dynamic resource multiplexing shall also be supported so that NR can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lastRenderedPageBreak/>
        <w:t xml:space="preserve">utilize the unused DL and UL resources reserved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proofErr w:type="spellStart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>. In Rel-15, dynamic r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>ate matching resource set is supported in NR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so that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DCI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can dynamically indicate whether the reserved resources shall be excluded from the PDSCH allocation. I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 the reserved resources are not used for </w:t>
      </w:r>
      <w:proofErr w:type="spellStart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A8181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the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slot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which 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PDSCH is mapped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, then these resources can be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emporarily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NR PDSCH by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setting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value of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rate matching indicator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to zero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Since the rate matching resource set in NR is defined by a pair of RB level bitmap with 1 RB granularity and a symbol level bitmap spanning one or two NR slots, it is possible to support dynamic resource multiplexing between NR and </w:t>
      </w:r>
      <w:proofErr w:type="spellStart"/>
      <w:r w:rsidR="00A81818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A8181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on the subframe</w:t>
      </w:r>
      <w:r w:rsidR="0059599A">
        <w:rPr>
          <w:rFonts w:eastAsia="Batang"/>
          <w:snapToGrid w:val="0"/>
          <w:kern w:val="2"/>
          <w:sz w:val="22"/>
          <w:szCs w:val="22"/>
          <w:lang w:eastAsia="ko-KR"/>
        </w:rPr>
        <w:t xml:space="preserve"> or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RB level. However, it shall be noted that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rate matching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based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multiplexing is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mainly from NR perspective since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n </w:t>
      </w:r>
      <w:proofErr w:type="spellStart"/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UE is unware whether it is operating in an NR carrier or a LTE carrier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4D7F03A2" w14:textId="5E23AF13" w:rsidR="00DE6862" w:rsidRDefault="00DE6862" w:rsidP="002037A4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1B0EAB5" w14:textId="083E6F88" w:rsidR="00F77BBD" w:rsidRDefault="00FE43D0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5" w:name="_Hlk525904801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URLLC is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>configured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</w:t>
      </w:r>
      <w:r w:rsidR="00144EF9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NR, a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3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0kHz subcarrier spacing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will be used, and then one subframe in LTE is equal to two NR slots. Furthermore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, a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few 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number of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OFDM 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symbols at the end of a slot may be used for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>UL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control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enabling fast HARQ-ACK feedback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as shown in Figure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>2</w:t>
      </w:r>
      <w:r w:rsidR="00144EF9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such case,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DL transmission is only allowed in the part of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one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subframe.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Therefore,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these subframes with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a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mixed UL/DL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transmission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cannot be used for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Although t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his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would not break the </w:t>
      </w:r>
      <w:proofErr w:type="spellStart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NR, it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would </w:t>
      </w:r>
      <w:r w:rsidR="004D4A0A">
        <w:rPr>
          <w:rFonts w:eastAsia="Batang"/>
          <w:snapToGrid w:val="0"/>
          <w:kern w:val="2"/>
          <w:sz w:val="22"/>
          <w:szCs w:val="22"/>
          <w:lang w:eastAsia="ko-KR"/>
        </w:rPr>
        <w:t>limit the scheduling flexibility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4D4A0A">
        <w:rPr>
          <w:rFonts w:eastAsia="Batang"/>
          <w:snapToGrid w:val="0"/>
          <w:kern w:val="2"/>
          <w:sz w:val="22"/>
          <w:szCs w:val="22"/>
          <w:lang w:eastAsia="ko-KR"/>
        </w:rPr>
        <w:t>in NR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That is,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>if there are more s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>ubframe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 reserved for </w:t>
      </w:r>
      <w:proofErr w:type="spellStart"/>
      <w:r w:rsidR="00E9174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54C4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then the performance of URLLC will be affected </w:t>
      </w:r>
      <w:r w:rsidR="004D4A0A">
        <w:rPr>
          <w:rFonts w:eastAsia="Batang"/>
          <w:snapToGrid w:val="0"/>
          <w:kern w:val="2"/>
          <w:sz w:val="22"/>
          <w:szCs w:val="22"/>
          <w:lang w:eastAsia="ko-KR"/>
        </w:rPr>
        <w:t xml:space="preserve">and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>there is less probability to serve URLLC on the same NR carrier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bookmarkEnd w:id="5"/>
    <w:p w14:paraId="3D1FF1E4" w14:textId="77777777" w:rsidR="00144EF9" w:rsidRPr="0039468F" w:rsidRDefault="00144EF9" w:rsidP="005B41F1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5874C89" w14:textId="1018A242" w:rsidR="00144EF9" w:rsidRDefault="00D70689" w:rsidP="002037A4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D70689">
        <w:rPr>
          <w:noProof/>
        </w:rPr>
        <w:drawing>
          <wp:inline distT="0" distB="0" distL="0" distR="0" wp14:anchorId="769E21CE" wp14:editId="0772A8F0">
            <wp:extent cx="4882009" cy="1228971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0" cy="12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01B65" w14:textId="055AFC1A" w:rsidR="00D70689" w:rsidRPr="00697A4E" w:rsidRDefault="00D70689" w:rsidP="00D70689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 w:rsidR="00B04628">
        <w:rPr>
          <w:kern w:val="2"/>
          <w:sz w:val="22"/>
          <w:szCs w:val="22"/>
        </w:rPr>
        <w:t>2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NR slot format with increasing UL opportunity assuming 30kHz SCS</w:t>
      </w:r>
    </w:p>
    <w:p w14:paraId="41478154" w14:textId="2066E91F" w:rsidR="00D165E7" w:rsidRDefault="00D165E7" w:rsidP="00D165E7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bookmarkStart w:id="6" w:name="_Hlk525904932"/>
      <w:r>
        <w:rPr>
          <w:sz w:val="22"/>
          <w:szCs w:val="22"/>
          <w:u w:val="single"/>
        </w:rPr>
        <w:t xml:space="preserve">Proposal </w:t>
      </w:r>
      <w:r w:rsidR="004D4A0A">
        <w:rPr>
          <w:sz w:val="22"/>
          <w:szCs w:val="22"/>
          <w:u w:val="single"/>
        </w:rPr>
        <w:t>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4D4A0A">
        <w:rPr>
          <w:sz w:val="22"/>
          <w:szCs w:val="22"/>
        </w:rPr>
        <w:t>For co</w:t>
      </w:r>
      <w:r>
        <w:rPr>
          <w:sz w:val="22"/>
          <w:szCs w:val="22"/>
        </w:rPr>
        <w:t>existence with NR</w:t>
      </w:r>
      <w:r w:rsidR="004D4A0A">
        <w:rPr>
          <w:sz w:val="22"/>
          <w:szCs w:val="22"/>
        </w:rPr>
        <w:t xml:space="preserve">, the slot or symbol level configuration shall be considered in </w:t>
      </w:r>
      <w:proofErr w:type="spellStart"/>
      <w:r w:rsidR="004D4A0A">
        <w:rPr>
          <w:sz w:val="22"/>
          <w:szCs w:val="22"/>
        </w:rPr>
        <w:t>eMTC</w:t>
      </w:r>
      <w:proofErr w:type="spellEnd"/>
      <w:r w:rsidR="004D4A0A">
        <w:rPr>
          <w:sz w:val="22"/>
          <w:szCs w:val="22"/>
        </w:rPr>
        <w:t xml:space="preserve"> to allow DL </w:t>
      </w:r>
      <w:r w:rsidR="00F8091C">
        <w:rPr>
          <w:sz w:val="22"/>
          <w:szCs w:val="22"/>
        </w:rPr>
        <w:t xml:space="preserve">or UL </w:t>
      </w:r>
      <w:r w:rsidR="004D4A0A">
        <w:rPr>
          <w:sz w:val="22"/>
          <w:szCs w:val="22"/>
        </w:rPr>
        <w:t>transmission in part of the subframe</w:t>
      </w:r>
      <w:r>
        <w:rPr>
          <w:sz w:val="22"/>
          <w:szCs w:val="22"/>
        </w:rPr>
        <w:t xml:space="preserve">.  </w:t>
      </w:r>
    </w:p>
    <w:bookmarkEnd w:id="6"/>
    <w:p w14:paraId="4DCAFEB3" w14:textId="6764278A" w:rsidR="004D4A0A" w:rsidRPr="00335A43" w:rsidRDefault="004D4A0A" w:rsidP="004D4A0A">
      <w:pPr>
        <w:pStyle w:val="Heading2"/>
        <w:spacing w:before="120"/>
        <w:rPr>
          <w:sz w:val="28"/>
          <w:szCs w:val="28"/>
        </w:rPr>
      </w:pPr>
      <w:r>
        <w:rPr>
          <w:sz w:val="28"/>
          <w:szCs w:val="28"/>
        </w:rPr>
        <w:t>2.3</w:t>
      </w:r>
      <w:r w:rsidR="00335A43">
        <w:rPr>
          <w:sz w:val="28"/>
          <w:szCs w:val="28"/>
        </w:rPr>
        <w:t xml:space="preserve"> F</w:t>
      </w:r>
      <w:r w:rsidR="00335A43" w:rsidRPr="00335A43">
        <w:rPr>
          <w:sz w:val="28"/>
          <w:szCs w:val="28"/>
        </w:rPr>
        <w:t>requency hopping</w:t>
      </w:r>
    </w:p>
    <w:p w14:paraId="4C5DC371" w14:textId="0320246D" w:rsidR="00B04628" w:rsidRDefault="00E85600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Another design challenge for coexistence with NR is to support frequency hopping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</w:t>
      </w:r>
      <w:proofErr w:type="spellStart"/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. In Rel-13 </w:t>
      </w:r>
      <w:proofErr w:type="spellStart"/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, frequency hopping is supported for system bandwidth larger than 1.4MHz. The frequency hopping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configuration includes a hopping timer interval and a configurable narrowband offset. The enabling of frequency hopping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 be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separately configured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broadcast and unicast transmission.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frequency hopping pattern may be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different for 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each 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>physical channel. For SIB1 and paging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 MPDCCH</w:t>
      </w:r>
      <w:r w:rsidR="00D5391C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first narrowband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>determined by cell ID and/or UE ID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and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two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overlapping with the 72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center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subcarriers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are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excluded from frequency hopping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however</w:t>
      </w:r>
      <w:r w:rsidR="00C147DD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other DL transmission, all the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can be used</w:t>
      </w:r>
      <w:r w:rsidR="00A21C3E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frequency hopping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A21C3E">
        <w:rPr>
          <w:rFonts w:eastAsia="Batang"/>
          <w:snapToGrid w:val="0"/>
          <w:kern w:val="2"/>
          <w:sz w:val="22"/>
          <w:szCs w:val="22"/>
          <w:lang w:eastAsia="ko-KR"/>
        </w:rPr>
        <w:t xml:space="preserve">that is, </w:t>
      </w:r>
      <w:r w:rsidR="00B0462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first narrowband is determined by RRC or DCI and the other narrowband(s) are then determined based on a higher layer configured offset. </w:t>
      </w:r>
    </w:p>
    <w:p w14:paraId="0C376026" w14:textId="77777777" w:rsidR="00B04628" w:rsidRPr="00A21C3E" w:rsidRDefault="00B0462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3B76B3F4" w14:textId="78C48E41" w:rsidR="00C147DD" w:rsidRDefault="00B0462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Figure 3 shows an example of frequency hopping for SIB1, paging MPDCCH and PDSCH assuming 10MHz system bandwidth</w:t>
      </w:r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 xml:space="preserve"> (e.g., total 8 </w:t>
      </w:r>
      <w:proofErr w:type="spellStart"/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>)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 xml:space="preserve"> SIB1 is hopped between narrowband 0 and 5 at different subframes, and for paging MPDCCH, narrowband 0 and 6 are used for UE #1 and narrowband 1 and 7 are used for UE #2.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EA0473">
        <w:rPr>
          <w:rFonts w:eastAsia="Batang"/>
          <w:snapToGrid w:val="0"/>
          <w:kern w:val="2"/>
          <w:sz w:val="22"/>
          <w:szCs w:val="22"/>
          <w:lang w:eastAsia="ko-KR"/>
        </w:rPr>
        <w:t xml:space="preserve">he PDSCH of UE #1 is hopped between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narrowband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0 and 4 every 4 subframes and the PDSCH of UE #2 is hopped between narrowband 1 and 5.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E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ven the same starting narrowband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used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paging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MPDCCH and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PDSCH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other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are 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different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due to different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et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</w:t>
      </w:r>
      <w:proofErr w:type="spellStart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frequency hopping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for paging MPDCCH and PDSCH</w:t>
      </w:r>
      <w:r w:rsidR="00E3041E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687DAA86" w14:textId="77777777" w:rsidR="00B04628" w:rsidRPr="00A21C3E" w:rsidRDefault="00B0462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CC8FB4A" w14:textId="306AAB5C" w:rsidR="00B04628" w:rsidRDefault="00B04628" w:rsidP="00B04628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B04628">
        <w:rPr>
          <w:noProof/>
        </w:rPr>
        <w:lastRenderedPageBreak/>
        <w:drawing>
          <wp:inline distT="0" distB="0" distL="0" distR="0" wp14:anchorId="7FBADAF2" wp14:editId="40BC0CD9">
            <wp:extent cx="6120765" cy="147327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7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C8464" w14:textId="25077810" w:rsidR="00B04628" w:rsidRPr="00697A4E" w:rsidRDefault="00B04628" w:rsidP="00B04628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3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Frequency hopping for SIB1, paging MPDCCH and PDSCH</w:t>
      </w:r>
    </w:p>
    <w:p w14:paraId="77EF9BFD" w14:textId="480DB72E" w:rsidR="002037A4" w:rsidRDefault="00A21C3E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From the above example, it can be seen the support of frequency hopping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especially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paging will cause a waste of resources in NR.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M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ore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narr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o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wbands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need to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be reserved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, which implies the loss in NR resource utilization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Therefore, if frequency hopping is supported for paging in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, possible enhancements may be needed, e.g., </w:t>
      </w:r>
      <w:r w:rsidR="00F8091C">
        <w:rPr>
          <w:rFonts w:eastAsia="Batang"/>
          <w:snapToGrid w:val="0"/>
          <w:kern w:val="2"/>
          <w:sz w:val="22"/>
          <w:szCs w:val="22"/>
          <w:lang w:eastAsia="ko-KR"/>
        </w:rPr>
        <w:t>allowing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same set of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paging MPDCCH and PDSCH, to </w:t>
      </w:r>
      <w:r w:rsidR="0039468F">
        <w:rPr>
          <w:rFonts w:eastAsia="Batang"/>
          <w:snapToGrid w:val="0"/>
          <w:kern w:val="2"/>
          <w:sz w:val="22"/>
          <w:szCs w:val="22"/>
          <w:lang w:eastAsia="ko-KR"/>
        </w:rPr>
        <w:t>improve resource utilization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NR</w:t>
      </w:r>
      <w:r w:rsidR="00F37BC5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6310B219" w14:textId="77777777" w:rsidR="00A21C3E" w:rsidRPr="00F37BC5" w:rsidRDefault="00A21C3E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8287195" w14:textId="77777777" w:rsidR="00335A43" w:rsidRDefault="00335A43" w:rsidP="00335A43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5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discuss whether to support frequency hopping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coexistence with NR and study possible enhancements to frequency hopping  </w:t>
      </w:r>
    </w:p>
    <w:p w14:paraId="527BA53C" w14:textId="706DDE5A" w:rsidR="002037A4" w:rsidRDefault="001F22E5" w:rsidP="002037A4">
      <w:pPr>
        <w:pStyle w:val="Heading1"/>
      </w:pPr>
      <w:r>
        <w:t>3</w:t>
      </w:r>
      <w:r w:rsidR="002037A4">
        <w:tab/>
        <w:t>Summary</w:t>
      </w:r>
    </w:p>
    <w:p w14:paraId="4ADA3184" w14:textId="0717D6A4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possible issues and solutions for efficient coexistence of </w:t>
      </w:r>
      <w:proofErr w:type="spellStart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335A43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NR. W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e made the following proposals.</w:t>
      </w:r>
    </w:p>
    <w:p w14:paraId="56E10459" w14:textId="77777777" w:rsidR="00335A43" w:rsidRDefault="00335A43" w:rsidP="00335A43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half-tone shift shall be used in NR uplink to achieve the subcarrier grid alignment between NR and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</w:t>
      </w:r>
    </w:p>
    <w:p w14:paraId="66454C5A" w14:textId="77777777" w:rsidR="00335A43" w:rsidRDefault="00335A43" w:rsidP="00335A43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PRB grid alignment between NR and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can be considered to avoid the loss in NR resource utilization. </w:t>
      </w:r>
    </w:p>
    <w:p w14:paraId="7EBD4A10" w14:textId="77777777" w:rsidR="00335A43" w:rsidRDefault="00335A43" w:rsidP="00335A43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bookmarkStart w:id="7" w:name="_In-sequence_SDU_delivery"/>
      <w:bookmarkEnd w:id="7"/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both 1.4MHz bandwidth and a larger bandwidth of at least 5MHz shall be supported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.  </w:t>
      </w:r>
    </w:p>
    <w:p w14:paraId="05F151D8" w14:textId="77777777" w:rsidR="00F8091C" w:rsidRDefault="00F8091C" w:rsidP="00F8091C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coexistence with NR, the slot or symbol level configuration shall be considered in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to allow DL or UL transmission in part of the subframe.  </w:t>
      </w:r>
    </w:p>
    <w:p w14:paraId="46CE68F4" w14:textId="60B43B6F" w:rsidR="00335A43" w:rsidRDefault="00335A43" w:rsidP="00335A43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5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discuss whether to support frequency hopping for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coexistence with NR and study possible enhancements to frequency hopping  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03956DE" w14:textId="146C30C7" w:rsidR="003A7EF3" w:rsidRDefault="00FA0631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bookmarkStart w:id="8" w:name="_Ref174151459"/>
      <w:bookmarkStart w:id="9" w:name="_Ref189809556"/>
      <w:r w:rsidRPr="00504EAE">
        <w:rPr>
          <w:rFonts w:ascii="Times New Roman" w:hAnsi="Times New Roman"/>
          <w:snapToGrid w:val="0"/>
          <w:sz w:val="22"/>
          <w:szCs w:val="22"/>
        </w:rPr>
        <w:t>[1]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  <w:t>RP-18145</w:t>
      </w:r>
      <w:r w:rsidR="00900302">
        <w:rPr>
          <w:rFonts w:ascii="Times New Roman" w:hAnsi="Times New Roman"/>
          <w:snapToGrid w:val="0"/>
          <w:sz w:val="22"/>
          <w:szCs w:val="22"/>
        </w:rPr>
        <w:t>0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, “New WID on Rel-16 </w:t>
      </w:r>
      <w:r w:rsidR="00900302">
        <w:rPr>
          <w:rFonts w:ascii="Times New Roman" w:hAnsi="Times New Roman"/>
          <w:snapToGrid w:val="0"/>
          <w:sz w:val="22"/>
          <w:szCs w:val="22"/>
        </w:rPr>
        <w:t xml:space="preserve">MTC 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enhancements for </w:t>
      </w:r>
      <w:r w:rsidR="00900302">
        <w:rPr>
          <w:rFonts w:ascii="Times New Roman" w:hAnsi="Times New Roman"/>
          <w:snapToGrid w:val="0"/>
          <w:sz w:val="22"/>
          <w:szCs w:val="22"/>
        </w:rPr>
        <w:t>LTE</w:t>
      </w:r>
      <w:r w:rsidRPr="00504EAE">
        <w:rPr>
          <w:rFonts w:ascii="Times New Roman" w:hAnsi="Times New Roman"/>
          <w:snapToGrid w:val="0"/>
          <w:sz w:val="22"/>
          <w:szCs w:val="22"/>
        </w:rPr>
        <w:t>”, Ericsson, 3GPP RAN#80 meeting, La Jolla, USA, June 11-14, 2018</w:t>
      </w:r>
      <w:bookmarkEnd w:id="8"/>
      <w:bookmarkEnd w:id="9"/>
    </w:p>
    <w:p w14:paraId="1597FC71" w14:textId="22D9F21A" w:rsidR="002F526B" w:rsidRDefault="002F526B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bookmarkStart w:id="10" w:name="_Hlk525895667"/>
      <w:r>
        <w:rPr>
          <w:rFonts w:ascii="Times New Roman" w:hAnsi="Times New Roman"/>
          <w:snapToGrid w:val="0"/>
          <w:sz w:val="22"/>
          <w:szCs w:val="22"/>
        </w:rPr>
        <w:t>[2]</w:t>
      </w:r>
      <w:r>
        <w:rPr>
          <w:rFonts w:ascii="Times New Roman" w:hAnsi="Times New Roman"/>
          <w:snapToGrid w:val="0"/>
          <w:sz w:val="22"/>
          <w:szCs w:val="22"/>
        </w:rPr>
        <w:tab/>
        <w:t>3GPP RAN1#94, Chairman’s notes, August 2018</w:t>
      </w:r>
      <w:bookmarkStart w:id="11" w:name="_GoBack"/>
      <w:bookmarkEnd w:id="10"/>
      <w:bookmarkEnd w:id="11"/>
    </w:p>
    <w:sectPr w:rsidR="002F526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C4CB0" w14:textId="77777777" w:rsidR="002838BA" w:rsidRDefault="002838BA">
      <w:r>
        <w:separator/>
      </w:r>
    </w:p>
  </w:endnote>
  <w:endnote w:type="continuationSeparator" w:id="0">
    <w:p w14:paraId="3304E2C4" w14:textId="77777777" w:rsidR="002838BA" w:rsidRDefault="0028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797B27" w:rsidRDefault="00797B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F975" w14:textId="77777777" w:rsidR="002838BA" w:rsidRDefault="002838BA">
      <w:r>
        <w:separator/>
      </w:r>
    </w:p>
  </w:footnote>
  <w:footnote w:type="continuationSeparator" w:id="0">
    <w:p w14:paraId="566074C0" w14:textId="77777777" w:rsidR="002838BA" w:rsidRDefault="00283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797B27" w:rsidRDefault="00797B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67502"/>
    <w:multiLevelType w:val="hybridMultilevel"/>
    <w:tmpl w:val="4E8A7F0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4"/>
  </w:num>
  <w:num w:numId="7">
    <w:abstractNumId w:val="29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8"/>
  </w:num>
  <w:num w:numId="15">
    <w:abstractNumId w:val="21"/>
  </w:num>
  <w:num w:numId="16">
    <w:abstractNumId w:val="31"/>
  </w:num>
  <w:num w:numId="17">
    <w:abstractNumId w:val="10"/>
  </w:num>
  <w:num w:numId="18">
    <w:abstractNumId w:val="12"/>
  </w:num>
  <w:num w:numId="19">
    <w:abstractNumId w:val="7"/>
  </w:num>
  <w:num w:numId="20">
    <w:abstractNumId w:val="33"/>
  </w:num>
  <w:num w:numId="21">
    <w:abstractNumId w:val="18"/>
  </w:num>
  <w:num w:numId="22">
    <w:abstractNumId w:val="32"/>
  </w:num>
  <w:num w:numId="23">
    <w:abstractNumId w:val="11"/>
  </w:num>
  <w:num w:numId="24">
    <w:abstractNumId w:val="22"/>
  </w:num>
  <w:num w:numId="25">
    <w:abstractNumId w:val="34"/>
  </w:num>
  <w:num w:numId="26">
    <w:abstractNumId w:val="3"/>
  </w:num>
  <w:num w:numId="27">
    <w:abstractNumId w:val="9"/>
  </w:num>
  <w:num w:numId="28">
    <w:abstractNumId w:val="30"/>
  </w:num>
  <w:num w:numId="29">
    <w:abstractNumId w:val="5"/>
  </w:num>
  <w:num w:numId="30">
    <w:abstractNumId w:val="6"/>
  </w:num>
  <w:num w:numId="31">
    <w:abstractNumId w:val="27"/>
  </w:num>
  <w:num w:numId="32">
    <w:abstractNumId w:val="8"/>
  </w:num>
  <w:num w:numId="33">
    <w:abstractNumId w:val="23"/>
  </w:num>
  <w:num w:numId="34">
    <w:abstractNumId w:val="13"/>
  </w:num>
  <w:num w:numId="35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7A9F"/>
    <w:rsid w:val="00052A07"/>
    <w:rsid w:val="000534E3"/>
    <w:rsid w:val="0005606A"/>
    <w:rsid w:val="00057117"/>
    <w:rsid w:val="000616E7"/>
    <w:rsid w:val="0006487E"/>
    <w:rsid w:val="00065E1A"/>
    <w:rsid w:val="00076617"/>
    <w:rsid w:val="00077E5F"/>
    <w:rsid w:val="0008036A"/>
    <w:rsid w:val="00081AE6"/>
    <w:rsid w:val="0008305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4C0A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6173"/>
    <w:rsid w:val="001A6CBA"/>
    <w:rsid w:val="001B0D97"/>
    <w:rsid w:val="001B5A5D"/>
    <w:rsid w:val="001B7F7F"/>
    <w:rsid w:val="001C0423"/>
    <w:rsid w:val="001C1CE5"/>
    <w:rsid w:val="001C3D2A"/>
    <w:rsid w:val="001D51BA"/>
    <w:rsid w:val="001D5298"/>
    <w:rsid w:val="001D53E7"/>
    <w:rsid w:val="001D6342"/>
    <w:rsid w:val="001D6CFA"/>
    <w:rsid w:val="001D6D53"/>
    <w:rsid w:val="001E58E2"/>
    <w:rsid w:val="001E7AED"/>
    <w:rsid w:val="001F22E5"/>
    <w:rsid w:val="001F3916"/>
    <w:rsid w:val="001F54C5"/>
    <w:rsid w:val="001F662C"/>
    <w:rsid w:val="001F707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801E1"/>
    <w:rsid w:val="002805F5"/>
    <w:rsid w:val="00280751"/>
    <w:rsid w:val="0028280A"/>
    <w:rsid w:val="002838BA"/>
    <w:rsid w:val="002846D2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A790C"/>
    <w:rsid w:val="002B24D6"/>
    <w:rsid w:val="002C14BD"/>
    <w:rsid w:val="002C41E6"/>
    <w:rsid w:val="002D071A"/>
    <w:rsid w:val="002D34B2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2F526B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5A43"/>
    <w:rsid w:val="00336BDA"/>
    <w:rsid w:val="00342BD7"/>
    <w:rsid w:val="003448C6"/>
    <w:rsid w:val="00346DB5"/>
    <w:rsid w:val="00347712"/>
    <w:rsid w:val="003477B1"/>
    <w:rsid w:val="00354C48"/>
    <w:rsid w:val="00357380"/>
    <w:rsid w:val="003602D9"/>
    <w:rsid w:val="003604CE"/>
    <w:rsid w:val="003623B1"/>
    <w:rsid w:val="00370E47"/>
    <w:rsid w:val="003742AC"/>
    <w:rsid w:val="003752FC"/>
    <w:rsid w:val="00377CE1"/>
    <w:rsid w:val="003836F2"/>
    <w:rsid w:val="00385785"/>
    <w:rsid w:val="00385BF0"/>
    <w:rsid w:val="003939FF"/>
    <w:rsid w:val="0039468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0B8C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0F9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A61BA"/>
    <w:rsid w:val="004B621A"/>
    <w:rsid w:val="004B6F6A"/>
    <w:rsid w:val="004B7C0C"/>
    <w:rsid w:val="004C3898"/>
    <w:rsid w:val="004D36B1"/>
    <w:rsid w:val="004D4A0A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5F12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99A"/>
    <w:rsid w:val="00595DCA"/>
    <w:rsid w:val="0059779B"/>
    <w:rsid w:val="005A209A"/>
    <w:rsid w:val="005A662D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4080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EC9"/>
    <w:rsid w:val="006C6059"/>
    <w:rsid w:val="006C7522"/>
    <w:rsid w:val="006D0F2A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22C3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37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1524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8E4"/>
    <w:rsid w:val="009E598E"/>
    <w:rsid w:val="009F0779"/>
    <w:rsid w:val="009F08F3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803A5"/>
    <w:rsid w:val="00A81818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E60EC"/>
    <w:rsid w:val="00AF1C5D"/>
    <w:rsid w:val="00AF42D7"/>
    <w:rsid w:val="00B00335"/>
    <w:rsid w:val="00B006FE"/>
    <w:rsid w:val="00B007CB"/>
    <w:rsid w:val="00B02AA9"/>
    <w:rsid w:val="00B02FA3"/>
    <w:rsid w:val="00B041DD"/>
    <w:rsid w:val="00B04628"/>
    <w:rsid w:val="00B05084"/>
    <w:rsid w:val="00B12997"/>
    <w:rsid w:val="00B157F9"/>
    <w:rsid w:val="00B20256"/>
    <w:rsid w:val="00B20D09"/>
    <w:rsid w:val="00B2763F"/>
    <w:rsid w:val="00B27AAC"/>
    <w:rsid w:val="00B30929"/>
    <w:rsid w:val="00B342D0"/>
    <w:rsid w:val="00B3486E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509B4"/>
    <w:rsid w:val="00B548B7"/>
    <w:rsid w:val="00B61DD3"/>
    <w:rsid w:val="00B64CF8"/>
    <w:rsid w:val="00B664C7"/>
    <w:rsid w:val="00B73551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682C"/>
    <w:rsid w:val="00C279B5"/>
    <w:rsid w:val="00C27C45"/>
    <w:rsid w:val="00C3719D"/>
    <w:rsid w:val="00C37CB2"/>
    <w:rsid w:val="00C405AB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B40"/>
    <w:rsid w:val="00CA03EB"/>
    <w:rsid w:val="00CA1A04"/>
    <w:rsid w:val="00CA1ED8"/>
    <w:rsid w:val="00CA512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5E7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38F7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91C"/>
    <w:rsid w:val="00E93FFE"/>
    <w:rsid w:val="00E94F8A"/>
    <w:rsid w:val="00EA0473"/>
    <w:rsid w:val="00EA7A41"/>
    <w:rsid w:val="00EB077B"/>
    <w:rsid w:val="00EB388E"/>
    <w:rsid w:val="00EB4EA2"/>
    <w:rsid w:val="00EC24D5"/>
    <w:rsid w:val="00EC27C6"/>
    <w:rsid w:val="00EC4207"/>
    <w:rsid w:val="00EC5653"/>
    <w:rsid w:val="00EC71CE"/>
    <w:rsid w:val="00EC7337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37BC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091C"/>
    <w:rsid w:val="00F812E2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761F"/>
    <w:rsid w:val="00FB4C80"/>
    <w:rsid w:val="00FB6A6A"/>
    <w:rsid w:val="00FC7429"/>
    <w:rsid w:val="00FD07F6"/>
    <w:rsid w:val="00FD1EC8"/>
    <w:rsid w:val="00FD2B99"/>
    <w:rsid w:val="00FD3120"/>
    <w:rsid w:val="00FD47ED"/>
    <w:rsid w:val="00FD74DB"/>
    <w:rsid w:val="00FD7660"/>
    <w:rsid w:val="00FE0655"/>
    <w:rsid w:val="00FE2365"/>
    <w:rsid w:val="00FE37D7"/>
    <w:rsid w:val="00FE43D0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84FC093D-E4E8-4325-B46B-8EBC26B6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FC421-1761-4E2B-8028-44646E02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1581</TotalTime>
  <Pages>4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3</cp:revision>
  <cp:lastPrinted>2008-01-31T07:09:00Z</cp:lastPrinted>
  <dcterms:created xsi:type="dcterms:W3CDTF">2018-08-07T08:48:00Z</dcterms:created>
  <dcterms:modified xsi:type="dcterms:W3CDTF">2018-09-28T07:41:00Z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