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128" w:rsidRPr="00E533AA" w:rsidRDefault="00F97128" w:rsidP="00F97128">
      <w:pPr>
        <w:pStyle w:val="a5"/>
        <w:rPr>
          <w:rFonts w:eastAsia="宋体" w:cs="Arial"/>
          <w:bCs/>
          <w:sz w:val="24"/>
          <w:szCs w:val="24"/>
          <w:lang w:eastAsia="zh-CN"/>
        </w:rPr>
      </w:pPr>
      <w:bookmarkStart w:id="0" w:name="_Ref399006623"/>
      <w:bookmarkStart w:id="1" w:name="_Toc92513360"/>
      <w:r w:rsidRPr="00E533AA">
        <w:rPr>
          <w:rFonts w:eastAsia="宋体" w:cs="Arial"/>
          <w:bCs/>
          <w:sz w:val="24"/>
          <w:szCs w:val="24"/>
          <w:lang w:eastAsia="zh-CN"/>
        </w:rPr>
        <w:t>3G</w:t>
      </w:r>
      <w:r w:rsidR="007D10E1">
        <w:rPr>
          <w:rFonts w:eastAsia="宋体" w:cs="Arial"/>
          <w:bCs/>
          <w:sz w:val="24"/>
          <w:szCs w:val="24"/>
          <w:lang w:eastAsia="zh-CN"/>
        </w:rPr>
        <w:t>PP TSG RAN WG1 Meeting #94bis</w:t>
      </w:r>
      <w:r w:rsidR="007D10E1">
        <w:rPr>
          <w:rFonts w:eastAsia="宋体" w:cs="Arial"/>
          <w:bCs/>
          <w:sz w:val="24"/>
          <w:szCs w:val="24"/>
          <w:lang w:eastAsia="zh-CN"/>
        </w:rPr>
        <w:tab/>
      </w:r>
      <w:r w:rsidR="007D10E1">
        <w:rPr>
          <w:rFonts w:eastAsia="宋体" w:cs="Arial"/>
          <w:bCs/>
          <w:sz w:val="24"/>
          <w:szCs w:val="24"/>
          <w:lang w:eastAsia="zh-CN"/>
        </w:rPr>
        <w:tab/>
      </w:r>
      <w:r w:rsidRPr="00E533AA">
        <w:rPr>
          <w:rFonts w:eastAsia="宋体" w:cs="Arial"/>
          <w:bCs/>
          <w:sz w:val="24"/>
          <w:szCs w:val="24"/>
          <w:lang w:eastAsia="zh-CN"/>
        </w:rPr>
        <w:tab/>
      </w:r>
      <w:r w:rsidRPr="00E533AA">
        <w:rPr>
          <w:rFonts w:eastAsia="宋体" w:cs="Arial"/>
          <w:bCs/>
          <w:sz w:val="24"/>
          <w:szCs w:val="24"/>
          <w:lang w:eastAsia="zh-CN"/>
        </w:rPr>
        <w:tab/>
      </w:r>
      <w:r w:rsidRPr="00E533AA">
        <w:rPr>
          <w:rFonts w:eastAsia="宋体" w:cs="Arial"/>
          <w:bCs/>
          <w:sz w:val="24"/>
          <w:szCs w:val="24"/>
          <w:lang w:eastAsia="zh-CN"/>
        </w:rPr>
        <w:tab/>
      </w:r>
      <w:r w:rsidRPr="00E533AA">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sidR="00F40D08">
        <w:rPr>
          <w:rFonts w:eastAsia="宋体" w:cs="Arial"/>
          <w:bCs/>
          <w:sz w:val="24"/>
          <w:szCs w:val="24"/>
          <w:lang w:eastAsia="zh-CN"/>
        </w:rPr>
        <w:t>R1-1810538</w:t>
      </w:r>
    </w:p>
    <w:p w:rsidR="00F97128" w:rsidRPr="00E533AA" w:rsidRDefault="00F97128" w:rsidP="00F97128">
      <w:pPr>
        <w:pStyle w:val="a5"/>
        <w:rPr>
          <w:rFonts w:eastAsia="宋体" w:cs="Arial"/>
          <w:bCs/>
          <w:sz w:val="24"/>
          <w:szCs w:val="24"/>
          <w:lang w:eastAsia="zh-CN"/>
        </w:rPr>
      </w:pPr>
      <w:r>
        <w:rPr>
          <w:rFonts w:eastAsia="宋体" w:cs="Arial"/>
          <w:bCs/>
          <w:sz w:val="24"/>
          <w:szCs w:val="24"/>
          <w:lang w:eastAsia="zh-CN"/>
        </w:rPr>
        <w:t>Chengdu, China, October 8</w:t>
      </w:r>
      <w:r w:rsidRPr="00E533AA">
        <w:rPr>
          <w:rFonts w:eastAsia="宋体" w:cs="Arial"/>
          <w:bCs/>
          <w:sz w:val="24"/>
          <w:szCs w:val="24"/>
          <w:vertAlign w:val="superscript"/>
          <w:lang w:eastAsia="zh-CN"/>
        </w:rPr>
        <w:t>th</w:t>
      </w:r>
      <w:r>
        <w:rPr>
          <w:rFonts w:eastAsia="宋体" w:cs="Arial"/>
          <w:bCs/>
          <w:sz w:val="24"/>
          <w:szCs w:val="24"/>
          <w:lang w:eastAsia="zh-CN"/>
        </w:rPr>
        <w:t xml:space="preserve">  – 12</w:t>
      </w:r>
      <w:r w:rsidRPr="00E533AA">
        <w:rPr>
          <w:rFonts w:eastAsia="宋体" w:cs="Arial"/>
          <w:bCs/>
          <w:sz w:val="24"/>
          <w:szCs w:val="24"/>
          <w:vertAlign w:val="superscript"/>
          <w:lang w:eastAsia="zh-CN"/>
        </w:rPr>
        <w:t>th</w:t>
      </w:r>
      <w:r>
        <w:rPr>
          <w:rFonts w:eastAsia="宋体" w:cs="Arial"/>
          <w:bCs/>
          <w:sz w:val="24"/>
          <w:szCs w:val="24"/>
          <w:lang w:eastAsia="zh-CN"/>
        </w:rPr>
        <w:t xml:space="preserve"> </w:t>
      </w:r>
      <w:r w:rsidRPr="00E533AA">
        <w:rPr>
          <w:rFonts w:eastAsia="宋体" w:cs="Arial"/>
          <w:bCs/>
          <w:sz w:val="24"/>
          <w:szCs w:val="24"/>
          <w:lang w:eastAsia="zh-CN"/>
        </w:rPr>
        <w:t xml:space="preserve">, 2018 </w:t>
      </w:r>
    </w:p>
    <w:p w:rsidR="008449B8" w:rsidRPr="002328F2" w:rsidRDefault="004A0358" w:rsidP="004A0358">
      <w:pPr>
        <w:pStyle w:val="DocInfo"/>
        <w:tabs>
          <w:tab w:val="clear" w:pos="2160"/>
          <w:tab w:val="right" w:pos="9639"/>
        </w:tabs>
        <w:spacing w:before="0" w:after="0"/>
        <w:rPr>
          <w:rFonts w:ascii="Arial" w:eastAsia="MS Mincho" w:hAnsi="Arial" w:cs="Arial"/>
          <w:b/>
          <w:sz w:val="24"/>
          <w:szCs w:val="24"/>
        </w:rPr>
      </w:pPr>
      <w:r w:rsidRPr="002328F2">
        <w:rPr>
          <w:rFonts w:ascii="Arial" w:eastAsia="MS Mincho" w:hAnsi="Arial" w:cs="Arial"/>
          <w:b/>
          <w:sz w:val="24"/>
          <w:szCs w:val="24"/>
        </w:rPr>
        <w:tab/>
      </w:r>
    </w:p>
    <w:p w:rsidR="00652257" w:rsidRPr="002328F2" w:rsidRDefault="00652257" w:rsidP="00652257">
      <w:pPr>
        <w:tabs>
          <w:tab w:val="left" w:pos="1985"/>
        </w:tabs>
        <w:jc w:val="both"/>
        <w:rPr>
          <w:rFonts w:ascii="Arial" w:eastAsia="SimSun" w:hAnsi="Arial" w:cs="Arial"/>
          <w:sz w:val="24"/>
          <w:szCs w:val="24"/>
          <w:lang w:eastAsia="zh-CN"/>
        </w:rPr>
      </w:pPr>
      <w:r w:rsidRPr="002328F2">
        <w:rPr>
          <w:rFonts w:ascii="Arial" w:hAnsi="Arial" w:cs="Arial"/>
          <w:b/>
          <w:sz w:val="24"/>
          <w:szCs w:val="24"/>
        </w:rPr>
        <w:t>Agen</w:t>
      </w:r>
      <w:r w:rsidRPr="002328F2">
        <w:rPr>
          <w:rFonts w:ascii="Arial" w:eastAsia="SimSun" w:hAnsi="Arial" w:cs="Arial"/>
          <w:b/>
          <w:sz w:val="24"/>
          <w:szCs w:val="24"/>
          <w:lang w:eastAsia="zh-CN"/>
        </w:rPr>
        <w:t>d</w:t>
      </w:r>
      <w:r w:rsidRPr="002328F2">
        <w:rPr>
          <w:rFonts w:ascii="Arial" w:hAnsi="Arial" w:cs="Arial"/>
          <w:b/>
          <w:sz w:val="24"/>
          <w:szCs w:val="24"/>
        </w:rPr>
        <w:t>a Item:</w:t>
      </w:r>
      <w:r w:rsidRPr="002328F2">
        <w:rPr>
          <w:rFonts w:ascii="Arial" w:hAnsi="Arial" w:cs="Arial"/>
          <w:sz w:val="24"/>
          <w:szCs w:val="24"/>
        </w:rPr>
        <w:tab/>
      </w:r>
      <w:r w:rsidR="005451E6">
        <w:rPr>
          <w:rFonts w:ascii="Arial" w:hAnsi="Arial" w:cs="Arial"/>
          <w:sz w:val="24"/>
          <w:szCs w:val="24"/>
        </w:rPr>
        <w:t>7</w:t>
      </w:r>
      <w:r w:rsidRPr="002328F2">
        <w:rPr>
          <w:rFonts w:ascii="Arial" w:hAnsi="Arial" w:cs="Arial"/>
          <w:sz w:val="24"/>
          <w:szCs w:val="24"/>
        </w:rPr>
        <w:t>.</w:t>
      </w:r>
      <w:r w:rsidR="00FC4132">
        <w:rPr>
          <w:rFonts w:ascii="Arial" w:hAnsi="Arial" w:cs="Arial"/>
          <w:sz w:val="24"/>
          <w:szCs w:val="24"/>
        </w:rPr>
        <w:t>2</w:t>
      </w:r>
      <w:r w:rsidR="005451E6">
        <w:rPr>
          <w:rFonts w:ascii="Arial" w:hAnsi="Arial" w:cs="Arial"/>
          <w:sz w:val="24"/>
          <w:szCs w:val="24"/>
        </w:rPr>
        <w:t>.</w:t>
      </w:r>
      <w:r w:rsidR="00FC4132">
        <w:rPr>
          <w:rFonts w:ascii="Arial" w:hAnsi="Arial" w:cs="Arial"/>
          <w:sz w:val="24"/>
          <w:szCs w:val="24"/>
        </w:rPr>
        <w:t>3.</w:t>
      </w:r>
      <w:r w:rsidR="005451E6">
        <w:rPr>
          <w:rFonts w:ascii="Arial" w:hAnsi="Arial" w:cs="Arial"/>
          <w:sz w:val="24"/>
          <w:szCs w:val="24"/>
        </w:rPr>
        <w:t>1</w:t>
      </w:r>
    </w:p>
    <w:p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135DAD">
        <w:rPr>
          <w:rFonts w:ascii="Arial" w:hAnsi="Arial" w:cs="Arial"/>
          <w:sz w:val="24"/>
          <w:szCs w:val="24"/>
        </w:rPr>
        <w:t>CATT</w:t>
      </w:r>
    </w:p>
    <w:p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18331F" w:rsidRPr="0018331F">
        <w:rPr>
          <w:rFonts w:ascii="Arial" w:hAnsi="Arial" w:cs="Arial"/>
          <w:sz w:val="24"/>
          <w:szCs w:val="24"/>
        </w:rPr>
        <w:t>NR Phys</w:t>
      </w:r>
      <w:r w:rsidR="0018331F">
        <w:rPr>
          <w:rFonts w:ascii="Arial" w:hAnsi="Arial" w:cs="Arial"/>
          <w:sz w:val="24"/>
          <w:szCs w:val="24"/>
        </w:rPr>
        <w:t>ical Layer design for IAB backh</w:t>
      </w:r>
      <w:r w:rsidR="0018331F" w:rsidRPr="0018331F">
        <w:rPr>
          <w:rFonts w:ascii="Arial" w:hAnsi="Arial" w:cs="Arial"/>
          <w:sz w:val="24"/>
          <w:szCs w:val="24"/>
        </w:rPr>
        <w:t>a</w:t>
      </w:r>
      <w:r w:rsidR="0018331F">
        <w:rPr>
          <w:rFonts w:ascii="Arial" w:hAnsi="Arial" w:cs="Arial"/>
          <w:sz w:val="24"/>
          <w:szCs w:val="24"/>
        </w:rPr>
        <w:t>u</w:t>
      </w:r>
      <w:r w:rsidR="0018331F" w:rsidRPr="0018331F">
        <w:rPr>
          <w:rFonts w:ascii="Arial" w:hAnsi="Arial" w:cs="Arial"/>
          <w:sz w:val="24"/>
          <w:szCs w:val="24"/>
        </w:rPr>
        <w:t>l link</w:t>
      </w:r>
      <w:r w:rsidR="005451E6">
        <w:rPr>
          <w:rFonts w:ascii="Arial" w:hAnsi="Arial" w:cs="Arial"/>
          <w:sz w:val="24"/>
          <w:szCs w:val="24"/>
        </w:rPr>
        <w:t xml:space="preserve"> </w:t>
      </w:r>
    </w:p>
    <w:p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rsidR="00BB7889" w:rsidRPr="007C2F71" w:rsidRDefault="00BB7889" w:rsidP="00C23B88">
      <w:pPr>
        <w:pStyle w:val="1"/>
        <w:rPr>
          <w:lang w:eastAsia="zh-CN"/>
        </w:rPr>
      </w:pPr>
      <w:r w:rsidRPr="00C23B88">
        <w:t>Introduction</w:t>
      </w:r>
    </w:p>
    <w:p w:rsidR="006E2265" w:rsidRDefault="00767A6C" w:rsidP="000360A3">
      <w:r w:rsidRPr="00E271F9">
        <w:t xml:space="preserve">NR-IAB (Integrated Access and Backhaul) targets to support the NR access link as the backhaul link for other NR node.   </w:t>
      </w:r>
    </w:p>
    <w:p w:rsidR="006E2265" w:rsidRDefault="00F40D08" w:rsidP="000360A3">
      <w:r>
        <w:t>In RAN1#94</w:t>
      </w:r>
      <w:r w:rsidR="006E2265" w:rsidRPr="00E271F9">
        <w:t xml:space="preserve">, the physical layer aspects for IAB were discussed with the following agreements, </w:t>
      </w:r>
    </w:p>
    <w:p w:rsidR="00F40D08" w:rsidRPr="00F40D08" w:rsidRDefault="00F40D08" w:rsidP="00F40D08">
      <w:pPr>
        <w:spacing w:after="0"/>
      </w:pPr>
      <w:r w:rsidRPr="00F40D08">
        <w:rPr>
          <w:highlight w:val="green"/>
        </w:rPr>
        <w:t>Agreements</w:t>
      </w:r>
      <w:r w:rsidRPr="00F40D08">
        <w:t>:</w:t>
      </w:r>
    </w:p>
    <w:p w:rsidR="00F40D08" w:rsidRPr="00F40D08" w:rsidRDefault="00F40D08" w:rsidP="00F40D08">
      <w:pPr>
        <w:numPr>
          <w:ilvl w:val="0"/>
          <w:numId w:val="44"/>
        </w:numPr>
        <w:overflowPunct/>
        <w:autoSpaceDE/>
        <w:autoSpaceDN/>
        <w:adjustRightInd/>
        <w:spacing w:after="0"/>
        <w:textAlignment w:val="auto"/>
      </w:pPr>
      <w:r w:rsidRPr="00F40D08">
        <w:t>In case of SA deployments, initial IAB node discovery by the MT (Stage 1) follows the Rel.15 procedure for cell search and initial access based on SSBs available for access UEs without additional required specification support.</w:t>
      </w:r>
    </w:p>
    <w:p w:rsidR="00F40D08" w:rsidRPr="00F40D08" w:rsidRDefault="00F40D08" w:rsidP="00F40D08">
      <w:pPr>
        <w:numPr>
          <w:ilvl w:val="1"/>
          <w:numId w:val="44"/>
        </w:numPr>
        <w:overflowPunct/>
        <w:autoSpaceDE/>
        <w:autoSpaceDN/>
        <w:adjustRightInd/>
        <w:spacing w:after="0"/>
        <w:textAlignment w:val="auto"/>
      </w:pPr>
      <w:r w:rsidRPr="00F40D08">
        <w:t>FFS: how to support NSA deployment</w:t>
      </w:r>
    </w:p>
    <w:p w:rsidR="00F40D08" w:rsidRPr="00F40D08" w:rsidRDefault="00F40D08" w:rsidP="00F40D08">
      <w:pPr>
        <w:numPr>
          <w:ilvl w:val="1"/>
          <w:numId w:val="44"/>
        </w:numPr>
        <w:overflowPunct/>
        <w:autoSpaceDE/>
        <w:autoSpaceDN/>
        <w:adjustRightInd/>
        <w:spacing w:after="0"/>
        <w:textAlignment w:val="auto"/>
      </w:pPr>
      <w:r w:rsidRPr="00F40D08">
        <w:t>FFS whether Stage 2 enhancements (if any) can be applied to Stage 1</w:t>
      </w:r>
    </w:p>
    <w:p w:rsidR="00F40D08" w:rsidRPr="00F40D08" w:rsidRDefault="00F40D08" w:rsidP="00F40D08">
      <w:pPr>
        <w:spacing w:after="0"/>
        <w:rPr>
          <w:b/>
        </w:rPr>
      </w:pPr>
    </w:p>
    <w:p w:rsidR="00F40D08" w:rsidRPr="00F40D08" w:rsidRDefault="00F40D08" w:rsidP="00F40D08">
      <w:pPr>
        <w:spacing w:after="0"/>
      </w:pPr>
      <w:r w:rsidRPr="00F40D08">
        <w:rPr>
          <w:highlight w:val="green"/>
        </w:rPr>
        <w:t>Agreements</w:t>
      </w:r>
      <w:r w:rsidRPr="00F40D08">
        <w:t>:</w:t>
      </w:r>
    </w:p>
    <w:p w:rsidR="00F40D08" w:rsidRPr="00F40D08" w:rsidRDefault="00F40D08" w:rsidP="00F40D08">
      <w:pPr>
        <w:pStyle w:val="maintext"/>
        <w:numPr>
          <w:ilvl w:val="0"/>
          <w:numId w:val="45"/>
        </w:numPr>
        <w:spacing w:before="0" w:after="0" w:line="240" w:lineRule="auto"/>
        <w:ind w:firstLineChars="0"/>
      </w:pPr>
      <w:r w:rsidRPr="00F40D08">
        <w:t>For the purpose of inter-IAB node and donor detection after the IAB node DU becomes active (Stage 2) at least one of</w:t>
      </w:r>
      <w:r w:rsidRPr="00F40D08">
        <w:rPr>
          <w:color w:val="FF0000"/>
        </w:rPr>
        <w:t xml:space="preserve"> </w:t>
      </w:r>
      <w:r w:rsidRPr="00F40D08">
        <w:t>the following solutions should be supported:</w:t>
      </w:r>
    </w:p>
    <w:p w:rsidR="00F40D08" w:rsidRPr="00F40D08" w:rsidRDefault="00F40D08" w:rsidP="00F40D08">
      <w:pPr>
        <w:pStyle w:val="maintext"/>
        <w:numPr>
          <w:ilvl w:val="1"/>
          <w:numId w:val="45"/>
        </w:numPr>
        <w:spacing w:before="0" w:after="0" w:line="240" w:lineRule="auto"/>
        <w:ind w:firstLineChars="0"/>
      </w:pPr>
      <w:r w:rsidRPr="00F40D08">
        <w:t>SSB-based solutions (Solution 1):</w:t>
      </w:r>
    </w:p>
    <w:p w:rsidR="00F40D08" w:rsidRPr="00F40D08" w:rsidRDefault="00F40D08" w:rsidP="00F40D08">
      <w:pPr>
        <w:pStyle w:val="maintext"/>
        <w:numPr>
          <w:ilvl w:val="3"/>
          <w:numId w:val="45"/>
        </w:numPr>
        <w:spacing w:before="0" w:after="0" w:line="240" w:lineRule="auto"/>
        <w:ind w:firstLineChars="0"/>
      </w:pPr>
      <w:r w:rsidRPr="00F40D08">
        <w:t>Solution 1-A) Reusing the same set of SSBs used for access UEs</w:t>
      </w:r>
    </w:p>
    <w:p w:rsidR="00F40D08" w:rsidRPr="00F40D08" w:rsidRDefault="00F40D08" w:rsidP="00F40D08">
      <w:pPr>
        <w:pStyle w:val="maintext"/>
        <w:numPr>
          <w:ilvl w:val="3"/>
          <w:numId w:val="45"/>
        </w:numPr>
        <w:spacing w:before="0" w:after="0" w:line="240" w:lineRule="auto"/>
        <w:ind w:firstLineChars="0"/>
      </w:pPr>
      <w:r w:rsidRPr="00F40D08">
        <w:t>Solution 1-B) Use of SSBs which are orthogonal (TDM and/or FDM) with SSBs used for access UEs</w:t>
      </w:r>
    </w:p>
    <w:p w:rsidR="00F40D08" w:rsidRPr="00F40D08" w:rsidRDefault="00F40D08" w:rsidP="00F40D08">
      <w:pPr>
        <w:pStyle w:val="maintext"/>
        <w:numPr>
          <w:ilvl w:val="2"/>
          <w:numId w:val="45"/>
        </w:numPr>
        <w:spacing w:before="0" w:after="0" w:line="240" w:lineRule="auto"/>
        <w:ind w:firstLineChars="0"/>
      </w:pPr>
      <w:r w:rsidRPr="00F40D08">
        <w:t xml:space="preserve">Mechanisms to support half-duplex transmission/measurement of SSBs (e.g. muting patterns) for Solution 1-A) or Solution 1-B) </w:t>
      </w:r>
    </w:p>
    <w:p w:rsidR="00F40D08" w:rsidRPr="00F40D08" w:rsidRDefault="00F40D08" w:rsidP="00F40D08">
      <w:pPr>
        <w:pStyle w:val="maintext"/>
        <w:numPr>
          <w:ilvl w:val="2"/>
          <w:numId w:val="45"/>
        </w:numPr>
        <w:spacing w:before="0" w:after="0" w:line="240" w:lineRule="auto"/>
        <w:ind w:firstLineChars="0"/>
      </w:pPr>
      <w:r w:rsidRPr="00F40D08">
        <w:t>Further study potential impacts of the above solutions on access UEs performing initial access/in IDLE mode, including:</w:t>
      </w:r>
    </w:p>
    <w:p w:rsidR="00F40D08" w:rsidRPr="00F40D08" w:rsidRDefault="00F40D08" w:rsidP="00F40D08">
      <w:pPr>
        <w:pStyle w:val="maintext"/>
        <w:numPr>
          <w:ilvl w:val="3"/>
          <w:numId w:val="45"/>
        </w:numPr>
        <w:spacing w:before="0" w:after="0" w:line="240" w:lineRule="auto"/>
        <w:ind w:firstLineChars="0"/>
      </w:pPr>
      <w:r w:rsidRPr="00F40D08">
        <w:t>Cell detection/measurement performance impact due to loss of SSB occasions due to muting</w:t>
      </w:r>
    </w:p>
    <w:p w:rsidR="00F40D08" w:rsidRPr="00F40D08" w:rsidRDefault="00F40D08" w:rsidP="00F40D08">
      <w:pPr>
        <w:pStyle w:val="maintext"/>
        <w:numPr>
          <w:ilvl w:val="3"/>
          <w:numId w:val="45"/>
        </w:numPr>
        <w:spacing w:before="0" w:after="0" w:line="240" w:lineRule="auto"/>
        <w:ind w:firstLineChars="0"/>
      </w:pPr>
      <w:r w:rsidRPr="00F40D08">
        <w:t>Discovery of SSBs by access UEs which are intended only for IAB node discovery</w:t>
      </w:r>
    </w:p>
    <w:p w:rsidR="00F40D08" w:rsidRPr="00F40D08" w:rsidRDefault="00F40D08" w:rsidP="00F40D08">
      <w:pPr>
        <w:pStyle w:val="maintext"/>
        <w:numPr>
          <w:ilvl w:val="1"/>
          <w:numId w:val="45"/>
        </w:numPr>
        <w:spacing w:before="0" w:after="0" w:line="240" w:lineRule="auto"/>
        <w:ind w:firstLineChars="0"/>
      </w:pPr>
      <w:r w:rsidRPr="00F40D08">
        <w:t>CSI-RS based solutions (Solution 2)</w:t>
      </w:r>
    </w:p>
    <w:p w:rsidR="00F40D08" w:rsidRPr="00F40D08" w:rsidRDefault="00F40D08" w:rsidP="00F40D08">
      <w:pPr>
        <w:pStyle w:val="maintext"/>
        <w:numPr>
          <w:ilvl w:val="2"/>
          <w:numId w:val="45"/>
        </w:numPr>
        <w:spacing w:before="0" w:after="0" w:line="240" w:lineRule="auto"/>
        <w:ind w:firstLineChars="0"/>
      </w:pPr>
      <w:r w:rsidRPr="00F40D08">
        <w:t xml:space="preserve">Feasibility of CSI-RS only based discovery in case of unsynchronized network operation </w:t>
      </w:r>
    </w:p>
    <w:p w:rsidR="00F40D08" w:rsidRPr="00F40D08" w:rsidRDefault="00F40D08" w:rsidP="00F40D08">
      <w:pPr>
        <w:pStyle w:val="maintext"/>
        <w:numPr>
          <w:ilvl w:val="0"/>
          <w:numId w:val="45"/>
        </w:numPr>
        <w:spacing w:before="0" w:after="0" w:line="240" w:lineRule="auto"/>
        <w:ind w:firstLineChars="0"/>
      </w:pPr>
      <w:r w:rsidRPr="00F40D08">
        <w:t>Further study enhancements to existing configurations (e.g. SMTC and CSI-RS configuration) and inter-node coordination (e.g. F1) for Solutions 1) or 2) and possibility of aperiodic transmission of SSBs/CSI-RS</w:t>
      </w:r>
    </w:p>
    <w:p w:rsidR="00F40D08" w:rsidRPr="00F40D08" w:rsidRDefault="00F40D08" w:rsidP="00F40D08">
      <w:pPr>
        <w:spacing w:after="0"/>
        <w:rPr>
          <w:b/>
        </w:rPr>
      </w:pPr>
    </w:p>
    <w:p w:rsidR="00F40D08" w:rsidRPr="00F40D08" w:rsidRDefault="00F40D08" w:rsidP="00F40D08">
      <w:pPr>
        <w:spacing w:after="0"/>
      </w:pPr>
      <w:r w:rsidRPr="00F40D08">
        <w:rPr>
          <w:highlight w:val="green"/>
        </w:rPr>
        <w:t>Agreements</w:t>
      </w:r>
      <w:r w:rsidRPr="00F40D08">
        <w:t>:</w:t>
      </w:r>
    </w:p>
    <w:p w:rsidR="00F40D08" w:rsidRPr="00F40D08" w:rsidRDefault="00F40D08" w:rsidP="00F40D08">
      <w:pPr>
        <w:numPr>
          <w:ilvl w:val="0"/>
          <w:numId w:val="43"/>
        </w:numPr>
        <w:overflowPunct/>
        <w:autoSpaceDE/>
        <w:autoSpaceDN/>
        <w:adjustRightInd/>
        <w:spacing w:after="0"/>
        <w:jc w:val="both"/>
        <w:textAlignment w:val="auto"/>
      </w:pPr>
      <w:r w:rsidRPr="00F40D08">
        <w:t xml:space="preserve">IAB supports the ability of network flexibility to configure backhaul RACH resources with different occasions, periodicities, and/or formats, </w:t>
      </w:r>
      <w:r w:rsidRPr="00F40D08">
        <w:rPr>
          <w:bCs/>
        </w:rPr>
        <w:t>compared to access RACH resources without impacting Rel.15 UEs</w:t>
      </w:r>
    </w:p>
    <w:p w:rsidR="00F40D08" w:rsidRPr="00F40D08" w:rsidRDefault="00F40D08" w:rsidP="00F40D08">
      <w:pPr>
        <w:numPr>
          <w:ilvl w:val="1"/>
          <w:numId w:val="43"/>
        </w:numPr>
        <w:overflowPunct/>
        <w:autoSpaceDE/>
        <w:autoSpaceDN/>
        <w:adjustRightInd/>
        <w:spacing w:after="0"/>
        <w:jc w:val="both"/>
        <w:textAlignment w:val="auto"/>
      </w:pPr>
      <w:r w:rsidRPr="00F40D08">
        <w:t>F</w:t>
      </w:r>
      <w:r w:rsidRPr="00F40D08">
        <w:rPr>
          <w:kern w:val="2"/>
          <w:lang w:eastAsia="zh-CN"/>
        </w:rPr>
        <w:t xml:space="preserve">urther study mechanisms under current PRACH design framework to ensure that after initial access, IAB nodes and access UE of its mother node can be configured or identify </w:t>
      </w:r>
      <w:proofErr w:type="spellStart"/>
      <w:r w:rsidRPr="00F40D08">
        <w:rPr>
          <w:kern w:val="2"/>
          <w:lang w:eastAsia="zh-CN"/>
        </w:rPr>
        <w:t>TDMed</w:t>
      </w:r>
      <w:proofErr w:type="spellEnd"/>
      <w:r w:rsidRPr="00F40D08">
        <w:rPr>
          <w:kern w:val="2"/>
          <w:lang w:eastAsia="zh-CN"/>
        </w:rPr>
        <w:t xml:space="preserve"> PRACH occasions.</w:t>
      </w:r>
    </w:p>
    <w:p w:rsidR="00F40D08" w:rsidRPr="00F40D08" w:rsidRDefault="00F40D08" w:rsidP="00F40D08">
      <w:pPr>
        <w:numPr>
          <w:ilvl w:val="1"/>
          <w:numId w:val="43"/>
        </w:numPr>
        <w:overflowPunct/>
        <w:autoSpaceDE/>
        <w:autoSpaceDN/>
        <w:adjustRightInd/>
        <w:spacing w:after="0"/>
        <w:jc w:val="both"/>
        <w:textAlignment w:val="auto"/>
      </w:pPr>
      <w:r w:rsidRPr="00F40D08">
        <w:t>Further study the need for new RACH formats/configurations specific for IAB node random access</w:t>
      </w:r>
    </w:p>
    <w:p w:rsidR="00F40D08" w:rsidRPr="00F40D08" w:rsidRDefault="00F40D08" w:rsidP="00F40D08">
      <w:pPr>
        <w:spacing w:after="0"/>
        <w:rPr>
          <w:b/>
        </w:rPr>
      </w:pPr>
    </w:p>
    <w:p w:rsidR="00F40D08" w:rsidRPr="00F40D08" w:rsidRDefault="00F40D08" w:rsidP="00F40D08">
      <w:pPr>
        <w:spacing w:after="0"/>
      </w:pPr>
      <w:r w:rsidRPr="00F40D08">
        <w:rPr>
          <w:highlight w:val="green"/>
        </w:rPr>
        <w:t>Agreements</w:t>
      </w:r>
      <w:r w:rsidRPr="00F40D08">
        <w:t>:</w:t>
      </w:r>
    </w:p>
    <w:p w:rsidR="00F40D08" w:rsidRPr="00F40D08" w:rsidRDefault="00F40D08" w:rsidP="00F40D08">
      <w:pPr>
        <w:numPr>
          <w:ilvl w:val="0"/>
          <w:numId w:val="43"/>
        </w:numPr>
        <w:overflowPunct/>
        <w:autoSpaceDE/>
        <w:autoSpaceDN/>
        <w:adjustRightInd/>
        <w:spacing w:after="0"/>
        <w:textAlignment w:val="auto"/>
      </w:pPr>
      <w:r w:rsidRPr="00F40D08">
        <w:t xml:space="preserve">For the purpose of backhaul link </w:t>
      </w:r>
      <w:proofErr w:type="gramStart"/>
      <w:r w:rsidRPr="00F40D08">
        <w:t>measurements</w:t>
      </w:r>
      <w:proofErr w:type="gramEnd"/>
      <w:r w:rsidRPr="00F40D08">
        <w:t xml:space="preserve"> IAB supports both SSB and CSI-RS for backhaul link RSRP/RSRQ RRM measurements. Further consider the following aspects:</w:t>
      </w:r>
    </w:p>
    <w:p w:rsidR="00F40D08" w:rsidRPr="00F40D08" w:rsidRDefault="00F40D08" w:rsidP="00F40D08">
      <w:pPr>
        <w:numPr>
          <w:ilvl w:val="1"/>
          <w:numId w:val="43"/>
        </w:numPr>
        <w:overflowPunct/>
        <w:autoSpaceDE/>
        <w:autoSpaceDN/>
        <w:adjustRightInd/>
        <w:spacing w:after="0"/>
        <w:textAlignment w:val="auto"/>
      </w:pPr>
      <w:r w:rsidRPr="00F40D08">
        <w:t xml:space="preserve">Enhancements to Rel.15 CSI-RS and SSB measurement configurations and required coordination </w:t>
      </w:r>
    </w:p>
    <w:p w:rsidR="00F40D08" w:rsidRPr="00F40D08" w:rsidRDefault="00F40D08" w:rsidP="00F40D08">
      <w:pPr>
        <w:spacing w:after="0"/>
      </w:pPr>
    </w:p>
    <w:p w:rsidR="00F40D08" w:rsidRPr="00F40D08" w:rsidRDefault="00F40D08" w:rsidP="00F40D08">
      <w:pPr>
        <w:spacing w:after="0"/>
      </w:pPr>
      <w:r w:rsidRPr="00F40D08">
        <w:rPr>
          <w:highlight w:val="green"/>
        </w:rPr>
        <w:t>Agreements</w:t>
      </w:r>
      <w:r w:rsidRPr="00F40D08">
        <w:t>:</w:t>
      </w:r>
    </w:p>
    <w:p w:rsidR="00F40D08" w:rsidRPr="00F40D08" w:rsidRDefault="00F40D08" w:rsidP="00F40D08">
      <w:pPr>
        <w:numPr>
          <w:ilvl w:val="0"/>
          <w:numId w:val="43"/>
        </w:numPr>
        <w:overflowPunct/>
        <w:autoSpaceDE/>
        <w:autoSpaceDN/>
        <w:adjustRightInd/>
        <w:spacing w:after="0"/>
        <w:textAlignment w:val="auto"/>
      </w:pPr>
      <w:r w:rsidRPr="00F40D08">
        <w:t xml:space="preserve">To support RLM/RLF procedures for IAB nodes, the following should be further studied: </w:t>
      </w:r>
    </w:p>
    <w:p w:rsidR="00F40D08" w:rsidRPr="00F40D08" w:rsidRDefault="00F40D08" w:rsidP="00F40D08">
      <w:pPr>
        <w:numPr>
          <w:ilvl w:val="1"/>
          <w:numId w:val="43"/>
        </w:numPr>
        <w:overflowPunct/>
        <w:autoSpaceDE/>
        <w:autoSpaceDN/>
        <w:adjustRightInd/>
        <w:spacing w:after="0"/>
        <w:textAlignment w:val="auto"/>
      </w:pPr>
      <w:r w:rsidRPr="00F40D08">
        <w:t xml:space="preserve">Enhancements to support interaction between Beam Failure Recovery success indication and RLF </w:t>
      </w:r>
    </w:p>
    <w:p w:rsidR="00F40D08" w:rsidRPr="00F40D08" w:rsidRDefault="00F40D08" w:rsidP="00F40D08">
      <w:pPr>
        <w:numPr>
          <w:ilvl w:val="1"/>
          <w:numId w:val="43"/>
        </w:numPr>
        <w:overflowPunct/>
        <w:autoSpaceDE/>
        <w:autoSpaceDN/>
        <w:adjustRightInd/>
        <w:spacing w:after="0"/>
        <w:textAlignment w:val="auto"/>
      </w:pPr>
      <w:r w:rsidRPr="00F40D08">
        <w:lastRenderedPageBreak/>
        <w:t>Enhancements to existing beam management procedures for faster beam switching/coordination/recovery to avoid backhaul link outages should be considered for IAB nodes</w:t>
      </w:r>
    </w:p>
    <w:p w:rsidR="00F40D08" w:rsidRPr="00F40D08" w:rsidRDefault="00F40D08" w:rsidP="00F40D08">
      <w:pPr>
        <w:spacing w:after="0"/>
      </w:pPr>
      <w:r w:rsidRPr="00F40D08">
        <w:rPr>
          <w:highlight w:val="green"/>
        </w:rPr>
        <w:t>Agreements</w:t>
      </w:r>
      <w:r w:rsidRPr="00F40D08">
        <w:t>:</w:t>
      </w:r>
    </w:p>
    <w:p w:rsidR="00F40D08" w:rsidRPr="00F40D08" w:rsidRDefault="00F40D08" w:rsidP="00F40D08">
      <w:pPr>
        <w:numPr>
          <w:ilvl w:val="0"/>
          <w:numId w:val="43"/>
        </w:numPr>
        <w:overflowPunct/>
        <w:autoSpaceDE/>
        <w:autoSpaceDN/>
        <w:adjustRightInd/>
        <w:spacing w:after="0"/>
        <w:textAlignment w:val="auto"/>
      </w:pPr>
      <w:r w:rsidRPr="00F40D08">
        <w:t xml:space="preserve">Study the need for additional backhaul link condition notification mechanism from the parent IAB node DU to the child IAB node as well as corresponding IAB node </w:t>
      </w:r>
      <w:proofErr w:type="spellStart"/>
      <w:r w:rsidRPr="00F40D08">
        <w:t>behavior</w:t>
      </w:r>
      <w:proofErr w:type="spellEnd"/>
      <w:r w:rsidRPr="00F40D08">
        <w:t>.</w:t>
      </w:r>
    </w:p>
    <w:p w:rsidR="00F40D08" w:rsidRPr="00F40D08" w:rsidRDefault="00F40D08" w:rsidP="00F40D08">
      <w:pPr>
        <w:numPr>
          <w:ilvl w:val="1"/>
          <w:numId w:val="43"/>
        </w:numPr>
        <w:overflowPunct/>
        <w:autoSpaceDE/>
        <w:autoSpaceDN/>
        <w:adjustRightInd/>
        <w:spacing w:after="0"/>
        <w:textAlignment w:val="auto"/>
      </w:pPr>
      <w:r w:rsidRPr="00F40D08">
        <w:t xml:space="preserve">E.g., if the parent IAB node’s backhaul link fails (RLF or BF) </w:t>
      </w:r>
    </w:p>
    <w:p w:rsidR="00F40D08" w:rsidRPr="00F40D08" w:rsidRDefault="00F40D08" w:rsidP="00F40D08">
      <w:pPr>
        <w:numPr>
          <w:ilvl w:val="1"/>
          <w:numId w:val="43"/>
        </w:numPr>
        <w:overflowPunct/>
        <w:autoSpaceDE/>
        <w:autoSpaceDN/>
        <w:adjustRightInd/>
        <w:spacing w:after="0"/>
        <w:textAlignment w:val="auto"/>
      </w:pPr>
      <w:r w:rsidRPr="00F40D08">
        <w:t xml:space="preserve">Note: this study is intended to focus on RAN1 </w:t>
      </w:r>
      <w:proofErr w:type="spellStart"/>
      <w:r w:rsidRPr="00F40D08">
        <w:t>aspecs</w:t>
      </w:r>
      <w:proofErr w:type="spellEnd"/>
      <w:r w:rsidRPr="00F40D08">
        <w:t xml:space="preserve"> only (any higher layers aspects are to be handled by other WGs)</w:t>
      </w:r>
    </w:p>
    <w:p w:rsidR="00F40D08" w:rsidRPr="00F40D08" w:rsidRDefault="00F40D08" w:rsidP="00F40D08">
      <w:pPr>
        <w:spacing w:after="0"/>
      </w:pPr>
    </w:p>
    <w:p w:rsidR="00F40D08" w:rsidRPr="00F40D08" w:rsidRDefault="00F40D08" w:rsidP="00F40D08">
      <w:pPr>
        <w:spacing w:after="0"/>
      </w:pPr>
      <w:r w:rsidRPr="00F40D08">
        <w:rPr>
          <w:highlight w:val="green"/>
        </w:rPr>
        <w:t>Agreements</w:t>
      </w:r>
      <w:r w:rsidRPr="00F40D08">
        <w:t>:</w:t>
      </w:r>
    </w:p>
    <w:p w:rsidR="00F40D08" w:rsidRPr="00F40D08" w:rsidRDefault="00F40D08" w:rsidP="00F40D08">
      <w:pPr>
        <w:pStyle w:val="3GPPNormalText"/>
        <w:spacing w:after="0"/>
        <w:jc w:val="left"/>
        <w:rPr>
          <w:sz w:val="20"/>
          <w:szCs w:val="20"/>
        </w:rPr>
      </w:pPr>
      <w:r w:rsidRPr="00F40D08">
        <w:rPr>
          <w:sz w:val="20"/>
          <w:szCs w:val="20"/>
        </w:rPr>
        <w:t>Capture the following definitions in the TR:</w:t>
      </w:r>
    </w:p>
    <w:p w:rsidR="00F40D08" w:rsidRPr="00F40D08" w:rsidRDefault="00F40D08" w:rsidP="00F40D08">
      <w:pPr>
        <w:pStyle w:val="3GPPNormalText"/>
        <w:numPr>
          <w:ilvl w:val="0"/>
          <w:numId w:val="26"/>
        </w:numPr>
        <w:spacing w:after="0"/>
        <w:jc w:val="left"/>
        <w:rPr>
          <w:sz w:val="20"/>
          <w:szCs w:val="20"/>
        </w:rPr>
      </w:pPr>
      <w:r w:rsidRPr="00F40D08">
        <w:rPr>
          <w:sz w:val="20"/>
          <w:szCs w:val="20"/>
        </w:rPr>
        <w:t>Access link: a link between an access UE and an IAB node or IAB donor (L</w:t>
      </w:r>
      <w:r w:rsidRPr="00F40D08">
        <w:rPr>
          <w:sz w:val="20"/>
          <w:szCs w:val="20"/>
          <w:vertAlign w:val="subscript"/>
        </w:rPr>
        <w:t>A,DL</w:t>
      </w:r>
      <w:r w:rsidRPr="00F40D08">
        <w:rPr>
          <w:sz w:val="20"/>
          <w:szCs w:val="20"/>
        </w:rPr>
        <w:t xml:space="preserve"> or L</w:t>
      </w:r>
      <w:r w:rsidRPr="00F40D08">
        <w:rPr>
          <w:sz w:val="20"/>
          <w:szCs w:val="20"/>
          <w:vertAlign w:val="subscript"/>
        </w:rPr>
        <w:t>A,UL</w:t>
      </w:r>
      <w:r w:rsidRPr="00F40D08">
        <w:rPr>
          <w:sz w:val="20"/>
          <w:szCs w:val="20"/>
        </w:rPr>
        <w:t>)</w:t>
      </w:r>
    </w:p>
    <w:p w:rsidR="00F40D08" w:rsidRPr="00F40D08" w:rsidRDefault="00F40D08" w:rsidP="00F40D08">
      <w:pPr>
        <w:pStyle w:val="3GPPNormalText"/>
        <w:numPr>
          <w:ilvl w:val="0"/>
          <w:numId w:val="26"/>
        </w:numPr>
        <w:spacing w:after="0"/>
        <w:jc w:val="left"/>
        <w:rPr>
          <w:sz w:val="20"/>
          <w:szCs w:val="20"/>
        </w:rPr>
      </w:pPr>
      <w:r w:rsidRPr="00F40D08">
        <w:rPr>
          <w:sz w:val="20"/>
          <w:szCs w:val="20"/>
        </w:rPr>
        <w:t>Backhaul link: a link between an IAB node and an IAB child node (L</w:t>
      </w:r>
      <w:r w:rsidRPr="00F40D08">
        <w:rPr>
          <w:sz w:val="20"/>
          <w:szCs w:val="20"/>
          <w:vertAlign w:val="subscript"/>
        </w:rPr>
        <w:t>C,DL</w:t>
      </w:r>
      <w:r w:rsidRPr="00F40D08">
        <w:rPr>
          <w:sz w:val="20"/>
          <w:szCs w:val="20"/>
        </w:rPr>
        <w:t xml:space="preserve"> or L</w:t>
      </w:r>
      <w:r w:rsidRPr="00F40D08">
        <w:rPr>
          <w:sz w:val="20"/>
          <w:szCs w:val="20"/>
          <w:vertAlign w:val="subscript"/>
        </w:rPr>
        <w:t>C,UL</w:t>
      </w:r>
      <w:r w:rsidRPr="00F40D08">
        <w:rPr>
          <w:sz w:val="20"/>
          <w:szCs w:val="20"/>
        </w:rPr>
        <w:t>)or IAB parent node (L</w:t>
      </w:r>
      <w:r w:rsidRPr="00F40D08">
        <w:rPr>
          <w:sz w:val="20"/>
          <w:szCs w:val="20"/>
          <w:vertAlign w:val="subscript"/>
        </w:rPr>
        <w:t>P,DL</w:t>
      </w:r>
      <w:r w:rsidRPr="00F40D08">
        <w:rPr>
          <w:sz w:val="20"/>
          <w:szCs w:val="20"/>
        </w:rPr>
        <w:t xml:space="preserve"> or L</w:t>
      </w:r>
      <w:r w:rsidRPr="00F40D08">
        <w:rPr>
          <w:sz w:val="20"/>
          <w:szCs w:val="20"/>
          <w:vertAlign w:val="subscript"/>
        </w:rPr>
        <w:t>P,UL</w:t>
      </w:r>
      <w:r w:rsidRPr="00F40D08">
        <w:rPr>
          <w:sz w:val="20"/>
          <w:szCs w:val="20"/>
        </w:rPr>
        <w:t>)</w:t>
      </w:r>
    </w:p>
    <w:p w:rsidR="00F40D08" w:rsidRPr="00F40D08" w:rsidRDefault="00F40D08" w:rsidP="00F40D08">
      <w:pPr>
        <w:pStyle w:val="3GPPNormalText"/>
        <w:numPr>
          <w:ilvl w:val="0"/>
          <w:numId w:val="26"/>
        </w:numPr>
        <w:spacing w:after="0"/>
        <w:jc w:val="left"/>
        <w:rPr>
          <w:sz w:val="20"/>
          <w:szCs w:val="20"/>
        </w:rPr>
      </w:pPr>
      <w:r w:rsidRPr="00F40D08">
        <w:rPr>
          <w:sz w:val="20"/>
          <w:szCs w:val="20"/>
          <w:lang w:val="en-US"/>
        </w:rPr>
        <w:t>Note: the IAB node may have its functions for UL access and child BH respectively in the same location or different locations, which is not the scope of RAN1 discussion</w:t>
      </w:r>
    </w:p>
    <w:p w:rsidR="00F40D08" w:rsidRPr="00F40D08" w:rsidRDefault="00F40D08" w:rsidP="00F40D08">
      <w:pPr>
        <w:pStyle w:val="3GPPNormalText"/>
        <w:numPr>
          <w:ilvl w:val="0"/>
          <w:numId w:val="26"/>
        </w:numPr>
        <w:spacing w:after="0"/>
        <w:jc w:val="left"/>
        <w:rPr>
          <w:sz w:val="20"/>
          <w:szCs w:val="20"/>
        </w:rPr>
      </w:pPr>
      <w:r w:rsidRPr="00F40D08">
        <w:rPr>
          <w:sz w:val="20"/>
          <w:szCs w:val="20"/>
          <w:lang w:val="en-US"/>
        </w:rPr>
        <w:t xml:space="preserve">Note: For a given BH link for an IAB node, it may be a parent BH or a child BH, depending on the topology/architecture, which is not the scope of RAN1 </w:t>
      </w:r>
      <w:proofErr w:type="spellStart"/>
      <w:r w:rsidRPr="00F40D08">
        <w:rPr>
          <w:sz w:val="20"/>
          <w:szCs w:val="20"/>
          <w:lang w:val="en-US"/>
        </w:rPr>
        <w:t>disucssion</w:t>
      </w:r>
      <w:proofErr w:type="spellEnd"/>
    </w:p>
    <w:p w:rsidR="00F40D08" w:rsidRPr="00F40D08" w:rsidRDefault="00F40D08" w:rsidP="00F40D08">
      <w:pPr>
        <w:pStyle w:val="3GPPNormalText"/>
        <w:spacing w:after="0"/>
        <w:jc w:val="center"/>
        <w:rPr>
          <w:noProof/>
          <w:sz w:val="20"/>
          <w:szCs w:val="20"/>
        </w:rPr>
      </w:pPr>
      <w:r w:rsidRPr="00F40D08">
        <w:rPr>
          <w:noProof/>
          <w:sz w:val="20"/>
          <w:szCs w:val="20"/>
          <w:lang w:val="en-US" w:eastAsia="zh-CN"/>
        </w:rPr>
        <w:drawing>
          <wp:inline distT="0" distB="0" distL="0" distR="0">
            <wp:extent cx="3569919" cy="134430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3569463" cy="1344133"/>
                    </a:xfrm>
                    <a:prstGeom prst="rect">
                      <a:avLst/>
                    </a:prstGeom>
                    <a:noFill/>
                  </pic:spPr>
                </pic:pic>
              </a:graphicData>
            </a:graphic>
          </wp:inline>
        </w:drawing>
      </w:r>
    </w:p>
    <w:p w:rsidR="00F40D08" w:rsidRPr="00F40D08" w:rsidRDefault="00F40D08" w:rsidP="00F40D08">
      <w:pPr>
        <w:spacing w:after="0"/>
        <w:rPr>
          <w:lang w:val="en-US"/>
        </w:rPr>
      </w:pPr>
      <w:r w:rsidRPr="00F40D08">
        <w:rPr>
          <w:highlight w:val="green"/>
          <w:lang w:val="en-US"/>
        </w:rPr>
        <w:t>Agreements</w:t>
      </w:r>
      <w:r w:rsidRPr="00F40D08">
        <w:rPr>
          <w:lang w:val="en-US"/>
        </w:rPr>
        <w:t>:</w:t>
      </w:r>
    </w:p>
    <w:p w:rsidR="00F40D08" w:rsidRPr="00F40D08" w:rsidRDefault="00F40D08" w:rsidP="00F40D08">
      <w:pPr>
        <w:pStyle w:val="3GPPNormalText"/>
        <w:spacing w:after="0"/>
        <w:jc w:val="left"/>
        <w:rPr>
          <w:sz w:val="20"/>
          <w:szCs w:val="20"/>
        </w:rPr>
      </w:pPr>
      <w:r w:rsidRPr="00F40D08">
        <w:rPr>
          <w:sz w:val="20"/>
          <w:szCs w:val="20"/>
          <w:lang w:val="en-US"/>
        </w:rPr>
        <w:t>A</w:t>
      </w:r>
      <w:r w:rsidRPr="00F40D08">
        <w:rPr>
          <w:sz w:val="20"/>
          <w:szCs w:val="20"/>
        </w:rPr>
        <w:t xml:space="preserve">n IAB node can support the following cases using existing MU-MIMO or </w:t>
      </w:r>
      <w:proofErr w:type="spellStart"/>
      <w:r w:rsidRPr="00F40D08">
        <w:rPr>
          <w:sz w:val="20"/>
          <w:szCs w:val="20"/>
        </w:rPr>
        <w:t>sectorization</w:t>
      </w:r>
      <w:proofErr w:type="spellEnd"/>
      <w:r w:rsidRPr="00F40D08">
        <w:rPr>
          <w:sz w:val="20"/>
          <w:szCs w:val="20"/>
        </w:rPr>
        <w:t xml:space="preserve"> mechanisms:</w:t>
      </w:r>
    </w:p>
    <w:p w:rsidR="00F40D08" w:rsidRPr="00F40D08" w:rsidRDefault="00F40D08" w:rsidP="00F40D08">
      <w:pPr>
        <w:pStyle w:val="3GPPNormalText"/>
        <w:numPr>
          <w:ilvl w:val="0"/>
          <w:numId w:val="26"/>
        </w:numPr>
        <w:spacing w:after="0"/>
        <w:jc w:val="left"/>
        <w:rPr>
          <w:sz w:val="20"/>
          <w:szCs w:val="20"/>
        </w:rPr>
      </w:pPr>
      <w:r w:rsidRPr="00F40D08">
        <w:rPr>
          <w:sz w:val="20"/>
          <w:szCs w:val="20"/>
        </w:rPr>
        <w:t xml:space="preserve">Case A: multiplexing of DL transmissions to access UEs and child IAB nodes </w:t>
      </w:r>
    </w:p>
    <w:p w:rsidR="00F40D08" w:rsidRPr="00F40D08" w:rsidRDefault="00F40D08" w:rsidP="00F40D08">
      <w:pPr>
        <w:pStyle w:val="3GPPNormalText"/>
        <w:numPr>
          <w:ilvl w:val="0"/>
          <w:numId w:val="26"/>
        </w:numPr>
        <w:spacing w:after="0"/>
        <w:jc w:val="left"/>
        <w:rPr>
          <w:sz w:val="20"/>
          <w:szCs w:val="20"/>
        </w:rPr>
      </w:pPr>
      <w:r w:rsidRPr="00F40D08">
        <w:rPr>
          <w:sz w:val="20"/>
          <w:szCs w:val="20"/>
        </w:rPr>
        <w:t>Case B: multiplexing of UL transmissions from access UEs and child IAB nodes</w:t>
      </w:r>
    </w:p>
    <w:p w:rsidR="00F40D08" w:rsidRPr="00F40D08" w:rsidRDefault="00F40D08" w:rsidP="00F40D08">
      <w:pPr>
        <w:spacing w:after="0"/>
        <w:rPr>
          <w:lang w:val="en-US"/>
        </w:rPr>
      </w:pPr>
      <w:r w:rsidRPr="00F40D08">
        <w:rPr>
          <w:highlight w:val="green"/>
          <w:lang w:val="en-US"/>
        </w:rPr>
        <w:t>Agreements</w:t>
      </w:r>
      <w:r w:rsidRPr="00F40D08">
        <w:rPr>
          <w:lang w:val="en-US"/>
        </w:rPr>
        <w:t>:</w:t>
      </w:r>
    </w:p>
    <w:p w:rsidR="00F40D08" w:rsidRPr="00F40D08" w:rsidRDefault="00F40D08" w:rsidP="00F40D08">
      <w:pPr>
        <w:pStyle w:val="3GPPNormalText"/>
        <w:spacing w:after="0"/>
        <w:jc w:val="left"/>
        <w:rPr>
          <w:sz w:val="20"/>
          <w:szCs w:val="20"/>
        </w:rPr>
      </w:pPr>
      <w:r w:rsidRPr="00F40D08">
        <w:rPr>
          <w:sz w:val="20"/>
          <w:szCs w:val="20"/>
        </w:rPr>
        <w:t>Clarify the SDM</w:t>
      </w:r>
      <w:r w:rsidRPr="00F40D08">
        <w:rPr>
          <w:sz w:val="20"/>
          <w:szCs w:val="20"/>
          <w:lang w:val="en-US"/>
        </w:rPr>
        <w:t>/FDM</w:t>
      </w:r>
      <w:r w:rsidRPr="00F40D08">
        <w:rPr>
          <w:sz w:val="20"/>
          <w:szCs w:val="20"/>
        </w:rPr>
        <w:t xml:space="preserve"> scenario definition: </w:t>
      </w:r>
    </w:p>
    <w:p w:rsidR="00F40D08" w:rsidRPr="00F40D08" w:rsidRDefault="00F40D08" w:rsidP="00F40D08">
      <w:pPr>
        <w:pStyle w:val="3GPPNormalText"/>
        <w:numPr>
          <w:ilvl w:val="0"/>
          <w:numId w:val="46"/>
        </w:numPr>
        <w:spacing w:after="0"/>
        <w:jc w:val="left"/>
        <w:rPr>
          <w:sz w:val="20"/>
          <w:szCs w:val="20"/>
        </w:rPr>
      </w:pPr>
      <w:r w:rsidRPr="00F40D08">
        <w:rPr>
          <w:sz w:val="20"/>
          <w:szCs w:val="20"/>
        </w:rPr>
        <w:t>SDM</w:t>
      </w:r>
      <w:r w:rsidRPr="00F40D08">
        <w:rPr>
          <w:sz w:val="20"/>
          <w:szCs w:val="20"/>
          <w:lang w:val="en-US"/>
        </w:rPr>
        <w:t>/FDM</w:t>
      </w:r>
      <w:r w:rsidRPr="00F40D08">
        <w:rPr>
          <w:sz w:val="20"/>
          <w:szCs w:val="20"/>
        </w:rPr>
        <w:t xml:space="preserve"> </w:t>
      </w:r>
      <w:proofErr w:type="spellStart"/>
      <w:r w:rsidRPr="00F40D08">
        <w:rPr>
          <w:sz w:val="20"/>
          <w:szCs w:val="20"/>
        </w:rPr>
        <w:t>Tx</w:t>
      </w:r>
      <w:proofErr w:type="spellEnd"/>
      <w:r w:rsidRPr="00F40D08">
        <w:rPr>
          <w:sz w:val="20"/>
          <w:szCs w:val="20"/>
        </w:rPr>
        <w:t xml:space="preserve">: An IAB node simultaneous transmits in the DL (to an access UE and/or child IAB node) and transmits in the UL (to a </w:t>
      </w:r>
      <w:r w:rsidRPr="00F40D08">
        <w:rPr>
          <w:sz w:val="20"/>
          <w:szCs w:val="20"/>
          <w:u w:val="single"/>
        </w:rPr>
        <w:t>parent</w:t>
      </w:r>
      <w:r w:rsidRPr="00F40D08">
        <w:rPr>
          <w:sz w:val="20"/>
          <w:szCs w:val="20"/>
        </w:rPr>
        <w:t xml:space="preserve"> IAB node)</w:t>
      </w:r>
    </w:p>
    <w:p w:rsidR="00F40D08" w:rsidRPr="00F40D08" w:rsidRDefault="00F40D08" w:rsidP="00F40D08">
      <w:pPr>
        <w:pStyle w:val="3GPPNormalText"/>
        <w:numPr>
          <w:ilvl w:val="0"/>
          <w:numId w:val="46"/>
        </w:numPr>
        <w:spacing w:after="0"/>
        <w:jc w:val="left"/>
        <w:rPr>
          <w:sz w:val="20"/>
          <w:szCs w:val="20"/>
        </w:rPr>
      </w:pPr>
      <w:r w:rsidRPr="00F40D08">
        <w:rPr>
          <w:sz w:val="20"/>
          <w:szCs w:val="20"/>
        </w:rPr>
        <w:t>SDM</w:t>
      </w:r>
      <w:r w:rsidRPr="00F40D08">
        <w:rPr>
          <w:sz w:val="20"/>
          <w:szCs w:val="20"/>
          <w:lang w:val="en-US"/>
        </w:rPr>
        <w:t>/FDM</w:t>
      </w:r>
      <w:r w:rsidRPr="00F40D08">
        <w:rPr>
          <w:sz w:val="20"/>
          <w:szCs w:val="20"/>
        </w:rPr>
        <w:t xml:space="preserve"> Rx: An IAB node simultaneous receives in the DL (a transmission from a </w:t>
      </w:r>
      <w:r w:rsidRPr="00F40D08">
        <w:rPr>
          <w:sz w:val="20"/>
          <w:szCs w:val="20"/>
          <w:u w:val="single"/>
        </w:rPr>
        <w:t>parent</w:t>
      </w:r>
      <w:r w:rsidRPr="00F40D08">
        <w:rPr>
          <w:sz w:val="20"/>
          <w:szCs w:val="20"/>
        </w:rPr>
        <w:t xml:space="preserve"> node) and receives in the UL (from an access UE and/or child IAB node)</w:t>
      </w:r>
    </w:p>
    <w:p w:rsidR="00F40D08" w:rsidRPr="00F40D08" w:rsidRDefault="00F40D08" w:rsidP="00F40D08">
      <w:pPr>
        <w:pStyle w:val="3GPPNormalText"/>
        <w:spacing w:after="0"/>
        <w:jc w:val="left"/>
        <w:rPr>
          <w:sz w:val="20"/>
          <w:szCs w:val="20"/>
        </w:rPr>
      </w:pPr>
      <w:r w:rsidRPr="00F40D08">
        <w:rPr>
          <w:sz w:val="20"/>
          <w:szCs w:val="20"/>
        </w:rPr>
        <w:t>For the support of SDM</w:t>
      </w:r>
      <w:r w:rsidRPr="00F40D08">
        <w:rPr>
          <w:sz w:val="20"/>
          <w:szCs w:val="20"/>
          <w:lang w:val="en-US"/>
        </w:rPr>
        <w:t>/FDM</w:t>
      </w:r>
      <w:r w:rsidRPr="00F40D08">
        <w:rPr>
          <w:sz w:val="20"/>
          <w:szCs w:val="20"/>
        </w:rPr>
        <w:t>, further study the following aspects:</w:t>
      </w:r>
    </w:p>
    <w:p w:rsidR="00F40D08" w:rsidRPr="00F40D08" w:rsidRDefault="00F40D08" w:rsidP="00F40D08">
      <w:pPr>
        <w:pStyle w:val="3GPPNormalText"/>
        <w:numPr>
          <w:ilvl w:val="0"/>
          <w:numId w:val="46"/>
        </w:numPr>
        <w:spacing w:after="0"/>
        <w:jc w:val="left"/>
        <w:rPr>
          <w:sz w:val="20"/>
          <w:szCs w:val="20"/>
        </w:rPr>
      </w:pPr>
      <w:r w:rsidRPr="00F40D08">
        <w:rPr>
          <w:sz w:val="20"/>
          <w:szCs w:val="20"/>
        </w:rPr>
        <w:t xml:space="preserve">Transmit power coordination between parent and child links </w:t>
      </w:r>
    </w:p>
    <w:p w:rsidR="00F40D08" w:rsidRPr="00F40D08" w:rsidRDefault="00F40D08" w:rsidP="00F40D08">
      <w:pPr>
        <w:pStyle w:val="3GPPNormalText"/>
        <w:numPr>
          <w:ilvl w:val="0"/>
          <w:numId w:val="46"/>
        </w:numPr>
        <w:spacing w:after="0"/>
        <w:jc w:val="left"/>
        <w:rPr>
          <w:sz w:val="20"/>
          <w:szCs w:val="20"/>
        </w:rPr>
      </w:pPr>
      <w:r w:rsidRPr="00F40D08">
        <w:rPr>
          <w:sz w:val="20"/>
          <w:szCs w:val="20"/>
        </w:rPr>
        <w:t>Considerations of single panel vs. multi-panel operation (single or multiple baseband)</w:t>
      </w:r>
    </w:p>
    <w:p w:rsidR="00F40D08" w:rsidRPr="00F40D08" w:rsidRDefault="00F40D08" w:rsidP="00F40D08">
      <w:pPr>
        <w:pStyle w:val="3GPPNormalText"/>
        <w:numPr>
          <w:ilvl w:val="0"/>
          <w:numId w:val="46"/>
        </w:numPr>
        <w:spacing w:after="0"/>
        <w:jc w:val="left"/>
        <w:rPr>
          <w:sz w:val="20"/>
          <w:szCs w:val="20"/>
        </w:rPr>
      </w:pPr>
      <w:r w:rsidRPr="00F40D08">
        <w:rPr>
          <w:sz w:val="20"/>
          <w:szCs w:val="20"/>
        </w:rPr>
        <w:t>Requirements of symbol-level timing alignment within an IAB node (e.g. Case #6/Case #7)</w:t>
      </w:r>
    </w:p>
    <w:p w:rsidR="00F40D08" w:rsidRPr="00F40D08" w:rsidRDefault="00F40D08" w:rsidP="00F40D08">
      <w:pPr>
        <w:spacing w:after="0"/>
        <w:rPr>
          <w:lang w:val="en-US"/>
        </w:rPr>
      </w:pPr>
      <w:r w:rsidRPr="00F40D08">
        <w:rPr>
          <w:highlight w:val="green"/>
          <w:lang w:val="en-US"/>
        </w:rPr>
        <w:t>Agreements</w:t>
      </w:r>
      <w:r w:rsidRPr="00F40D08">
        <w:rPr>
          <w:lang w:val="en-US"/>
        </w:rPr>
        <w:t>:</w:t>
      </w:r>
    </w:p>
    <w:p w:rsidR="00F40D08" w:rsidRPr="00F40D08" w:rsidRDefault="00F40D08" w:rsidP="00F40D08">
      <w:pPr>
        <w:pStyle w:val="maintext"/>
        <w:numPr>
          <w:ilvl w:val="0"/>
          <w:numId w:val="47"/>
        </w:numPr>
        <w:spacing w:before="0" w:after="0" w:line="240" w:lineRule="auto"/>
        <w:ind w:firstLineChars="0"/>
      </w:pPr>
      <w:r w:rsidRPr="00F40D08">
        <w:t xml:space="preserve">At least Case #1 is supported for both access and backhaul link transmission timing. </w:t>
      </w:r>
    </w:p>
    <w:p w:rsidR="00F40D08" w:rsidRPr="00F40D08" w:rsidRDefault="00F40D08" w:rsidP="00F40D08">
      <w:pPr>
        <w:pStyle w:val="maintext"/>
        <w:numPr>
          <w:ilvl w:val="0"/>
          <w:numId w:val="47"/>
        </w:numPr>
        <w:spacing w:before="0" w:after="0" w:line="240" w:lineRule="auto"/>
        <w:ind w:firstLineChars="0"/>
      </w:pPr>
      <w:r w:rsidRPr="00F40D08">
        <w:t>Further study includes additionally the following two cases (in addition to other cases #2/3/4/5)</w:t>
      </w:r>
    </w:p>
    <w:p w:rsidR="00F40D08" w:rsidRPr="00F40D08" w:rsidRDefault="00F40D08" w:rsidP="00F40D08">
      <w:pPr>
        <w:pStyle w:val="maintext"/>
        <w:numPr>
          <w:ilvl w:val="1"/>
          <w:numId w:val="47"/>
        </w:numPr>
        <w:spacing w:before="0" w:after="0" w:line="240" w:lineRule="auto"/>
        <w:ind w:firstLineChars="0"/>
      </w:pPr>
      <w:r w:rsidRPr="00F40D08">
        <w:t>Case #6 (Case#1 DL transmission timing + Case #2 UL transmission timing):</w:t>
      </w:r>
    </w:p>
    <w:p w:rsidR="00F40D08" w:rsidRPr="00F40D08" w:rsidRDefault="00F40D08" w:rsidP="00F40D08">
      <w:pPr>
        <w:pStyle w:val="maintext"/>
        <w:numPr>
          <w:ilvl w:val="2"/>
          <w:numId w:val="47"/>
        </w:numPr>
        <w:spacing w:before="0" w:after="0" w:line="240" w:lineRule="auto"/>
        <w:ind w:firstLineChars="0"/>
      </w:pPr>
      <w:r w:rsidRPr="00F40D08">
        <w:t>the DL transmission timing for all IAB nodes is aligned with the parent IAB node or donor DL timing (e.g. TA/2 adjustment as in Case #1)</w:t>
      </w:r>
    </w:p>
    <w:p w:rsidR="00F40D08" w:rsidRPr="00F40D08" w:rsidRDefault="00F40D08" w:rsidP="00F40D08">
      <w:pPr>
        <w:pStyle w:val="maintext"/>
        <w:numPr>
          <w:ilvl w:val="2"/>
          <w:numId w:val="47"/>
        </w:numPr>
        <w:spacing w:before="0" w:after="0" w:line="240" w:lineRule="auto"/>
        <w:ind w:firstLineChars="0"/>
      </w:pPr>
      <w:r w:rsidRPr="00F40D08">
        <w:t>the UL transmission timing of an IAB node can be aligned with the IAB node’s DL transmission timing</w:t>
      </w:r>
    </w:p>
    <w:p w:rsidR="00F40D08" w:rsidRPr="00F40D08" w:rsidRDefault="00F40D08" w:rsidP="00F40D08">
      <w:pPr>
        <w:pStyle w:val="maintext"/>
        <w:numPr>
          <w:ilvl w:val="1"/>
          <w:numId w:val="47"/>
        </w:numPr>
        <w:spacing w:before="0" w:after="0" w:line="240" w:lineRule="auto"/>
        <w:ind w:firstLineChars="0"/>
      </w:pPr>
      <w:r w:rsidRPr="00F40D08">
        <w:t>Case #7 (Case#1 DL transmission timing + Case #3 UL reception timing):</w:t>
      </w:r>
    </w:p>
    <w:p w:rsidR="00F40D08" w:rsidRPr="00F40D08" w:rsidRDefault="00F40D08" w:rsidP="00F40D08">
      <w:pPr>
        <w:pStyle w:val="maintext"/>
        <w:numPr>
          <w:ilvl w:val="2"/>
          <w:numId w:val="47"/>
        </w:numPr>
        <w:spacing w:before="0" w:after="0" w:line="240" w:lineRule="auto"/>
        <w:ind w:firstLineChars="0"/>
      </w:pPr>
      <w:r w:rsidRPr="00F40D08">
        <w:t>the DL transmission timing for all IAB nodes is aligned with the parent IAB node or donor DL timing (e.g. TA/2 adjustment as in Case #1)</w:t>
      </w:r>
    </w:p>
    <w:p w:rsidR="00F40D08" w:rsidRPr="00F40D08" w:rsidRDefault="00F40D08" w:rsidP="00F40D08">
      <w:pPr>
        <w:pStyle w:val="maintext"/>
        <w:numPr>
          <w:ilvl w:val="2"/>
          <w:numId w:val="47"/>
        </w:numPr>
        <w:spacing w:before="0" w:after="0" w:line="240" w:lineRule="auto"/>
        <w:ind w:firstLineChars="0"/>
      </w:pPr>
      <w:r w:rsidRPr="00F40D08">
        <w:t xml:space="preserve">the UL reception timing of an IAB node can be aligned with the IAB node’s DL reception timing </w:t>
      </w:r>
    </w:p>
    <w:p w:rsidR="00F40D08" w:rsidRPr="00F40D08" w:rsidRDefault="00F40D08" w:rsidP="00F40D08">
      <w:pPr>
        <w:pStyle w:val="maintext"/>
        <w:numPr>
          <w:ilvl w:val="1"/>
          <w:numId w:val="47"/>
        </w:numPr>
        <w:spacing w:before="0" w:after="0" w:line="240" w:lineRule="auto"/>
        <w:ind w:firstLineChars="0"/>
      </w:pPr>
      <w:r w:rsidRPr="00F40D08">
        <w:t>FFS: TA required for IAB nodes to support these cases</w:t>
      </w:r>
    </w:p>
    <w:p w:rsidR="00F40D08" w:rsidRPr="00F40D08" w:rsidRDefault="00F40D08" w:rsidP="00F40D08">
      <w:pPr>
        <w:pStyle w:val="maintext"/>
        <w:numPr>
          <w:ilvl w:val="1"/>
          <w:numId w:val="47"/>
        </w:numPr>
        <w:spacing w:before="0" w:after="0" w:line="240" w:lineRule="auto"/>
        <w:ind w:firstLineChars="0"/>
      </w:pPr>
      <w:r w:rsidRPr="00F40D08">
        <w:t>For Case #6 and Case #7 further consider the potential impact of imperfect timing adjustment, overhead of required DL/UL switching gaps, and scheduling impact on access UEs and child IAB nodes</w:t>
      </w:r>
    </w:p>
    <w:p w:rsidR="00F40D08" w:rsidRPr="00F40D08" w:rsidRDefault="00F40D08" w:rsidP="00F40D08">
      <w:pPr>
        <w:pStyle w:val="maintext"/>
        <w:numPr>
          <w:ilvl w:val="1"/>
          <w:numId w:val="47"/>
        </w:numPr>
        <w:spacing w:before="0" w:after="0" w:line="240" w:lineRule="auto"/>
        <w:ind w:firstLineChars="0"/>
      </w:pPr>
      <w:r w:rsidRPr="00F40D08">
        <w:t>Study to include aspects (including feasibility) when the IAB node is connected to one or multiple parent nodes</w:t>
      </w:r>
    </w:p>
    <w:p w:rsidR="00F40D08" w:rsidRPr="00F40D08" w:rsidRDefault="00F40D08" w:rsidP="00F40D08">
      <w:pPr>
        <w:spacing w:after="0"/>
      </w:pPr>
    </w:p>
    <w:p w:rsidR="00F40D08" w:rsidRPr="00F40D08" w:rsidRDefault="00F40D08" w:rsidP="00F40D08">
      <w:pPr>
        <w:spacing w:after="0"/>
      </w:pPr>
      <w:r w:rsidRPr="00F40D08">
        <w:rPr>
          <w:highlight w:val="green"/>
        </w:rPr>
        <w:t>Agreements</w:t>
      </w:r>
      <w:r w:rsidRPr="00F40D08">
        <w:t>:</w:t>
      </w:r>
    </w:p>
    <w:p w:rsidR="00F40D08" w:rsidRPr="00F40D08" w:rsidRDefault="00F40D08" w:rsidP="00F40D08">
      <w:pPr>
        <w:pStyle w:val="3GPPNormalText"/>
        <w:numPr>
          <w:ilvl w:val="0"/>
          <w:numId w:val="48"/>
        </w:numPr>
        <w:spacing w:after="0"/>
        <w:jc w:val="left"/>
        <w:rPr>
          <w:sz w:val="20"/>
          <w:szCs w:val="20"/>
        </w:rPr>
      </w:pPr>
      <w:r w:rsidRPr="00F40D08">
        <w:rPr>
          <w:sz w:val="20"/>
          <w:szCs w:val="20"/>
        </w:rPr>
        <w:t>For the support of TDM, at least the following cases are supported:</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687"/>
        <w:gridCol w:w="1461"/>
        <w:gridCol w:w="4544"/>
      </w:tblGrid>
      <w:tr w:rsidR="00F40D08" w:rsidRPr="00F40D08" w:rsidTr="00F40D08">
        <w:trPr>
          <w:trHeight w:val="311"/>
          <w:jc w:val="center"/>
        </w:trPr>
        <w:tc>
          <w:tcPr>
            <w:tcW w:w="568" w:type="dxa"/>
            <w:shd w:val="clear" w:color="auto" w:fill="auto"/>
          </w:tcPr>
          <w:p w:rsidR="00F40D08" w:rsidRPr="00F40D08" w:rsidRDefault="00F40D08" w:rsidP="00F40D08">
            <w:pPr>
              <w:pStyle w:val="3GPPNormalText"/>
              <w:spacing w:after="0"/>
              <w:jc w:val="center"/>
              <w:rPr>
                <w:sz w:val="20"/>
                <w:szCs w:val="20"/>
              </w:rPr>
            </w:pPr>
          </w:p>
        </w:tc>
        <w:tc>
          <w:tcPr>
            <w:tcW w:w="2156" w:type="dxa"/>
            <w:gridSpan w:val="2"/>
            <w:shd w:val="clear" w:color="auto" w:fill="auto"/>
          </w:tcPr>
          <w:p w:rsidR="00F40D08" w:rsidRPr="00F40D08" w:rsidRDefault="00F40D08" w:rsidP="00F40D08">
            <w:pPr>
              <w:pStyle w:val="3GPPNormalText"/>
              <w:spacing w:after="0"/>
              <w:jc w:val="left"/>
              <w:rPr>
                <w:sz w:val="20"/>
                <w:szCs w:val="20"/>
              </w:rPr>
            </w:pPr>
            <w:r w:rsidRPr="00F40D08">
              <w:rPr>
                <w:sz w:val="20"/>
                <w:szCs w:val="20"/>
              </w:rPr>
              <w:t>TDM Between:</w:t>
            </w:r>
          </w:p>
        </w:tc>
        <w:tc>
          <w:tcPr>
            <w:tcW w:w="4573" w:type="dxa"/>
            <w:shd w:val="clear" w:color="auto" w:fill="auto"/>
          </w:tcPr>
          <w:p w:rsidR="00F40D08" w:rsidRPr="00F40D08" w:rsidRDefault="00F40D08" w:rsidP="00F40D08">
            <w:pPr>
              <w:pStyle w:val="3GPPNormalText"/>
              <w:spacing w:after="0"/>
              <w:jc w:val="left"/>
              <w:rPr>
                <w:sz w:val="20"/>
                <w:szCs w:val="20"/>
              </w:rPr>
            </w:pPr>
          </w:p>
        </w:tc>
      </w:tr>
      <w:tr w:rsidR="00F40D08" w:rsidRPr="00F40D08" w:rsidTr="00F40D08">
        <w:trPr>
          <w:trHeight w:val="30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Case</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Link 1</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Link 2</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Supported by a pattern?</w:t>
            </w:r>
          </w:p>
        </w:tc>
      </w:tr>
      <w:tr w:rsidR="00F40D08" w:rsidRPr="00F40D08" w:rsidTr="00F40D08">
        <w:trPr>
          <w:trHeight w:val="30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1</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P,DL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C,DL</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1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2</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P,UL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C,UL </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0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3</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P,DL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C,UL</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1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4</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P,UL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C,DL </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0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5</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P,DL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A,DL </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1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6</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P,UL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A,UL </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1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7</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P,DL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A,UL</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0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8</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P,UL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A,DL </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1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9</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P,DL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A,DL and </w:t>
            </w:r>
            <w:r w:rsidRPr="00F40D08">
              <w:rPr>
                <w:sz w:val="20"/>
                <w:szCs w:val="20"/>
              </w:rPr>
              <w:t>L</w:t>
            </w:r>
            <w:r w:rsidRPr="00F40D08">
              <w:rPr>
                <w:sz w:val="20"/>
                <w:szCs w:val="20"/>
                <w:vertAlign w:val="subscript"/>
              </w:rPr>
              <w:t>C,DL</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0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10</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P,UL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A,UL and </w:t>
            </w:r>
            <w:r w:rsidRPr="00F40D08">
              <w:rPr>
                <w:sz w:val="20"/>
                <w:szCs w:val="20"/>
              </w:rPr>
              <w:t>L</w:t>
            </w:r>
            <w:r w:rsidRPr="00F40D08">
              <w:rPr>
                <w:sz w:val="20"/>
                <w:szCs w:val="20"/>
                <w:vertAlign w:val="subscript"/>
              </w:rPr>
              <w:t>C,UL</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1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11</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P,DL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A,UL and </w:t>
            </w:r>
            <w:r w:rsidRPr="00F40D08">
              <w:rPr>
                <w:sz w:val="20"/>
                <w:szCs w:val="20"/>
              </w:rPr>
              <w:t>L</w:t>
            </w:r>
            <w:r w:rsidRPr="00F40D08">
              <w:rPr>
                <w:sz w:val="20"/>
                <w:szCs w:val="20"/>
                <w:vertAlign w:val="subscript"/>
              </w:rPr>
              <w:t>C,UL</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0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12</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P,UL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A,DL and </w:t>
            </w:r>
            <w:r w:rsidRPr="00F40D08">
              <w:rPr>
                <w:sz w:val="20"/>
                <w:szCs w:val="20"/>
              </w:rPr>
              <w:t>L</w:t>
            </w:r>
            <w:r w:rsidRPr="00F40D08">
              <w:rPr>
                <w:sz w:val="20"/>
                <w:szCs w:val="20"/>
                <w:vertAlign w:val="subscript"/>
              </w:rPr>
              <w:t>A,DL</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Yes</w:t>
            </w:r>
          </w:p>
        </w:tc>
      </w:tr>
      <w:tr w:rsidR="00F40D08" w:rsidRPr="00F40D08" w:rsidTr="00F40D08">
        <w:trPr>
          <w:trHeight w:val="31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13</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C,DL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A,DL </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 At least Rel. 15 mechanisms can be used, FFS enhancements</w:t>
            </w:r>
          </w:p>
        </w:tc>
      </w:tr>
      <w:tr w:rsidR="00F40D08" w:rsidRPr="00F40D08" w:rsidTr="00F40D08">
        <w:trPr>
          <w:trHeight w:val="31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14</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C,UL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A,UL </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 At least Rel. 15 mechanisms can be used, FFS enhancements</w:t>
            </w:r>
          </w:p>
        </w:tc>
      </w:tr>
      <w:tr w:rsidR="00F40D08" w:rsidRPr="00F40D08" w:rsidTr="00F40D08">
        <w:trPr>
          <w:trHeight w:val="31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15</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C,DL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A,UL</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 At least Rel. 15 mechanisms can be used, FFS enhancements</w:t>
            </w:r>
          </w:p>
        </w:tc>
      </w:tr>
      <w:tr w:rsidR="00F40D08" w:rsidRPr="00F40D08" w:rsidTr="00F40D08">
        <w:trPr>
          <w:trHeight w:val="311"/>
          <w:jc w:val="center"/>
        </w:trPr>
        <w:tc>
          <w:tcPr>
            <w:tcW w:w="5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16</w:t>
            </w:r>
          </w:p>
        </w:tc>
        <w:tc>
          <w:tcPr>
            <w:tcW w:w="68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C,UL</w:t>
            </w:r>
          </w:p>
        </w:tc>
        <w:tc>
          <w:tcPr>
            <w:tcW w:w="1468"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L</w:t>
            </w:r>
            <w:r w:rsidRPr="00F40D08">
              <w:rPr>
                <w:sz w:val="20"/>
                <w:szCs w:val="20"/>
                <w:vertAlign w:val="subscript"/>
              </w:rPr>
              <w:t xml:space="preserve">A,DL </w:t>
            </w:r>
          </w:p>
        </w:tc>
        <w:tc>
          <w:tcPr>
            <w:tcW w:w="4573" w:type="dxa"/>
            <w:shd w:val="clear" w:color="auto" w:fill="auto"/>
          </w:tcPr>
          <w:p w:rsidR="00F40D08" w:rsidRPr="00F40D08" w:rsidRDefault="00F40D08" w:rsidP="00F40D08">
            <w:pPr>
              <w:pStyle w:val="3GPPNormalText"/>
              <w:spacing w:after="0"/>
              <w:jc w:val="left"/>
              <w:rPr>
                <w:sz w:val="20"/>
                <w:szCs w:val="20"/>
              </w:rPr>
            </w:pPr>
            <w:r w:rsidRPr="00F40D08">
              <w:rPr>
                <w:sz w:val="20"/>
                <w:szCs w:val="20"/>
              </w:rPr>
              <w:t>* At least Rel. 15 mechanisms can be used, FFS enhancements</w:t>
            </w:r>
          </w:p>
        </w:tc>
      </w:tr>
    </w:tbl>
    <w:p w:rsidR="00F40D08" w:rsidRPr="00F40D08" w:rsidRDefault="00F40D08" w:rsidP="00F40D08">
      <w:pPr>
        <w:pStyle w:val="3GPPNormalText"/>
        <w:spacing w:after="0"/>
        <w:jc w:val="left"/>
        <w:rPr>
          <w:sz w:val="20"/>
          <w:szCs w:val="20"/>
        </w:rPr>
      </w:pPr>
    </w:p>
    <w:p w:rsidR="00F40D08" w:rsidRPr="00F40D08" w:rsidRDefault="00F40D08" w:rsidP="00F40D08">
      <w:pPr>
        <w:pStyle w:val="3GPPNormalText"/>
        <w:spacing w:after="0"/>
        <w:jc w:val="left"/>
        <w:rPr>
          <w:sz w:val="20"/>
          <w:szCs w:val="20"/>
        </w:rPr>
      </w:pPr>
      <w:r w:rsidRPr="00F40D08">
        <w:rPr>
          <w:sz w:val="20"/>
          <w:szCs w:val="20"/>
        </w:rPr>
        <w:t>Note: A given pattern may include support for multiple cases, details FFS.</w:t>
      </w:r>
    </w:p>
    <w:p w:rsidR="00F40D08" w:rsidRPr="00F40D08" w:rsidRDefault="00F40D08" w:rsidP="00F40D08">
      <w:pPr>
        <w:pStyle w:val="3GPPNormalText"/>
        <w:spacing w:after="0"/>
        <w:jc w:val="left"/>
        <w:rPr>
          <w:sz w:val="20"/>
          <w:szCs w:val="20"/>
        </w:rPr>
      </w:pPr>
      <w:r w:rsidRPr="00F40D08">
        <w:rPr>
          <w:sz w:val="20"/>
          <w:szCs w:val="20"/>
        </w:rPr>
        <w:t>At least for Cases 1-12, an IAB node is configured with IAB-node specific resources in time available for the links:</w:t>
      </w:r>
    </w:p>
    <w:p w:rsidR="00F40D08" w:rsidRPr="00F40D08" w:rsidRDefault="00F40D08" w:rsidP="00F40D08">
      <w:pPr>
        <w:pStyle w:val="3GPPNormalText"/>
        <w:numPr>
          <w:ilvl w:val="0"/>
          <w:numId w:val="26"/>
        </w:numPr>
        <w:spacing w:after="0"/>
        <w:jc w:val="left"/>
        <w:rPr>
          <w:sz w:val="20"/>
          <w:szCs w:val="20"/>
        </w:rPr>
      </w:pPr>
      <w:r w:rsidRPr="00F40D08">
        <w:rPr>
          <w:sz w:val="20"/>
          <w:szCs w:val="20"/>
        </w:rPr>
        <w:t>Further study details of the adaptation period and granularity (e.g. slot or symbol-level) of the pattern provided to the IAB node, including</w:t>
      </w:r>
    </w:p>
    <w:p w:rsidR="00F40D08" w:rsidRPr="00F40D08" w:rsidRDefault="00F40D08" w:rsidP="00F40D08">
      <w:pPr>
        <w:pStyle w:val="3GPPNormalText"/>
        <w:numPr>
          <w:ilvl w:val="1"/>
          <w:numId w:val="26"/>
        </w:numPr>
        <w:spacing w:after="0"/>
        <w:jc w:val="left"/>
        <w:rPr>
          <w:sz w:val="20"/>
          <w:szCs w:val="20"/>
        </w:rPr>
      </w:pPr>
      <w:r w:rsidRPr="00F40D08">
        <w:rPr>
          <w:sz w:val="20"/>
          <w:szCs w:val="20"/>
        </w:rPr>
        <w:t>Explicit or implicit indication of the resources</w:t>
      </w:r>
    </w:p>
    <w:p w:rsidR="00F40D08" w:rsidRPr="00F40D08" w:rsidRDefault="00F40D08" w:rsidP="00F40D08">
      <w:pPr>
        <w:pStyle w:val="3GPPNormalText"/>
        <w:numPr>
          <w:ilvl w:val="1"/>
          <w:numId w:val="26"/>
        </w:numPr>
        <w:spacing w:after="0"/>
        <w:jc w:val="left"/>
        <w:rPr>
          <w:sz w:val="20"/>
          <w:szCs w:val="20"/>
        </w:rPr>
      </w:pPr>
      <w:r w:rsidRPr="00F40D08">
        <w:rPr>
          <w:sz w:val="20"/>
          <w:szCs w:val="20"/>
        </w:rPr>
        <w:t>Enhancements to existing signaling mechanisms to indicate the pattern</w:t>
      </w:r>
    </w:p>
    <w:p w:rsidR="00F40D08" w:rsidRPr="00F40D08" w:rsidRDefault="00F40D08" w:rsidP="00F40D08">
      <w:pPr>
        <w:pStyle w:val="3GPPNormalText"/>
        <w:numPr>
          <w:ilvl w:val="0"/>
          <w:numId w:val="26"/>
        </w:numPr>
        <w:spacing w:after="0"/>
        <w:jc w:val="left"/>
        <w:rPr>
          <w:sz w:val="20"/>
          <w:szCs w:val="20"/>
        </w:rPr>
      </w:pPr>
      <w:r w:rsidRPr="00F40D08">
        <w:rPr>
          <w:sz w:val="20"/>
          <w:szCs w:val="20"/>
        </w:rPr>
        <w:t>Further study the indication of resources within the configuration which can be dynamically and flexibly used for different links, including</w:t>
      </w:r>
    </w:p>
    <w:p w:rsidR="00F40D08" w:rsidRPr="00F40D08" w:rsidRDefault="00F40D08" w:rsidP="00F40D08">
      <w:pPr>
        <w:pStyle w:val="3GPPNormalText"/>
        <w:numPr>
          <w:ilvl w:val="1"/>
          <w:numId w:val="26"/>
        </w:numPr>
        <w:spacing w:after="0"/>
        <w:jc w:val="left"/>
        <w:rPr>
          <w:sz w:val="20"/>
          <w:szCs w:val="20"/>
        </w:rPr>
      </w:pPr>
      <w:r w:rsidRPr="00F40D08">
        <w:rPr>
          <w:sz w:val="20"/>
          <w:szCs w:val="20"/>
        </w:rPr>
        <w:t>The need to consider the scheduling delay, IAB node processing delays, or information required to be available for the use of flexible resources</w:t>
      </w:r>
    </w:p>
    <w:p w:rsidR="00F40D08" w:rsidRPr="00F40D08" w:rsidRDefault="00F40D08" w:rsidP="00F40D08">
      <w:pPr>
        <w:pStyle w:val="3GPPNormalText"/>
        <w:numPr>
          <w:ilvl w:val="1"/>
          <w:numId w:val="26"/>
        </w:numPr>
        <w:spacing w:after="0"/>
        <w:jc w:val="left"/>
        <w:rPr>
          <w:sz w:val="20"/>
          <w:szCs w:val="20"/>
        </w:rPr>
      </w:pPr>
      <w:r w:rsidRPr="00F40D08">
        <w:rPr>
          <w:sz w:val="20"/>
          <w:szCs w:val="20"/>
        </w:rPr>
        <w:t>Mechanisms to schedule flexible resources (e.g. GC-PDCCH)</w:t>
      </w:r>
    </w:p>
    <w:p w:rsidR="00F40D08" w:rsidRPr="00F40D08" w:rsidRDefault="00F40D08" w:rsidP="00F40D08">
      <w:pPr>
        <w:spacing w:after="0"/>
      </w:pPr>
    </w:p>
    <w:p w:rsidR="00F40D08" w:rsidRDefault="00F40D08" w:rsidP="000360A3"/>
    <w:p w:rsidR="008E0942" w:rsidRDefault="005451E6" w:rsidP="000360A3">
      <w:pPr>
        <w:rPr>
          <w:sz w:val="22"/>
        </w:rPr>
      </w:pPr>
      <w:r w:rsidRPr="00767A6C">
        <w:t>In this contribution</w:t>
      </w:r>
      <w:r w:rsidR="00C63F98">
        <w:t xml:space="preserve">, we discuss the NR physical layer design aspect in support of NR-IAB.  </w:t>
      </w:r>
    </w:p>
    <w:p w:rsidR="00674AA0" w:rsidRPr="00601F7D" w:rsidRDefault="004E5A5E" w:rsidP="00AC36ED">
      <w:pPr>
        <w:pStyle w:val="1"/>
      </w:pPr>
      <w:r>
        <w:t xml:space="preserve">Physical Layer Design for </w:t>
      </w:r>
      <w:r w:rsidR="003127CB">
        <w:t>NR-</w:t>
      </w:r>
      <w:r w:rsidR="00AC36ED">
        <w:t>IAB</w:t>
      </w:r>
    </w:p>
    <w:p w:rsidR="00F40D08" w:rsidRDefault="00F40D08" w:rsidP="00E362F5">
      <w:pPr>
        <w:pStyle w:val="2"/>
        <w:spacing w:after="240"/>
      </w:pPr>
      <w:r>
        <w:t>Stage 1</w:t>
      </w:r>
      <w:r w:rsidR="001A57BE">
        <w:t xml:space="preserve"> Detection for NSA</w:t>
      </w:r>
    </w:p>
    <w:p w:rsidR="0007176B" w:rsidRDefault="001A57BE" w:rsidP="0007176B">
      <w:pPr>
        <w:overflowPunct/>
        <w:autoSpaceDE/>
        <w:autoSpaceDN/>
        <w:adjustRightInd/>
        <w:spacing w:after="0"/>
        <w:textAlignment w:val="auto"/>
        <w:rPr>
          <w:lang w:eastAsia="zh-CN"/>
        </w:rPr>
      </w:pPr>
      <w:r>
        <w:t>The initial discovery process by the IAB node at Stage 1</w:t>
      </w:r>
      <w:r w:rsidRPr="00F40D08">
        <w:t xml:space="preserve"> </w:t>
      </w:r>
      <w:r>
        <w:t xml:space="preserve">follows the Rel.15 procedure of cell search and initial access in NR standalone deployment.  For NSA deployment, there is no transmission of SSB transmission and system information.  The initial access procedure would go through LTE </w:t>
      </w:r>
      <w:proofErr w:type="spellStart"/>
      <w:r>
        <w:t>PCell</w:t>
      </w:r>
      <w:proofErr w:type="spellEnd"/>
      <w:r>
        <w:t xml:space="preserve"> for NSA.  To support IAB in NSA deployment, the IAB node could simply follow the LTE initial access procedure and play the role as an UE </w:t>
      </w:r>
      <w:r w:rsidR="00B712B0">
        <w:t xml:space="preserve">supporting LTE-NR dual connectivity.   After the LTE initial access, the IAB node needs to identify itself as an NR IAB </w:t>
      </w:r>
      <w:proofErr w:type="gramStart"/>
      <w:r w:rsidR="00B712B0">
        <w:t>node  and</w:t>
      </w:r>
      <w:proofErr w:type="gramEnd"/>
      <w:r w:rsidR="00B712B0">
        <w:t xml:space="preserve"> request for the LTE-NR dual connectivity.   The LTE RRC signalling needs to be enhance</w:t>
      </w:r>
      <w:r w:rsidR="0007176B">
        <w:t xml:space="preserve">d to support the required control signalling of IAB node’s integration procedures, such as </w:t>
      </w:r>
      <w:r w:rsidR="0007176B">
        <w:rPr>
          <w:lang w:eastAsia="zh-CN"/>
        </w:rPr>
        <w:t>routing update and IAB DU setup</w:t>
      </w:r>
      <w:r w:rsidR="0007176B" w:rsidRPr="00C27187">
        <w:rPr>
          <w:lang w:eastAsia="zh-CN"/>
        </w:rPr>
        <w:t xml:space="preserve"> </w:t>
      </w:r>
      <w:r w:rsidR="0007176B">
        <w:rPr>
          <w:lang w:eastAsia="zh-CN"/>
        </w:rPr>
        <w:t xml:space="preserve">with </w:t>
      </w:r>
      <w:r w:rsidR="0007176B" w:rsidRPr="00C27187">
        <w:t>F1-AP setup procedure</w:t>
      </w:r>
      <w:r w:rsidR="0007176B">
        <w:rPr>
          <w:lang w:eastAsia="zh-CN"/>
        </w:rPr>
        <w:t xml:space="preserve">.   These control signalling were part of NR F1 control signalling during the initial setup and IAB node </w:t>
      </w:r>
      <w:r w:rsidR="0007176B">
        <w:rPr>
          <w:lang w:eastAsia="zh-CN"/>
        </w:rPr>
        <w:lastRenderedPageBreak/>
        <w:t xml:space="preserve">control signalling.  Once the IAB integration procedures complete, the Donor gNB would configure a LTE-NR dual connectivity to the IAB node as the NR cell as the SCG for backhauling link of the IAB node.  </w:t>
      </w:r>
    </w:p>
    <w:p w:rsidR="008307DD" w:rsidRDefault="008307DD" w:rsidP="0007176B">
      <w:pPr>
        <w:overflowPunct/>
        <w:autoSpaceDE/>
        <w:autoSpaceDN/>
        <w:adjustRightInd/>
        <w:spacing w:after="0"/>
        <w:textAlignment w:val="auto"/>
        <w:rPr>
          <w:lang w:eastAsia="zh-CN"/>
        </w:rPr>
      </w:pPr>
    </w:p>
    <w:p w:rsidR="008307DD" w:rsidRPr="008307DD" w:rsidRDefault="008307DD" w:rsidP="0007176B">
      <w:pPr>
        <w:overflowPunct/>
        <w:autoSpaceDE/>
        <w:autoSpaceDN/>
        <w:adjustRightInd/>
        <w:spacing w:after="0"/>
        <w:textAlignment w:val="auto"/>
        <w:rPr>
          <w:b/>
          <w:lang w:eastAsia="zh-CN"/>
        </w:rPr>
      </w:pPr>
      <w:r>
        <w:rPr>
          <w:b/>
          <w:lang w:eastAsia="zh-CN"/>
        </w:rPr>
        <w:t xml:space="preserve">Proposal 1:  </w:t>
      </w:r>
      <w:r w:rsidR="00F47C95">
        <w:rPr>
          <w:b/>
          <w:lang w:eastAsia="zh-CN"/>
        </w:rPr>
        <w:t xml:space="preserve">The IAB node would perform LTE initial access for NSA operation.  The LTE </w:t>
      </w:r>
      <w:r w:rsidR="00F47C95" w:rsidRPr="00F47C95">
        <w:rPr>
          <w:b/>
          <w:lang w:eastAsia="zh-CN"/>
        </w:rPr>
        <w:t>RRC signalling needs to be enhanced to support the required control signalling of IAB node’s integration procedures, such as routing update and IAB DU setup with F1-AP setup procedure</w:t>
      </w:r>
    </w:p>
    <w:p w:rsidR="001A57BE" w:rsidRPr="001A57BE" w:rsidRDefault="001A57BE" w:rsidP="001A57BE"/>
    <w:p w:rsidR="00725FCB" w:rsidRDefault="00F40D08" w:rsidP="00E362F5">
      <w:pPr>
        <w:pStyle w:val="2"/>
        <w:spacing w:after="240"/>
      </w:pPr>
      <w:r>
        <w:t xml:space="preserve">Stage 2 </w:t>
      </w:r>
      <w:r w:rsidR="00725FCB">
        <w:t>Backhaul Links</w:t>
      </w:r>
      <w:r>
        <w:t xml:space="preserve"> Detection and Measurements</w:t>
      </w:r>
    </w:p>
    <w:p w:rsidR="00D9165C" w:rsidRDefault="00D9165C" w:rsidP="004231AF">
      <w:pPr>
        <w:pStyle w:val="maintext"/>
        <w:spacing w:line="240" w:lineRule="auto"/>
        <w:ind w:firstLineChars="0" w:firstLine="0"/>
        <w:rPr>
          <w:bCs/>
        </w:rPr>
      </w:pPr>
    </w:p>
    <w:p w:rsidR="00F96818" w:rsidRDefault="00D9165C" w:rsidP="00651354">
      <w:pPr>
        <w:pStyle w:val="maintext"/>
        <w:spacing w:before="0" w:after="0" w:line="240" w:lineRule="auto"/>
        <w:ind w:firstLineChars="0" w:firstLine="0"/>
      </w:pPr>
      <w:r>
        <w:t xml:space="preserve">It was agreed that </w:t>
      </w:r>
      <w:r w:rsidR="00F47C95">
        <w:t>both SSB and CSI-RS could be used for IAB’s</w:t>
      </w:r>
      <w:r w:rsidRPr="006E2265">
        <w:t xml:space="preserve"> detection and measurement of candidate backh</w:t>
      </w:r>
      <w:r w:rsidR="00F47C95">
        <w:t>aul links at stage 2</w:t>
      </w:r>
      <w:r w:rsidRPr="006E2265">
        <w:t xml:space="preserve"> </w:t>
      </w:r>
      <w:r>
        <w:t>for dyn</w:t>
      </w:r>
      <w:r w:rsidR="00F47C95">
        <w:t xml:space="preserve">amic switching of backhaul link.  </w:t>
      </w:r>
      <w:r>
        <w:t>T</w:t>
      </w:r>
      <w:r w:rsidR="00651354">
        <w:t xml:space="preserve">he radio resource for the </w:t>
      </w:r>
      <w:r>
        <w:t>backhaul link measur</w:t>
      </w:r>
      <w:r w:rsidR="00651354">
        <w:t>e</w:t>
      </w:r>
      <w:r>
        <w:t xml:space="preserve">ments would be configured with </w:t>
      </w:r>
      <w:r w:rsidR="00651354">
        <w:t xml:space="preserve">respect to the candidate donor gNB.  </w:t>
      </w:r>
      <w:r w:rsidRPr="006E2265">
        <w:t xml:space="preserve"> </w:t>
      </w:r>
      <w:r w:rsidR="00651354">
        <w:t xml:space="preserve">With the half duplex constraint, the radio resource for the IAB node to measure the backhaul link should be an UE-specific RS configuration to avoid potential </w:t>
      </w:r>
      <w:r w:rsidR="00805EAF">
        <w:t>cell-specific radio resources</w:t>
      </w:r>
      <w:r w:rsidR="00F47C95">
        <w:t xml:space="preserve"> collision</w:t>
      </w:r>
      <w:r w:rsidR="00805EAF">
        <w:t xml:space="preserve">, which could be synchronized in transmission to the UE among donor </w:t>
      </w:r>
      <w:proofErr w:type="spellStart"/>
      <w:r w:rsidR="00805EAF">
        <w:t>gNBs</w:t>
      </w:r>
      <w:proofErr w:type="spellEnd"/>
      <w:r w:rsidR="00805EAF">
        <w:t xml:space="preserve"> and IAB nodes</w:t>
      </w:r>
      <w:r w:rsidR="00F47C95">
        <w:t xml:space="preserve"> based on different cases of transmission timing</w:t>
      </w:r>
      <w:r w:rsidR="00805EAF">
        <w:t xml:space="preserve">.  </w:t>
      </w:r>
      <w:r w:rsidR="00F96818">
        <w:t xml:space="preserve"> The radio resource used for the candidate backhaul link measur</w:t>
      </w:r>
      <w:r w:rsidR="000125D8">
        <w:t>ements by the IAB node should</w:t>
      </w:r>
      <w:r w:rsidR="00F96818">
        <w:t xml:space="preserve"> </w:t>
      </w:r>
      <w:r w:rsidR="000125D8">
        <w:t xml:space="preserve">coordinate in </w:t>
      </w:r>
      <w:r w:rsidR="00F96818">
        <w:t>configu</w:t>
      </w:r>
      <w:r w:rsidR="000125D8">
        <w:t xml:space="preserve">ration </w:t>
      </w:r>
      <w:r w:rsidR="00F96818">
        <w:t xml:space="preserve">among candidate donor </w:t>
      </w:r>
      <w:proofErr w:type="spellStart"/>
      <w:r w:rsidR="00F96818">
        <w:t>gNBs</w:t>
      </w:r>
      <w:proofErr w:type="spellEnd"/>
      <w:r w:rsidR="00F96818">
        <w:t xml:space="preserve"> </w:t>
      </w:r>
      <w:r w:rsidR="000125D8">
        <w:t>to allow simultaneous measurements from</w:t>
      </w:r>
      <w:r w:rsidR="00F96818">
        <w:t xml:space="preserve"> multipl</w:t>
      </w:r>
      <w:r w:rsidR="000125D8">
        <w:t xml:space="preserve">e backhaul links, which include the serving and target donor </w:t>
      </w:r>
      <w:proofErr w:type="spellStart"/>
      <w:r w:rsidR="000125D8">
        <w:t>gNBs</w:t>
      </w:r>
      <w:proofErr w:type="spellEnd"/>
      <w:r w:rsidR="000125D8">
        <w:t>.  Using SSB in TDM/FDM with/without muting would have the limitation on the number of candidate backhaul link to measure.   Since IAB node would be considered as an UE in CONNECTED state,</w:t>
      </w:r>
      <w:r w:rsidR="00D63353">
        <w:t xml:space="preserve"> CSI-RS resource for CSI or RRM measurements should be good reference signals for backhaul link measurements.  The configuration of CSI-RS resources for IAB node backhaul link measurements is similar to UE CSI measurements from multiple beams for beam managements or CoMP.   M</w:t>
      </w:r>
      <w:r w:rsidR="000125D8">
        <w:t>ultiple NZP and ZP CSI-RS resource</w:t>
      </w:r>
      <w:r w:rsidR="00D63353">
        <w:t>s</w:t>
      </w:r>
      <w:r w:rsidR="000125D8">
        <w:t xml:space="preserve"> could be configured as the reference for backhaul link measurements of any candidate backhaul link and interference mitigation of non-measure backhaul links respectively to allow IAB node to measure multiple candidate backhaul links in the same time.  </w:t>
      </w:r>
    </w:p>
    <w:p w:rsidR="00D63353" w:rsidRDefault="00D63353" w:rsidP="00651354">
      <w:pPr>
        <w:pStyle w:val="maintext"/>
        <w:spacing w:before="0" w:after="0" w:line="240" w:lineRule="auto"/>
        <w:ind w:firstLineChars="0" w:firstLine="0"/>
      </w:pPr>
    </w:p>
    <w:p w:rsidR="00D63353" w:rsidRPr="00273490" w:rsidRDefault="00F47C95" w:rsidP="00D63353">
      <w:pPr>
        <w:rPr>
          <w:b/>
          <w:bCs/>
        </w:rPr>
      </w:pPr>
      <w:r>
        <w:rPr>
          <w:b/>
          <w:bCs/>
        </w:rPr>
        <w:t>Proposal 2</w:t>
      </w:r>
      <w:r w:rsidR="00D63353">
        <w:rPr>
          <w:b/>
          <w:bCs/>
        </w:rPr>
        <w:t xml:space="preserve">:  </w:t>
      </w:r>
      <w:r w:rsidR="00D63353" w:rsidRPr="00D63353">
        <w:rPr>
          <w:b/>
          <w:bCs/>
        </w:rPr>
        <w:t xml:space="preserve">Multiple NZP and ZP CSI-RS resources could be configured as the reference for backhaul link measurements of any candidate backhaul link and interference mitigation of non-measure backhaul links respectively to allow IAB node to measure multiple candidate backhaul links in the same time.  </w:t>
      </w:r>
    </w:p>
    <w:p w:rsidR="00D63353" w:rsidRDefault="00D63353" w:rsidP="00651354">
      <w:pPr>
        <w:pStyle w:val="maintext"/>
        <w:spacing w:before="0" w:after="0" w:line="240" w:lineRule="auto"/>
        <w:ind w:firstLineChars="0" w:firstLine="0"/>
      </w:pPr>
    </w:p>
    <w:p w:rsidR="00C07268" w:rsidRDefault="00F92B25" w:rsidP="00C07268">
      <w:pPr>
        <w:overflowPunct/>
        <w:autoSpaceDE/>
        <w:autoSpaceDN/>
        <w:adjustRightInd/>
        <w:spacing w:before="60" w:after="120"/>
        <w:jc w:val="both"/>
        <w:textAlignment w:val="auto"/>
        <w:rPr>
          <w:rFonts w:eastAsia="Malgun Gothic"/>
          <w:lang w:eastAsia="ko-KR"/>
        </w:rPr>
      </w:pPr>
      <w:r>
        <w:t xml:space="preserve">The CSI-RS resource configured for the measurement of candidate backhaul links could be also </w:t>
      </w:r>
      <w:r w:rsidR="00C07268">
        <w:t xml:space="preserve">used for RRM measurements with coordination of NZP and ZP CSI-RS resources configurations among candidate backhaul links by serving gNB. </w:t>
      </w:r>
      <w:r>
        <w:t xml:space="preserve"> </w:t>
      </w:r>
      <w:r w:rsidR="00C07268">
        <w:rPr>
          <w:rFonts w:eastAsia="Malgun Gothic"/>
          <w:lang w:eastAsia="ko-KR"/>
        </w:rPr>
        <w:t xml:space="preserve">The CSI-RS resource configured for beam management or CSI measurements from the donor gNB should be reused for RRM measurements of IAB backhaul links as well as RLM measurements.  </w:t>
      </w:r>
      <w:r w:rsidR="00F47C95">
        <w:rPr>
          <w:rFonts w:eastAsia="Malgun Gothic"/>
          <w:lang w:eastAsia="ko-KR"/>
        </w:rPr>
        <w:t xml:space="preserve">The advantage of using the </w:t>
      </w:r>
      <w:r w:rsidR="00694EEF">
        <w:rPr>
          <w:rFonts w:eastAsia="Malgun Gothic"/>
          <w:lang w:eastAsia="ko-KR"/>
        </w:rPr>
        <w:t>CSI-R</w:t>
      </w:r>
      <w:r w:rsidR="00F47C95">
        <w:rPr>
          <w:rFonts w:eastAsia="Malgun Gothic"/>
          <w:lang w:eastAsia="ko-KR"/>
        </w:rPr>
        <w:t>S for RRM and RLM measureme</w:t>
      </w:r>
      <w:r w:rsidR="00694EEF">
        <w:rPr>
          <w:rFonts w:eastAsia="Malgun Gothic"/>
          <w:lang w:eastAsia="ko-KR"/>
        </w:rPr>
        <w:t xml:space="preserve">nts is that the measurement performance could improve when the ZP CSI-RS is configured on the same REs of the CSI-RS resource at the neighboring cells for interference mitigation.  . </w:t>
      </w:r>
      <w:r w:rsidR="00F47C95">
        <w:rPr>
          <w:rFonts w:eastAsia="Malgun Gothic"/>
          <w:lang w:eastAsia="ko-KR"/>
        </w:rPr>
        <w:t xml:space="preserve"> </w:t>
      </w:r>
    </w:p>
    <w:p w:rsidR="00C07268" w:rsidRDefault="00C07268" w:rsidP="00C07268">
      <w:pPr>
        <w:overflowPunct/>
        <w:autoSpaceDE/>
        <w:autoSpaceDN/>
        <w:adjustRightInd/>
        <w:spacing w:before="60" w:after="120"/>
        <w:jc w:val="both"/>
        <w:textAlignment w:val="auto"/>
        <w:rPr>
          <w:rFonts w:eastAsia="Malgun Gothic"/>
          <w:lang w:eastAsia="ko-KR"/>
        </w:rPr>
      </w:pPr>
    </w:p>
    <w:p w:rsidR="00C07268" w:rsidRPr="00C07268" w:rsidRDefault="00694EEF" w:rsidP="00C07268">
      <w:pPr>
        <w:overflowPunct/>
        <w:autoSpaceDE/>
        <w:autoSpaceDN/>
        <w:adjustRightInd/>
        <w:spacing w:before="60" w:after="120"/>
        <w:jc w:val="both"/>
        <w:textAlignment w:val="auto"/>
        <w:rPr>
          <w:rFonts w:eastAsia="Malgun Gothic"/>
          <w:b/>
          <w:lang w:eastAsia="ko-KR"/>
        </w:rPr>
      </w:pPr>
      <w:r>
        <w:rPr>
          <w:rFonts w:eastAsia="Malgun Gothic"/>
          <w:b/>
          <w:lang w:eastAsia="ko-KR"/>
        </w:rPr>
        <w:t>Proposal 3</w:t>
      </w:r>
      <w:r w:rsidR="00C07268">
        <w:rPr>
          <w:rFonts w:eastAsia="Malgun Gothic"/>
          <w:b/>
          <w:lang w:eastAsia="ko-KR"/>
        </w:rPr>
        <w:t xml:space="preserve">:   </w:t>
      </w:r>
      <w:r w:rsidR="00C07268" w:rsidRPr="00C07268">
        <w:rPr>
          <w:rFonts w:eastAsia="Malgun Gothic"/>
          <w:b/>
          <w:lang w:eastAsia="ko-KR"/>
        </w:rPr>
        <w:t xml:space="preserve">The CSI-RS resource configured for beam management or CSI measurements from the donor gNB should be reused for RRM measurements of IAB backhaul links as well as RLM measurements.  </w:t>
      </w:r>
    </w:p>
    <w:p w:rsidR="00F96818" w:rsidRPr="006E2265" w:rsidRDefault="00F96818" w:rsidP="0072624D">
      <w:pPr>
        <w:overflowPunct/>
        <w:autoSpaceDE/>
        <w:autoSpaceDN/>
        <w:adjustRightInd/>
        <w:spacing w:before="60" w:after="120"/>
        <w:jc w:val="both"/>
        <w:textAlignment w:val="auto"/>
      </w:pPr>
    </w:p>
    <w:p w:rsidR="00D9165C" w:rsidRDefault="00694EEF" w:rsidP="004231AF">
      <w:pPr>
        <w:pStyle w:val="maintext"/>
        <w:spacing w:line="240" w:lineRule="auto"/>
        <w:ind w:firstLineChars="0" w:firstLine="0"/>
        <w:rPr>
          <w:bCs/>
        </w:rPr>
      </w:pPr>
      <w:r>
        <w:rPr>
          <w:bCs/>
        </w:rPr>
        <w:t>There is a concern of using CSI-RS as the RS for the RRM and RLM measurements of the IAB backhaul links</w:t>
      </w:r>
      <w:r w:rsidR="00D571FB">
        <w:rPr>
          <w:bCs/>
        </w:rPr>
        <w:t xml:space="preserve"> for the 2</w:t>
      </w:r>
      <w:r w:rsidR="00D571FB" w:rsidRPr="00D571FB">
        <w:rPr>
          <w:bCs/>
          <w:vertAlign w:val="superscript"/>
        </w:rPr>
        <w:t>nd</w:t>
      </w:r>
      <w:r w:rsidR="00D571FB">
        <w:rPr>
          <w:bCs/>
        </w:rPr>
        <w:t xml:space="preserve"> stage discovery in an unsynchronized network deployment.   For 2</w:t>
      </w:r>
      <w:r w:rsidR="00D571FB" w:rsidRPr="00D571FB">
        <w:rPr>
          <w:bCs/>
          <w:vertAlign w:val="superscript"/>
        </w:rPr>
        <w:t>nd</w:t>
      </w:r>
      <w:r w:rsidR="00D571FB">
        <w:rPr>
          <w:bCs/>
        </w:rPr>
        <w:t xml:space="preserve"> stage discovery, the IAB node becomes active in serving the UE.  The transmission timing needs to be fixed with the assumption of full offset synchronized with the Donor gNB and other IAB nodes in order to perform TDM operations in battle of half-duplex constraint.   If the network is not full synchronized (including offset synchronized), the transmission timing cases 1 -7 studied in the IAB study would not work at all.  Thus, CSI-RS as the RS for the IAB node backhaul link measurements would work alone with different cases of the DL/UL transmission timing between the IAB node and the Donor gNB which required offset synchronization.     </w:t>
      </w:r>
    </w:p>
    <w:p w:rsidR="00694EEF" w:rsidRDefault="00694EEF" w:rsidP="003758FB">
      <w:pPr>
        <w:rPr>
          <w:b/>
          <w:bCs/>
        </w:rPr>
      </w:pPr>
    </w:p>
    <w:p w:rsidR="00D571FB" w:rsidRPr="00D571FB" w:rsidRDefault="00D571FB" w:rsidP="00D571FB">
      <w:pPr>
        <w:pStyle w:val="maintext"/>
        <w:spacing w:line="240" w:lineRule="auto"/>
        <w:ind w:firstLineChars="0" w:firstLine="0"/>
        <w:rPr>
          <w:b/>
          <w:bCs/>
        </w:rPr>
      </w:pPr>
      <w:r>
        <w:rPr>
          <w:b/>
          <w:bCs/>
        </w:rPr>
        <w:t>Proposal 4</w:t>
      </w:r>
      <w:r w:rsidR="00273490">
        <w:rPr>
          <w:b/>
          <w:bCs/>
        </w:rPr>
        <w:t xml:space="preserve">:  </w:t>
      </w:r>
      <w:r>
        <w:rPr>
          <w:b/>
          <w:bCs/>
        </w:rPr>
        <w:t xml:space="preserve">The CSI-RS used </w:t>
      </w:r>
      <w:r w:rsidRPr="00D571FB">
        <w:rPr>
          <w:b/>
          <w:bCs/>
        </w:rPr>
        <w:t xml:space="preserve">as the RS for the IAB node backhaul link measurements would work alone with different cases of the DL/UL transmission timing between the IAB node and the Donor gNB which required offset synchronization.     </w:t>
      </w:r>
    </w:p>
    <w:p w:rsidR="00273490" w:rsidRPr="00273490" w:rsidRDefault="00273490" w:rsidP="003758FB">
      <w:pPr>
        <w:rPr>
          <w:b/>
          <w:bCs/>
        </w:rPr>
      </w:pPr>
    </w:p>
    <w:p w:rsidR="0072624D" w:rsidRDefault="0072624D" w:rsidP="0072624D">
      <w:pPr>
        <w:overflowPunct/>
        <w:autoSpaceDE/>
        <w:autoSpaceDN/>
        <w:adjustRightInd/>
        <w:spacing w:before="60" w:after="120"/>
        <w:jc w:val="both"/>
        <w:textAlignment w:val="auto"/>
      </w:pPr>
    </w:p>
    <w:p w:rsidR="0072624D" w:rsidRPr="006E2265" w:rsidRDefault="006910EB" w:rsidP="0072624D">
      <w:pPr>
        <w:pStyle w:val="2"/>
        <w:spacing w:after="240"/>
      </w:pPr>
      <w:r>
        <w:lastRenderedPageBreak/>
        <w:t>Multiplexing of Access and Backhaul Links</w:t>
      </w:r>
      <w:r w:rsidR="005D3CE0">
        <w:t xml:space="preserve"> and Interference Mitigation scheme</w:t>
      </w:r>
    </w:p>
    <w:p w:rsidR="000B1569" w:rsidRPr="00241996" w:rsidRDefault="006910EB" w:rsidP="00241996">
      <w:pPr>
        <w:overflowPunct/>
        <w:autoSpaceDE/>
        <w:autoSpaceDN/>
        <w:adjustRightInd/>
        <w:spacing w:before="60" w:after="120"/>
        <w:jc w:val="both"/>
        <w:textAlignment w:val="auto"/>
      </w:pPr>
      <w:r>
        <w:t xml:space="preserve">It was agreed in RAN1#93 that </w:t>
      </w:r>
      <w:r w:rsidR="0072624D" w:rsidRPr="006E2265">
        <w:t xml:space="preserve">IAB </w:t>
      </w:r>
      <w:r>
        <w:t xml:space="preserve">node </w:t>
      </w:r>
      <w:r w:rsidR="0072624D" w:rsidRPr="006E2265">
        <w:t xml:space="preserve">supports </w:t>
      </w:r>
      <w:r>
        <w:t xml:space="preserve">multiplexing of access link and backhaul link in </w:t>
      </w:r>
      <w:r w:rsidR="0072624D" w:rsidRPr="006E2265">
        <w:t>TDM, FD</w:t>
      </w:r>
      <w:r>
        <w:t xml:space="preserve">M, and SDM with </w:t>
      </w:r>
      <w:r w:rsidR="0072624D" w:rsidRPr="006E2265">
        <w:t xml:space="preserve">half-duplex constraint. </w:t>
      </w:r>
      <w:r w:rsidR="000B1569">
        <w:t xml:space="preserve">   </w:t>
      </w:r>
      <w:r w:rsidR="000B1569" w:rsidRPr="000B1569">
        <w:rPr>
          <w:bCs/>
        </w:rPr>
        <w:t xml:space="preserve">For inband operation of backhaul link and IAB Uu access link, the transmission side lobe would cause the self interference when one link is in transmission and the other link is in reception.   </w:t>
      </w:r>
      <w:r w:rsidR="000B1569">
        <w:rPr>
          <w:bCs/>
        </w:rPr>
        <w:t>The half duplex constraint is t</w:t>
      </w:r>
      <w:r w:rsidR="000B1569" w:rsidRPr="000B1569">
        <w:rPr>
          <w:bCs/>
        </w:rPr>
        <w:t>o avoid self in</w:t>
      </w:r>
      <w:r w:rsidR="000B1569">
        <w:rPr>
          <w:bCs/>
        </w:rPr>
        <w:t xml:space="preserve">terference for inband operation. </w:t>
      </w:r>
      <w:r w:rsidR="000B1569" w:rsidRPr="000B1569">
        <w:rPr>
          <w:bCs/>
        </w:rPr>
        <w:t xml:space="preserve"> </w:t>
      </w:r>
      <w:r w:rsidR="000B1569">
        <w:rPr>
          <w:bCs/>
        </w:rPr>
        <w:t>T</w:t>
      </w:r>
      <w:r w:rsidR="000B1569" w:rsidRPr="000B1569">
        <w:rPr>
          <w:bCs/>
        </w:rPr>
        <w:t>he antenna of Uu link and the antenna of the backhaul link need to be separated and isolated to contain the interference generated by side lobe.  If there is no antenna isolation, the transmission and reception of backhaul link and Uu link needs to be coordinated in time to minimize the self interference cause d by the side lobe.</w:t>
      </w:r>
      <w:r w:rsidR="000B1569" w:rsidRPr="000B1569">
        <w:t xml:space="preserve"> </w:t>
      </w:r>
      <w:r w:rsidR="000B1569">
        <w:t xml:space="preserve">  The IAB node woul</w:t>
      </w:r>
      <w:r w:rsidR="00241996">
        <w:t xml:space="preserve">d have symbols </w:t>
      </w:r>
      <w:r w:rsidR="000B1569">
        <w:t xml:space="preserve">in transmission or reception in the same time on both access link and backhaul link.   </w:t>
      </w:r>
    </w:p>
    <w:p w:rsidR="00EE2173" w:rsidRDefault="000B1569" w:rsidP="000B1569">
      <w:pPr>
        <w:overflowPunct/>
        <w:autoSpaceDE/>
        <w:autoSpaceDN/>
        <w:adjustRightInd/>
        <w:spacing w:before="60" w:after="120"/>
        <w:jc w:val="both"/>
        <w:textAlignment w:val="auto"/>
      </w:pPr>
      <w:r>
        <w:t>Since NR system is flexible in the</w:t>
      </w:r>
      <w:r w:rsidR="00241996">
        <w:t xml:space="preserve"> system configurations, such as numerologies, DL/UL configuration, and HARQ timing, the better interference mitigation scheme is to have coordination DL/UL configuration between the access link and backhaul link.   </w:t>
      </w:r>
      <w:r>
        <w:t xml:space="preserve"> </w:t>
      </w:r>
      <w:r w:rsidR="00241996">
        <w:t xml:space="preserve">The interference mitigation scheme </w:t>
      </w:r>
      <w:r w:rsidR="005B4D0B">
        <w:t xml:space="preserve">for the IAB node </w:t>
      </w:r>
      <w:r w:rsidR="00241996">
        <w:t xml:space="preserve">is to coordinate the DL/UL transmission with the donor gNB to avoid the IAB DL transmission in the access link colliding with DL reception in the backhaul link or UL repletion at the access link interfered by the UL transmission to the backhaul link at IAB node.  </w:t>
      </w:r>
      <w:r w:rsidR="00EE2173">
        <w:t xml:space="preserve">If DL/UL slot format of the donor gNB is semi-statically configured by RRC as shown in </w:t>
      </w:r>
      <w:r w:rsidR="003A16D8">
        <w:fldChar w:fldCharType="begin"/>
      </w:r>
      <w:r w:rsidR="00EE2173">
        <w:instrText xml:space="preserve"> REF _Ref520220610 \h </w:instrText>
      </w:r>
      <w:r w:rsidR="003A16D8">
        <w:fldChar w:fldCharType="separate"/>
      </w:r>
      <w:r w:rsidR="00EE2173">
        <w:t xml:space="preserve">Figure </w:t>
      </w:r>
      <w:r w:rsidR="00EE2173">
        <w:rPr>
          <w:noProof/>
        </w:rPr>
        <w:t>3</w:t>
      </w:r>
      <w:r w:rsidR="003A16D8">
        <w:fldChar w:fldCharType="end"/>
      </w:r>
      <w:r w:rsidR="00EE2173">
        <w:t xml:space="preserve">, the IAB node could receive the DL/UL slot format configuration during the initial setup of the IAB node.   The interference mitigation scheme is for IAB </w:t>
      </w:r>
      <w:proofErr w:type="gramStart"/>
      <w:r w:rsidR="00EE2173">
        <w:t>node configure</w:t>
      </w:r>
      <w:proofErr w:type="gramEnd"/>
      <w:r w:rsidR="00EE2173">
        <w:t xml:space="preserve"> DL/UL slot format</w:t>
      </w:r>
      <w:r w:rsidR="00CB7985">
        <w:t xml:space="preserve">s with the shift of the slot boundary </w:t>
      </w:r>
      <w:r w:rsidR="00EE2173">
        <w:t xml:space="preserve">to avoid reception in one link and transmission in another link in the same time as shown in </w:t>
      </w:r>
      <w:r w:rsidR="003A16D8">
        <w:fldChar w:fldCharType="begin"/>
      </w:r>
      <w:r w:rsidR="00EE2173">
        <w:instrText xml:space="preserve"> REF _Ref520220610 \h </w:instrText>
      </w:r>
      <w:r w:rsidR="003A16D8">
        <w:fldChar w:fldCharType="separate"/>
      </w:r>
      <w:r w:rsidR="00EE2173">
        <w:t xml:space="preserve">Figure </w:t>
      </w:r>
      <w:r w:rsidR="00EE2173">
        <w:rPr>
          <w:noProof/>
        </w:rPr>
        <w:t>3</w:t>
      </w:r>
      <w:r w:rsidR="003A16D8">
        <w:fldChar w:fldCharType="end"/>
      </w:r>
      <w:r w:rsidR="00EE2173">
        <w:t xml:space="preserve">.   </w:t>
      </w:r>
    </w:p>
    <w:p w:rsidR="00EE2173" w:rsidRDefault="00EE2173" w:rsidP="000B1569">
      <w:pPr>
        <w:overflowPunct/>
        <w:autoSpaceDE/>
        <w:autoSpaceDN/>
        <w:adjustRightInd/>
        <w:spacing w:before="60" w:after="120"/>
        <w:jc w:val="both"/>
        <w:textAlignment w:val="auto"/>
      </w:pPr>
    </w:p>
    <w:p w:rsidR="000B1569" w:rsidRPr="006E2265" w:rsidRDefault="00A8681E" w:rsidP="000B1569">
      <w:pPr>
        <w:overflowPunct/>
        <w:autoSpaceDE/>
        <w:autoSpaceDN/>
        <w:adjustRightInd/>
        <w:spacing w:before="60" w:after="120"/>
        <w:jc w:val="both"/>
        <w:textAlignment w:val="auto"/>
      </w:pPr>
      <w:r>
        <w:t xml:space="preserve">If the DL/UL slot formats are configured dynamically at the donor gNB with SFI indicated on group common PDCCH, the IAB can played the role as the UE and decoding the group common PDCCH and determine its DL/UL slot format as shown in </w:t>
      </w:r>
      <w:r w:rsidR="003A16D8">
        <w:fldChar w:fldCharType="begin"/>
      </w:r>
      <w:r>
        <w:instrText xml:space="preserve"> REF _Ref520232727 \h </w:instrText>
      </w:r>
      <w:r w:rsidR="003A16D8">
        <w:fldChar w:fldCharType="separate"/>
      </w:r>
      <w:r>
        <w:t xml:space="preserve">Figure </w:t>
      </w:r>
      <w:r>
        <w:rPr>
          <w:noProof/>
        </w:rPr>
        <w:t>4</w:t>
      </w:r>
      <w:r w:rsidR="003A16D8">
        <w:fldChar w:fldCharType="end"/>
      </w:r>
      <w:r>
        <w:t xml:space="preserve">.   In </w:t>
      </w:r>
      <w:r w:rsidR="003A16D8">
        <w:fldChar w:fldCharType="begin"/>
      </w:r>
      <w:r>
        <w:instrText xml:space="preserve"> REF _Ref520232727 \h </w:instrText>
      </w:r>
      <w:r w:rsidR="003A16D8">
        <w:fldChar w:fldCharType="separate"/>
      </w:r>
      <w:r>
        <w:t xml:space="preserve">Figure </w:t>
      </w:r>
      <w:r>
        <w:rPr>
          <w:noProof/>
        </w:rPr>
        <w:t>4</w:t>
      </w:r>
      <w:r w:rsidR="003A16D8">
        <w:fldChar w:fldCharType="end"/>
      </w:r>
      <w:r>
        <w:t xml:space="preserve">, the slot boundary at IAB node delayed a few symbols to start after the DL transmission from the backhaul link with the access link </w:t>
      </w:r>
      <w:r w:rsidR="00A11072">
        <w:t xml:space="preserve">slot format </w:t>
      </w:r>
      <w:r>
        <w:t xml:space="preserve">dynamic adjusted each slot based on SFI received from </w:t>
      </w:r>
      <w:r w:rsidR="00A11072">
        <w:t xml:space="preserve">donor gNB.   </w:t>
      </w:r>
      <w:r w:rsidR="00D52F42">
        <w:t xml:space="preserve">From </w:t>
      </w:r>
      <w:r w:rsidR="003A16D8">
        <w:fldChar w:fldCharType="begin"/>
      </w:r>
      <w:r w:rsidR="00D52F42">
        <w:instrText xml:space="preserve"> REF _Ref520220610 \h </w:instrText>
      </w:r>
      <w:r w:rsidR="003A16D8">
        <w:fldChar w:fldCharType="separate"/>
      </w:r>
      <w:r w:rsidR="00D52F42">
        <w:t xml:space="preserve">Figure </w:t>
      </w:r>
      <w:r w:rsidR="00D52F42">
        <w:rPr>
          <w:noProof/>
        </w:rPr>
        <w:t>3</w:t>
      </w:r>
      <w:r w:rsidR="003A16D8">
        <w:fldChar w:fldCharType="end"/>
      </w:r>
      <w:r w:rsidR="00D52F42">
        <w:t xml:space="preserve"> and </w:t>
      </w:r>
      <w:r w:rsidR="003A16D8">
        <w:fldChar w:fldCharType="begin"/>
      </w:r>
      <w:r w:rsidR="00D52F42">
        <w:instrText xml:space="preserve"> REF _Ref520232727 \h </w:instrText>
      </w:r>
      <w:r w:rsidR="003A16D8">
        <w:fldChar w:fldCharType="separate"/>
      </w:r>
      <w:r w:rsidR="00D52F42">
        <w:t xml:space="preserve">Figure </w:t>
      </w:r>
      <w:r w:rsidR="00D52F42">
        <w:rPr>
          <w:noProof/>
        </w:rPr>
        <w:t>4</w:t>
      </w:r>
      <w:r w:rsidR="003A16D8">
        <w:fldChar w:fldCharType="end"/>
      </w:r>
      <w:r w:rsidR="00D52F42">
        <w:t xml:space="preserve">, the interference mitigation for IAB could be achieved by implementation with the DL/UL slot configuration at the IAB node is semi-static or dynamic assigned based on the DL/UL slot configuration of the donor gNB without any standard specification.  </w:t>
      </w:r>
    </w:p>
    <w:p w:rsidR="000B1569" w:rsidRPr="000B1569" w:rsidRDefault="000B1569" w:rsidP="000B1569">
      <w:pPr>
        <w:rPr>
          <w:b/>
          <w:bCs/>
        </w:rPr>
      </w:pPr>
    </w:p>
    <w:p w:rsidR="00EE2173" w:rsidRDefault="00D571FB" w:rsidP="00EE2173">
      <w:pPr>
        <w:rPr>
          <w:b/>
          <w:bCs/>
        </w:rPr>
      </w:pPr>
      <w:r>
        <w:rPr>
          <w:b/>
          <w:bCs/>
        </w:rPr>
        <w:t>Proposal 5</w:t>
      </w:r>
      <w:r w:rsidR="000B1569" w:rsidRPr="000B1569">
        <w:rPr>
          <w:b/>
          <w:bCs/>
        </w:rPr>
        <w:t xml:space="preserve">:  </w:t>
      </w:r>
      <w:r w:rsidR="00D52F42">
        <w:rPr>
          <w:b/>
          <w:bCs/>
        </w:rPr>
        <w:t>T</w:t>
      </w:r>
      <w:r w:rsidR="00D52F42" w:rsidRPr="00D52F42">
        <w:rPr>
          <w:b/>
          <w:bCs/>
        </w:rPr>
        <w:t>he interference mitigation for IAB could be achieved by implementation with the DL/UL slot configuration at the IAB node is semi-static or dynamic assigned based on the DL/UL slot configuration of the donor gNB without any standard specification</w:t>
      </w:r>
      <w:r w:rsidR="00D52F42">
        <w:rPr>
          <w:b/>
          <w:bCs/>
        </w:rPr>
        <w:t xml:space="preserve"> </w:t>
      </w:r>
    </w:p>
    <w:p w:rsidR="00D52F42" w:rsidRDefault="00D52F42" w:rsidP="00EE2173">
      <w:pPr>
        <w:rPr>
          <w:b/>
          <w:bCs/>
        </w:rPr>
      </w:pPr>
    </w:p>
    <w:p w:rsidR="00D52F42" w:rsidRDefault="00D52F42" w:rsidP="00EE2173">
      <w:pPr>
        <w:rPr>
          <w:b/>
          <w:bCs/>
        </w:rPr>
      </w:pPr>
    </w:p>
    <w:p w:rsidR="00EE2173" w:rsidRDefault="00EE2173" w:rsidP="00EE2173">
      <w:pPr>
        <w:keepNext/>
        <w:jc w:val="center"/>
      </w:pPr>
      <w:r w:rsidRPr="00EE2173">
        <w:rPr>
          <w:b/>
          <w:bCs/>
          <w:noProof/>
          <w:lang w:val="en-US" w:eastAsia="zh-CN"/>
        </w:rPr>
        <w:drawing>
          <wp:inline distT="0" distB="0" distL="0" distR="0">
            <wp:extent cx="3302758" cy="1453487"/>
            <wp:effectExtent l="19050" t="0" r="0" b="0"/>
            <wp:docPr id="3"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24536" cy="1830397"/>
                      <a:chOff x="2267744" y="3717032"/>
                      <a:chExt cx="4824536" cy="1830397"/>
                    </a:xfrm>
                  </a:grpSpPr>
                  <a:grpSp>
                    <a:nvGrpSpPr>
                      <a:cNvPr id="162" name="组合 161"/>
                      <a:cNvGrpSpPr/>
                    </a:nvGrpSpPr>
                    <a:grpSpPr>
                      <a:xfrm>
                        <a:off x="2267744" y="3717032"/>
                        <a:ext cx="4824536" cy="1830397"/>
                        <a:chOff x="2267744" y="3284984"/>
                        <a:chExt cx="4824536" cy="1830397"/>
                      </a:xfrm>
                    </a:grpSpPr>
                    <a:sp>
                      <a:nvSpPr>
                        <a:cNvPr id="104" name="矩形 103"/>
                        <a:cNvSpPr/>
                      </a:nvSpPr>
                      <a:spPr>
                        <a:xfrm>
                          <a:off x="3635896" y="3645024"/>
                          <a:ext cx="216024"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5" name="矩形 104"/>
                        <a:cNvSpPr/>
                      </a:nvSpPr>
                      <a:spPr>
                        <a:xfrm>
                          <a:off x="3059832" y="3645024"/>
                          <a:ext cx="576064"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6" name="矩形 105"/>
                        <a:cNvSpPr/>
                      </a:nvSpPr>
                      <a:spPr>
                        <a:xfrm>
                          <a:off x="3851920" y="3645024"/>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8" name="直接连接符 107"/>
                        <a:cNvCxnSpPr/>
                      </a:nvCxnSpPr>
                      <a:spPr>
                        <a:xfrm>
                          <a:off x="3059832"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09" name="直接连接符 108"/>
                        <a:cNvCxnSpPr/>
                      </a:nvCxnSpPr>
                      <a:spPr>
                        <a:xfrm>
                          <a:off x="4211960"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10" name="直接箭头连接符 109"/>
                        <a:cNvCxnSpPr/>
                      </a:nvCxnSpPr>
                      <a:spPr>
                        <a:xfrm>
                          <a:off x="3059832" y="3501008"/>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3563888" y="3356992"/>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12" name="矩形 111"/>
                        <a:cNvSpPr/>
                      </a:nvSpPr>
                      <a:spPr>
                        <a:xfrm>
                          <a:off x="4788024" y="3645024"/>
                          <a:ext cx="216024"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矩形 112"/>
                        <a:cNvSpPr/>
                      </a:nvSpPr>
                      <a:spPr>
                        <a:xfrm>
                          <a:off x="4211960" y="3645024"/>
                          <a:ext cx="576064"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4" name="矩形 113"/>
                        <a:cNvSpPr/>
                      </a:nvSpPr>
                      <a:spPr>
                        <a:xfrm>
                          <a:off x="5004048" y="3645024"/>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6" name="直接连接符 115"/>
                        <a:cNvCxnSpPr/>
                      </a:nvCxnSpPr>
                      <a:spPr>
                        <a:xfrm>
                          <a:off x="4211960"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17" name="直接连接符 116"/>
                        <a:cNvCxnSpPr/>
                      </a:nvCxnSpPr>
                      <a:spPr>
                        <a:xfrm>
                          <a:off x="5364088"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18" name="直接箭头连接符 117"/>
                        <a:cNvCxnSpPr/>
                      </a:nvCxnSpPr>
                      <a:spPr>
                        <a:xfrm>
                          <a:off x="4211960" y="3501008"/>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19" name="TextBox 118"/>
                        <a:cNvSpPr txBox="1"/>
                      </a:nvSpPr>
                      <a:spPr>
                        <a:xfrm>
                          <a:off x="4716016" y="3356992"/>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20" name="矩形 119"/>
                        <a:cNvSpPr/>
                      </a:nvSpPr>
                      <a:spPr>
                        <a:xfrm>
                          <a:off x="5940152" y="3645024"/>
                          <a:ext cx="216024"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矩形 120"/>
                        <a:cNvSpPr/>
                      </a:nvSpPr>
                      <a:spPr>
                        <a:xfrm>
                          <a:off x="5364088" y="3645024"/>
                          <a:ext cx="576064"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矩形 121"/>
                        <a:cNvSpPr/>
                      </a:nvSpPr>
                      <a:spPr>
                        <a:xfrm>
                          <a:off x="6156176" y="3645024"/>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4" name="直接连接符 123"/>
                        <a:cNvCxnSpPr/>
                      </a:nvCxnSpPr>
                      <a:spPr>
                        <a:xfrm>
                          <a:off x="5364088"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25" name="直接连接符 124"/>
                        <a:cNvCxnSpPr/>
                      </a:nvCxnSpPr>
                      <a:spPr>
                        <a:xfrm>
                          <a:off x="6516216"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26" name="直接箭头连接符 125"/>
                        <a:cNvCxnSpPr/>
                      </a:nvCxnSpPr>
                      <a:spPr>
                        <a:xfrm>
                          <a:off x="5364088" y="3501008"/>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5868144" y="3356992"/>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28" name="TextBox 127"/>
                        <a:cNvSpPr txBox="1"/>
                      </a:nvSpPr>
                      <a:spPr>
                        <a:xfrm>
                          <a:off x="2339752" y="3717032"/>
                          <a:ext cx="638316"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Donor gNB</a:t>
                            </a:r>
                            <a:endParaRPr lang="en-US" sz="800" dirty="0"/>
                          </a:p>
                        </a:txBody>
                        <a:useSpRect/>
                      </a:txSp>
                    </a:sp>
                    <a:cxnSp>
                      <a:nvCxnSpPr>
                        <a:cNvPr id="130" name="直接连接符 129"/>
                        <a:cNvCxnSpPr/>
                      </a:nvCxnSpPr>
                      <a:spPr>
                        <a:xfrm>
                          <a:off x="4788024" y="4437112"/>
                          <a:ext cx="0" cy="576064"/>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131" name="TextBox 130"/>
                        <a:cNvSpPr txBox="1"/>
                      </a:nvSpPr>
                      <a:spPr>
                        <a:xfrm>
                          <a:off x="4139952" y="4869160"/>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32" name="矩形 131"/>
                        <a:cNvSpPr/>
                      </a:nvSpPr>
                      <a:spPr>
                        <a:xfrm>
                          <a:off x="4139952" y="4293096"/>
                          <a:ext cx="288032"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矩形 132"/>
                        <a:cNvSpPr/>
                      </a:nvSpPr>
                      <a:spPr>
                        <a:xfrm>
                          <a:off x="3635896" y="4293096"/>
                          <a:ext cx="504056"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矩形 133"/>
                        <a:cNvSpPr/>
                      </a:nvSpPr>
                      <a:spPr>
                        <a:xfrm>
                          <a:off x="4427984" y="4293096"/>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6" name="直接连接符 135"/>
                        <a:cNvCxnSpPr/>
                      </a:nvCxnSpPr>
                      <a:spPr>
                        <a:xfrm>
                          <a:off x="3635896" y="4293096"/>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37" name="直接箭头连接符 136"/>
                        <a:cNvCxnSpPr/>
                      </a:nvCxnSpPr>
                      <a:spPr>
                        <a:xfrm>
                          <a:off x="3635896" y="479715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139" name="直接连接符 138"/>
                        <a:cNvCxnSpPr/>
                      </a:nvCxnSpPr>
                      <a:spPr>
                        <a:xfrm>
                          <a:off x="5940152" y="4437112"/>
                          <a:ext cx="0" cy="576064"/>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140" name="TextBox 139"/>
                        <a:cNvSpPr txBox="1"/>
                      </a:nvSpPr>
                      <a:spPr>
                        <a:xfrm>
                          <a:off x="5292080" y="4869160"/>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41" name="矩形 140"/>
                        <a:cNvSpPr/>
                      </a:nvSpPr>
                      <a:spPr>
                        <a:xfrm>
                          <a:off x="5292080" y="4293096"/>
                          <a:ext cx="288032"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矩形 141"/>
                        <a:cNvSpPr/>
                      </a:nvSpPr>
                      <a:spPr>
                        <a:xfrm>
                          <a:off x="4788024" y="4293096"/>
                          <a:ext cx="504056"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矩形 142"/>
                        <a:cNvSpPr/>
                      </a:nvSpPr>
                      <a:spPr>
                        <a:xfrm>
                          <a:off x="5580112" y="4293096"/>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4" name="直接连接符 143"/>
                        <a:cNvCxnSpPr/>
                      </a:nvCxnSpPr>
                      <a:spPr>
                        <a:xfrm>
                          <a:off x="4788024" y="4293096"/>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45" name="直接箭头连接符 144"/>
                        <a:cNvCxnSpPr/>
                      </a:nvCxnSpPr>
                      <a:spPr>
                        <a:xfrm>
                          <a:off x="4788024" y="479715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146" name="直接连接符 145"/>
                        <a:cNvCxnSpPr/>
                      </a:nvCxnSpPr>
                      <a:spPr>
                        <a:xfrm>
                          <a:off x="7092280" y="4437112"/>
                          <a:ext cx="0" cy="576064"/>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147" name="TextBox 146"/>
                        <a:cNvSpPr txBox="1"/>
                      </a:nvSpPr>
                      <a:spPr>
                        <a:xfrm>
                          <a:off x="6444208" y="4869160"/>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48" name="矩形 147"/>
                        <a:cNvSpPr/>
                      </a:nvSpPr>
                      <a:spPr>
                        <a:xfrm>
                          <a:off x="6444208" y="4293096"/>
                          <a:ext cx="288032"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矩形 148"/>
                        <a:cNvSpPr/>
                      </a:nvSpPr>
                      <a:spPr>
                        <a:xfrm>
                          <a:off x="5940152" y="4293096"/>
                          <a:ext cx="504056"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矩形 149"/>
                        <a:cNvSpPr/>
                      </a:nvSpPr>
                      <a:spPr>
                        <a:xfrm>
                          <a:off x="6732240" y="4293096"/>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1" name="直接连接符 150"/>
                        <a:cNvCxnSpPr/>
                      </a:nvCxnSpPr>
                      <a:spPr>
                        <a:xfrm>
                          <a:off x="5940152" y="4293096"/>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52" name="直接箭头连接符 151"/>
                        <a:cNvCxnSpPr/>
                      </a:nvCxnSpPr>
                      <a:spPr>
                        <a:xfrm>
                          <a:off x="5940152" y="479715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153" name="直接连接符 152"/>
                        <a:cNvCxnSpPr/>
                      </a:nvCxnSpPr>
                      <a:spPr>
                        <a:xfrm>
                          <a:off x="3635896" y="4437112"/>
                          <a:ext cx="0" cy="576064"/>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154" name="TextBox 153"/>
                        <a:cNvSpPr txBox="1"/>
                      </a:nvSpPr>
                      <a:spPr>
                        <a:xfrm>
                          <a:off x="2987824" y="4869160"/>
                          <a:ext cx="504056" cy="24622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Fixed shift of slot</a:t>
                            </a:r>
                            <a:endParaRPr lang="en-US" sz="800" dirty="0"/>
                          </a:p>
                        </a:txBody>
                        <a:useSpRect/>
                      </a:txSp>
                    </a:sp>
                    <a:sp>
                      <a:nvSpPr>
                        <a:cNvPr id="155" name="矩形 154"/>
                        <a:cNvSpPr/>
                      </a:nvSpPr>
                      <a:spPr>
                        <a:xfrm>
                          <a:off x="2987824" y="4293096"/>
                          <a:ext cx="288032"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矩形 156"/>
                        <a:cNvSpPr/>
                      </a:nvSpPr>
                      <a:spPr>
                        <a:xfrm>
                          <a:off x="3275856" y="4293096"/>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9" name="直接箭头连接符 158"/>
                        <a:cNvCxnSpPr/>
                      </a:nvCxnSpPr>
                      <a:spPr>
                        <a:xfrm>
                          <a:off x="2987824" y="4797152"/>
                          <a:ext cx="648072" cy="0"/>
                        </a:xfrm>
                        <a:prstGeom prst="straightConnector1">
                          <a:avLst/>
                        </a:prstGeom>
                        <a:ln>
                          <a:headEnd type="none"/>
                          <a:tailEnd type="stealth"/>
                        </a:ln>
                      </a:spPr>
                      <a:style>
                        <a:lnRef idx="1">
                          <a:schemeClr val="accent1"/>
                        </a:lnRef>
                        <a:fillRef idx="0">
                          <a:schemeClr val="accent1"/>
                        </a:fillRef>
                        <a:effectRef idx="0">
                          <a:schemeClr val="accent1"/>
                        </a:effectRef>
                        <a:fontRef idx="minor">
                          <a:schemeClr val="tx1"/>
                        </a:fontRef>
                      </a:style>
                    </a:cxnSp>
                    <a:sp>
                      <a:nvSpPr>
                        <a:cNvPr id="161" name="TextBox 160"/>
                        <a:cNvSpPr txBox="1"/>
                      </a:nvSpPr>
                      <a:spPr>
                        <a:xfrm>
                          <a:off x="2267744" y="4293096"/>
                          <a:ext cx="572593"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IAB-node</a:t>
                            </a:r>
                            <a:endParaRPr lang="en-US" sz="800" dirty="0"/>
                          </a:p>
                        </a:txBody>
                        <a:useSpRect/>
                      </a:txSp>
                    </a:sp>
                  </a:grpSp>
                </lc:lockedCanvas>
              </a:graphicData>
            </a:graphic>
          </wp:inline>
        </w:drawing>
      </w:r>
    </w:p>
    <w:p w:rsidR="00EE2173" w:rsidRDefault="00EE2173" w:rsidP="00EE2173">
      <w:pPr>
        <w:pStyle w:val="ad"/>
        <w:jc w:val="center"/>
        <w:rPr>
          <w:noProof/>
        </w:rPr>
      </w:pPr>
      <w:bookmarkStart w:id="2" w:name="_Ref520220610"/>
      <w:r>
        <w:t xml:space="preserve">Figure </w:t>
      </w:r>
      <w:fldSimple w:instr=" SEQ Figure \* ARABIC ">
        <w:r>
          <w:rPr>
            <w:noProof/>
          </w:rPr>
          <w:t>3</w:t>
        </w:r>
      </w:fldSimple>
      <w:bookmarkEnd w:id="2"/>
      <w:r>
        <w:rPr>
          <w:noProof/>
        </w:rPr>
        <w:t>: Semi-static slot format configuration for donor gNB and IAB node</w:t>
      </w:r>
    </w:p>
    <w:p w:rsidR="00EE2173" w:rsidRDefault="00EE2173" w:rsidP="00EE2173">
      <w:pPr>
        <w:pStyle w:val="ad"/>
        <w:jc w:val="center"/>
        <w:rPr>
          <w:noProof/>
        </w:rPr>
      </w:pPr>
    </w:p>
    <w:p w:rsidR="00EE2173" w:rsidRDefault="00EE2173" w:rsidP="00EE2173">
      <w:pPr>
        <w:pStyle w:val="ad"/>
        <w:keepNext/>
        <w:jc w:val="center"/>
      </w:pPr>
      <w:r w:rsidRPr="00EE2173">
        <w:rPr>
          <w:noProof/>
          <w:lang w:val="en-US" w:eastAsia="zh-CN"/>
        </w:rPr>
        <w:lastRenderedPageBreak/>
        <w:drawing>
          <wp:inline distT="0" distB="0" distL="0" distR="0">
            <wp:extent cx="3897858" cy="1460310"/>
            <wp:effectExtent l="19050" t="0" r="7392" b="0"/>
            <wp:docPr id="5"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24536" cy="1830397"/>
                      <a:chOff x="2195736" y="1340768"/>
                      <a:chExt cx="4824536" cy="1830397"/>
                    </a:xfrm>
                  </a:grpSpPr>
                  <a:grpSp>
                    <a:nvGrpSpPr>
                      <a:cNvPr id="163" name="组合 162"/>
                      <a:cNvGrpSpPr/>
                    </a:nvGrpSpPr>
                    <a:grpSpPr>
                      <a:xfrm>
                        <a:off x="2195736" y="1340768"/>
                        <a:ext cx="4824536" cy="1830397"/>
                        <a:chOff x="2195736" y="1340768"/>
                        <a:chExt cx="4824536" cy="1830397"/>
                      </a:xfrm>
                    </a:grpSpPr>
                    <a:sp>
                      <a:nvSpPr>
                        <a:cNvPr id="7" name="TextBox 6"/>
                        <a:cNvSpPr txBox="1"/>
                      </a:nvSpPr>
                      <a:spPr>
                        <a:xfrm>
                          <a:off x="2195736" y="1772816"/>
                          <a:ext cx="638316"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Donor gNB</a:t>
                            </a:r>
                            <a:endParaRPr lang="en-US" sz="800" dirty="0"/>
                          </a:p>
                        </a:txBody>
                        <a:useSpRect/>
                      </a:txSp>
                    </a:sp>
                    <a:sp>
                      <a:nvSpPr>
                        <a:cNvPr id="9" name="TextBox 8"/>
                        <a:cNvSpPr txBox="1"/>
                      </a:nvSpPr>
                      <a:spPr>
                        <a:xfrm>
                          <a:off x="2267744" y="2348880"/>
                          <a:ext cx="572593"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IAB-node</a:t>
                            </a:r>
                            <a:endParaRPr lang="en-US" sz="800" dirty="0"/>
                          </a:p>
                        </a:txBody>
                        <a:useSpRect/>
                      </a:txSp>
                    </a:sp>
                    <a:cxnSp>
                      <a:nvCxnSpPr>
                        <a:cNvPr id="10" name="直接连接符 9"/>
                        <a:cNvCxnSpPr/>
                      </a:nvCxnSpPr>
                      <a:spPr>
                        <a:xfrm>
                          <a:off x="3059832" y="1340768"/>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1" name="直接连接符 10"/>
                        <a:cNvCxnSpPr/>
                      </a:nvCxnSpPr>
                      <a:spPr>
                        <a:xfrm>
                          <a:off x="4211960" y="1340768"/>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2" name="直接连接符 11"/>
                        <a:cNvCxnSpPr/>
                      </a:nvCxnSpPr>
                      <a:spPr>
                        <a:xfrm>
                          <a:off x="4716016" y="2492896"/>
                          <a:ext cx="0" cy="576064"/>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5868144" y="2348880"/>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32" name="TextBox 31"/>
                        <a:cNvSpPr txBox="1"/>
                      </a:nvSpPr>
                      <a:spPr>
                        <a:xfrm>
                          <a:off x="4067944" y="2924944"/>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20" name="矩形 19"/>
                        <a:cNvSpPr/>
                      </a:nvSpPr>
                      <a:spPr>
                        <a:xfrm>
                          <a:off x="5940152" y="1700808"/>
                          <a:ext cx="216024"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5364088" y="1700808"/>
                          <a:ext cx="576064"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6156176" y="1700808"/>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flipH="1">
                          <a:off x="5364088" y="1700808"/>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3419872" y="1700808"/>
                          <a:ext cx="432048"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3059832" y="1700808"/>
                          <a:ext cx="360040"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3851920" y="1700808"/>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flipH="1">
                          <a:off x="3059832" y="1700808"/>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4860032" y="1700808"/>
                          <a:ext cx="144016"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4211960" y="1700808"/>
                          <a:ext cx="648072"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5004048" y="1700808"/>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flipH="1">
                          <a:off x="4211960" y="1700808"/>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4067944" y="2348880"/>
                          <a:ext cx="288032"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3563888" y="2348880"/>
                          <a:ext cx="504056"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矩形 52"/>
                        <a:cNvSpPr/>
                      </a:nvSpPr>
                      <a:spPr>
                        <a:xfrm>
                          <a:off x="4355976" y="2348880"/>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flipH="1">
                          <a:off x="3563888" y="2348880"/>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5436096" y="2348880"/>
                          <a:ext cx="72008"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4860032" y="2348880"/>
                          <a:ext cx="576064"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5508104" y="2348880"/>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矩形 57"/>
                        <a:cNvSpPr/>
                      </a:nvSpPr>
                      <a:spPr>
                        <a:xfrm flipH="1">
                          <a:off x="4860032" y="2348880"/>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矩形 58"/>
                        <a:cNvSpPr/>
                      </a:nvSpPr>
                      <a:spPr>
                        <a:xfrm>
                          <a:off x="6660232" y="2348880"/>
                          <a:ext cx="144016"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5940152" y="2348880"/>
                          <a:ext cx="720080"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矩形 60"/>
                        <a:cNvSpPr/>
                      </a:nvSpPr>
                      <a:spPr>
                        <a:xfrm>
                          <a:off x="6804248" y="2348880"/>
                          <a:ext cx="216024"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flipH="1">
                          <a:off x="5940152" y="2348880"/>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7" name="直接连接符 66"/>
                        <a:cNvCxnSpPr/>
                      </a:nvCxnSpPr>
                      <a:spPr>
                        <a:xfrm>
                          <a:off x="3563888" y="2348880"/>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73" name="直接连接符 72"/>
                        <a:cNvCxnSpPr/>
                      </a:nvCxnSpPr>
                      <a:spPr>
                        <a:xfrm>
                          <a:off x="5364088" y="1340768"/>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74" name="直接连接符 73"/>
                        <a:cNvCxnSpPr/>
                      </a:nvCxnSpPr>
                      <a:spPr>
                        <a:xfrm>
                          <a:off x="6516216" y="1340768"/>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80" name="直接箭头连接符 79"/>
                        <a:cNvCxnSpPr/>
                      </a:nvCxnSpPr>
                      <a:spPr>
                        <a:xfrm>
                          <a:off x="3563888" y="2852936"/>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81" name="直接箭头连接符 80"/>
                        <a:cNvCxnSpPr/>
                      </a:nvCxnSpPr>
                      <a:spPr>
                        <a:xfrm>
                          <a:off x="3059832" y="155679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82" name="TextBox 81"/>
                        <a:cNvSpPr txBox="1"/>
                      </a:nvSpPr>
                      <a:spPr>
                        <a:xfrm>
                          <a:off x="3635896" y="1412776"/>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cxnSp>
                      <a:nvCxnSpPr>
                        <a:cNvPr id="83" name="直接箭头连接符 82"/>
                        <a:cNvCxnSpPr/>
                      </a:nvCxnSpPr>
                      <a:spPr>
                        <a:xfrm>
                          <a:off x="4716016" y="2852936"/>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86" name="矩形 85"/>
                        <a:cNvSpPr/>
                      </a:nvSpPr>
                      <a:spPr>
                        <a:xfrm>
                          <a:off x="4716016" y="2348880"/>
                          <a:ext cx="144016"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矩形 86"/>
                        <a:cNvSpPr/>
                      </a:nvSpPr>
                      <a:spPr>
                        <a:xfrm>
                          <a:off x="5868144" y="2348880"/>
                          <a:ext cx="72008"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8" name="直接箭头连接符 87"/>
                        <a:cNvCxnSpPr/>
                      </a:nvCxnSpPr>
                      <a:spPr>
                        <a:xfrm>
                          <a:off x="5868144" y="2852936"/>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91" name="直接箭头连接符 90"/>
                        <a:cNvCxnSpPr/>
                      </a:nvCxnSpPr>
                      <a:spPr>
                        <a:xfrm>
                          <a:off x="4211960" y="155679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92" name="直接箭头连接符 91"/>
                        <a:cNvCxnSpPr/>
                      </a:nvCxnSpPr>
                      <a:spPr>
                        <a:xfrm>
                          <a:off x="5364088" y="155679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93" name="直接连接符 92"/>
                        <a:cNvCxnSpPr/>
                      </a:nvCxnSpPr>
                      <a:spPr>
                        <a:xfrm>
                          <a:off x="7020272" y="2348880"/>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94" name="矩形 93"/>
                        <a:cNvSpPr/>
                      </a:nvSpPr>
                      <a:spPr>
                        <a:xfrm>
                          <a:off x="3059832" y="2348880"/>
                          <a:ext cx="504056"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5" name="直接箭头连接符 94"/>
                        <a:cNvCxnSpPr/>
                      </a:nvCxnSpPr>
                      <a:spPr>
                        <a:xfrm>
                          <a:off x="3059832" y="2852936"/>
                          <a:ext cx="504056" cy="0"/>
                        </a:xfrm>
                        <a:prstGeom prst="straightConnector1">
                          <a:avLst/>
                        </a:prstGeom>
                        <a:ln>
                          <a:headEnd type="none"/>
                          <a:tailEnd type="stealth"/>
                        </a:ln>
                      </a:spPr>
                      <a:style>
                        <a:lnRef idx="1">
                          <a:schemeClr val="accent1"/>
                        </a:lnRef>
                        <a:fillRef idx="0">
                          <a:schemeClr val="accent1"/>
                        </a:fillRef>
                        <a:effectRef idx="0">
                          <a:schemeClr val="accent1"/>
                        </a:effectRef>
                        <a:fontRef idx="minor">
                          <a:schemeClr val="tx1"/>
                        </a:fontRef>
                      </a:style>
                    </a:cxnSp>
                    <a:sp>
                      <a:nvSpPr>
                        <a:cNvPr id="98" name="TextBox 97"/>
                        <a:cNvSpPr txBox="1"/>
                      </a:nvSpPr>
                      <a:spPr>
                        <a:xfrm>
                          <a:off x="5220072" y="2924944"/>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99" name="TextBox 98"/>
                        <a:cNvSpPr txBox="1"/>
                      </a:nvSpPr>
                      <a:spPr>
                        <a:xfrm>
                          <a:off x="6372200" y="2924944"/>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00" name="TextBox 99"/>
                        <a:cNvSpPr txBox="1"/>
                      </a:nvSpPr>
                      <a:spPr>
                        <a:xfrm>
                          <a:off x="4716016" y="1412776"/>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01" name="TextBox 100"/>
                        <a:cNvSpPr txBox="1"/>
                      </a:nvSpPr>
                      <a:spPr>
                        <a:xfrm>
                          <a:off x="5868144" y="1412776"/>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02" name="TextBox 101"/>
                        <a:cNvSpPr txBox="1"/>
                      </a:nvSpPr>
                      <a:spPr>
                        <a:xfrm>
                          <a:off x="3059832" y="2924944"/>
                          <a:ext cx="432048" cy="24622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800" dirty="0" smtClean="0"/>
                              <a:t> </a:t>
                            </a:r>
                            <a:r>
                              <a:rPr lang="en-US" sz="800" dirty="0" smtClean="0"/>
                              <a:t>shift of slot </a:t>
                            </a:r>
                            <a:endParaRPr lang="en-US" sz="800" dirty="0"/>
                          </a:p>
                        </a:txBody>
                        <a:useSpRect/>
                      </a:txSp>
                    </a:sp>
                    <a:sp>
                      <a:nvSpPr>
                        <a:cNvPr id="129" name="TextBox 128"/>
                        <a:cNvSpPr txBox="1"/>
                      </a:nvSpPr>
                      <a:spPr>
                        <a:xfrm>
                          <a:off x="2348136" y="1925216"/>
                          <a:ext cx="638316"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Donor gNB</a:t>
                            </a:r>
                            <a:endParaRPr lang="en-US" sz="800" dirty="0"/>
                          </a:p>
                        </a:txBody>
                        <a:useSpRect/>
                      </a:txSp>
                    </a:sp>
                  </a:grpSp>
                </lc:lockedCanvas>
              </a:graphicData>
            </a:graphic>
          </wp:inline>
        </w:drawing>
      </w:r>
    </w:p>
    <w:p w:rsidR="00EE2173" w:rsidRPr="00EE2173" w:rsidRDefault="00EE2173" w:rsidP="00EE2173">
      <w:pPr>
        <w:pStyle w:val="ad"/>
        <w:jc w:val="center"/>
        <w:rPr>
          <w:bCs/>
        </w:rPr>
      </w:pPr>
      <w:bookmarkStart w:id="3" w:name="_Ref520232727"/>
      <w:r>
        <w:t xml:space="preserve">Figure </w:t>
      </w:r>
      <w:fldSimple w:instr=" SEQ Figure \* ARABIC ">
        <w:r>
          <w:rPr>
            <w:noProof/>
          </w:rPr>
          <w:t>4</w:t>
        </w:r>
      </w:fldSimple>
      <w:bookmarkEnd w:id="3"/>
      <w:r>
        <w:rPr>
          <w:noProof/>
        </w:rPr>
        <w:t>: Dynamic slot format configuration through SFI on Group common PDCCH</w:t>
      </w:r>
    </w:p>
    <w:p w:rsidR="005D3CE0" w:rsidRDefault="005D3CE0" w:rsidP="005D3CE0">
      <w:pPr>
        <w:overflowPunct/>
        <w:autoSpaceDE/>
        <w:autoSpaceDN/>
        <w:adjustRightInd/>
        <w:spacing w:before="60" w:after="120"/>
        <w:jc w:val="both"/>
        <w:textAlignment w:val="auto"/>
      </w:pPr>
    </w:p>
    <w:p w:rsidR="005D3CE0" w:rsidRDefault="005D3CE0" w:rsidP="005D3CE0">
      <w:pPr>
        <w:overflowPunct/>
        <w:autoSpaceDE/>
        <w:autoSpaceDN/>
        <w:adjustRightInd/>
        <w:spacing w:before="60" w:after="120"/>
        <w:jc w:val="both"/>
        <w:textAlignment w:val="auto"/>
      </w:pPr>
      <w:r>
        <w:t xml:space="preserve">We can see from </w:t>
      </w:r>
      <w:r w:rsidR="003A16D8">
        <w:fldChar w:fldCharType="begin"/>
      </w:r>
      <w:r>
        <w:instrText xml:space="preserve"> REF _Ref520220610 \h </w:instrText>
      </w:r>
      <w:r w:rsidR="003A16D8">
        <w:fldChar w:fldCharType="separate"/>
      </w:r>
      <w:r>
        <w:t xml:space="preserve">Figure </w:t>
      </w:r>
      <w:r>
        <w:rPr>
          <w:noProof/>
        </w:rPr>
        <w:t>3</w:t>
      </w:r>
      <w:r w:rsidR="003A16D8">
        <w:fldChar w:fldCharType="end"/>
      </w:r>
      <w:r>
        <w:t xml:space="preserve"> and </w:t>
      </w:r>
      <w:r w:rsidR="003A16D8">
        <w:fldChar w:fldCharType="begin"/>
      </w:r>
      <w:r>
        <w:instrText xml:space="preserve"> REF _Ref520232727 \h </w:instrText>
      </w:r>
      <w:r w:rsidR="003A16D8">
        <w:fldChar w:fldCharType="separate"/>
      </w:r>
      <w:r>
        <w:t xml:space="preserve">Figure </w:t>
      </w:r>
      <w:r>
        <w:rPr>
          <w:noProof/>
        </w:rPr>
        <w:t>4</w:t>
      </w:r>
      <w:r w:rsidR="003A16D8">
        <w:fldChar w:fldCharType="end"/>
      </w:r>
      <w:r>
        <w:t xml:space="preserve"> that the slot boundary of the IAB node should be shifted a few symbols with respect to the slot boundary of the donor gNB in order to avoid self interference between access link and backhaul link when one link is transmitting and the other link is receiving.   For the UL transmission on the backhaul link, the </w:t>
      </w:r>
      <w:r w:rsidR="00A66888">
        <w:t xml:space="preserve">transmission time would be determined by TA command from the donor gNB, which the TA is derived from the propagation delay.   For IAB backhaul link, the propagation delay should be steady since the IAB node is stationary.   Thus, the minimum time interval for the UL transmission time in advanced in the backhaul link could be provisioned and included in the computation of the number of symbols for the GP within the slot.   Thus, the </w:t>
      </w:r>
      <w:r w:rsidR="00E11B56">
        <w:t xml:space="preserve">slot boundary of the </w:t>
      </w:r>
      <w:r w:rsidR="00A66888">
        <w:t xml:space="preserve">IAB node and the donor gNB should be aligned with integer multi-symbol shift.   Since each IAB node is to align the slot with symbol shift from its donor gNB semi-statically, it would be beneficial if the </w:t>
      </w:r>
      <w:r w:rsidR="00E11B56">
        <w:t xml:space="preserve">number of the OFDM symbols shift is configured to be the same.  This would minimize the co-channel interference for UEs covered by neighboring IAB nodes.   </w:t>
      </w:r>
    </w:p>
    <w:p w:rsidR="005D3CE0" w:rsidRDefault="005D3CE0" w:rsidP="00A66888">
      <w:pPr>
        <w:overflowPunct/>
        <w:autoSpaceDE/>
        <w:autoSpaceDN/>
        <w:adjustRightInd/>
        <w:spacing w:before="60" w:after="120"/>
        <w:jc w:val="both"/>
        <w:textAlignment w:val="auto"/>
      </w:pPr>
    </w:p>
    <w:p w:rsidR="00A66888" w:rsidRPr="00E11B56" w:rsidRDefault="00D571FB" w:rsidP="00A66888">
      <w:pPr>
        <w:overflowPunct/>
        <w:autoSpaceDE/>
        <w:autoSpaceDN/>
        <w:adjustRightInd/>
        <w:spacing w:before="60" w:after="120"/>
        <w:jc w:val="both"/>
        <w:textAlignment w:val="auto"/>
        <w:rPr>
          <w:b/>
        </w:rPr>
      </w:pPr>
      <w:r>
        <w:rPr>
          <w:b/>
        </w:rPr>
        <w:t>Proposal 6</w:t>
      </w:r>
      <w:r w:rsidR="00E11B56">
        <w:rPr>
          <w:b/>
        </w:rPr>
        <w:t>:  T</w:t>
      </w:r>
      <w:r w:rsidR="00E11B56" w:rsidRPr="00E11B56">
        <w:rPr>
          <w:b/>
        </w:rPr>
        <w:t>he</w:t>
      </w:r>
      <w:r w:rsidR="00E11B56">
        <w:rPr>
          <w:b/>
        </w:rPr>
        <w:t xml:space="preserve"> slot boundary of the</w:t>
      </w:r>
      <w:r w:rsidR="00E11B56" w:rsidRPr="00E11B56">
        <w:rPr>
          <w:b/>
        </w:rPr>
        <w:t xml:space="preserve"> IAB node and the donor gNB should be aligned with integer multi-symbol shift</w:t>
      </w:r>
      <w:r w:rsidR="00E11B56">
        <w:rPr>
          <w:b/>
        </w:rPr>
        <w:t>s</w:t>
      </w:r>
      <w:r w:rsidR="00E11B56" w:rsidRPr="00E11B56">
        <w:rPr>
          <w:b/>
        </w:rPr>
        <w:t xml:space="preserve">.   </w:t>
      </w:r>
      <w:r w:rsidR="00E11B56">
        <w:rPr>
          <w:b/>
        </w:rPr>
        <w:t xml:space="preserve">The number of the OFDM symbol shifted at the slot boundary of the IAB node should be configured to be the same for all IAB nodes in the cluster.   </w:t>
      </w:r>
    </w:p>
    <w:p w:rsidR="00B203DA" w:rsidRPr="00B203DA" w:rsidRDefault="00C40AFE" w:rsidP="00601F7D">
      <w:pPr>
        <w:rPr>
          <w:bCs/>
        </w:rPr>
      </w:pPr>
      <w:r>
        <w:rPr>
          <w:bCs/>
        </w:rPr>
        <w:t xml:space="preserve">   </w:t>
      </w:r>
    </w:p>
    <w:p w:rsidR="00536565" w:rsidRPr="00E11B56" w:rsidRDefault="00483CDC" w:rsidP="00AC36ED">
      <w:pPr>
        <w:pStyle w:val="2"/>
        <w:spacing w:after="240"/>
      </w:pPr>
      <w:bookmarkStart w:id="4" w:name="_GoBack"/>
      <w:bookmarkEnd w:id="4"/>
      <w:r>
        <w:t>Node Sy</w:t>
      </w:r>
      <w:r w:rsidR="00DE0CBB">
        <w:t>nchronization</w:t>
      </w:r>
    </w:p>
    <w:p w:rsidR="00754A8F" w:rsidRDefault="00754A8F" w:rsidP="00754A8F">
      <w:pPr>
        <w:overflowPunct/>
        <w:autoSpaceDE/>
        <w:autoSpaceDN/>
        <w:adjustRightInd/>
        <w:spacing w:before="60" w:after="120"/>
        <w:jc w:val="both"/>
        <w:textAlignment w:val="auto"/>
        <w:rPr>
          <w:rFonts w:eastAsia="Arial"/>
        </w:rPr>
      </w:pPr>
    </w:p>
    <w:p w:rsidR="00754A8F" w:rsidRPr="00B712B0" w:rsidRDefault="00754A8F" w:rsidP="00B712B0">
      <w:pPr>
        <w:rPr>
          <w:rFonts w:eastAsia="Arial"/>
          <w:sz w:val="22"/>
        </w:rPr>
      </w:pPr>
      <w:r>
        <w:rPr>
          <w:rFonts w:eastAsia="Arial"/>
          <w:sz w:val="22"/>
        </w:rPr>
        <w:t>The over-the-air synchronization (OTA) techniques fo</w:t>
      </w:r>
      <w:r w:rsidR="00DA4FB8">
        <w:rPr>
          <w:rFonts w:eastAsia="Arial"/>
          <w:sz w:val="22"/>
        </w:rPr>
        <w:t>r node</w:t>
      </w:r>
      <w:r>
        <w:rPr>
          <w:rFonts w:eastAsia="Arial"/>
          <w:sz w:val="22"/>
        </w:rPr>
        <w:t xml:space="preserve"> synchronization have been discussed in UMTS Rel-99 and in LTE Rel-12/14.  The OTA synchronization is to have a slave node synchronized with the master node.  For IAB system, the IAB-node plays the role as an UE to synchronize with the Donor gNB.  The node synchronization accuracy in the IAB system depends on the quality of backhaul link and the frequency stability of local oscillator at both the Donor gNB and the IAB-node.  </w:t>
      </w:r>
      <w:r w:rsidR="00A0391D">
        <w:rPr>
          <w:rFonts w:eastAsia="Arial"/>
          <w:sz w:val="22"/>
        </w:rPr>
        <w:t xml:space="preserve">The interference and noise of the backhaul link would incur the synchronization error.  The drifting of the local oscillators at the Donor gNB and the </w:t>
      </w:r>
      <w:r w:rsidR="00DA4FB8">
        <w:rPr>
          <w:rFonts w:eastAsia="Arial"/>
          <w:sz w:val="22"/>
        </w:rPr>
        <w:t xml:space="preserve">IAB-node would double the synchronization error when the IAB-node would use the DL signals from the Donor gNB as the reference time.   The synchronization error would propagate when the network access timing at the IAB-node is derived from the backhaul timing, which is synchronized with the Donor gNB.  The OTA techniques would not achieve the accurate node synchronization for the IAB system.  </w:t>
      </w:r>
      <w:r w:rsidRPr="00163FCD">
        <w:rPr>
          <w:rFonts w:eastAsia="Arial"/>
          <w:sz w:val="22"/>
        </w:rPr>
        <w:t xml:space="preserve">To achieve </w:t>
      </w:r>
      <w:r w:rsidR="00DA4FB8">
        <w:rPr>
          <w:rFonts w:eastAsia="Arial"/>
          <w:sz w:val="22"/>
        </w:rPr>
        <w:t xml:space="preserve">desired accuracy of nodes </w:t>
      </w:r>
      <w:r w:rsidRPr="00163FCD">
        <w:rPr>
          <w:rFonts w:eastAsia="Arial"/>
          <w:sz w:val="22"/>
        </w:rPr>
        <w:t>synchronization across</w:t>
      </w:r>
      <w:r w:rsidR="00DA4FB8">
        <w:rPr>
          <w:rFonts w:eastAsia="Arial"/>
          <w:sz w:val="22"/>
        </w:rPr>
        <w:t xml:space="preserve"> IAB nodes in the</w:t>
      </w:r>
      <w:r w:rsidRPr="00163FCD">
        <w:rPr>
          <w:rFonts w:eastAsia="Arial"/>
          <w:sz w:val="22"/>
        </w:rPr>
        <w:t xml:space="preserve"> clu</w:t>
      </w:r>
      <w:r w:rsidR="00DA4FB8">
        <w:rPr>
          <w:rFonts w:eastAsia="Arial"/>
          <w:sz w:val="22"/>
        </w:rPr>
        <w:t>sters, the IAB-donors should be synchronized with absolute reference resources, such as GPS/GNSS</w:t>
      </w:r>
      <w:r w:rsidRPr="00163FCD">
        <w:rPr>
          <w:rFonts w:eastAsia="Arial"/>
          <w:sz w:val="22"/>
        </w:rPr>
        <w:t xml:space="preserve">. </w:t>
      </w:r>
    </w:p>
    <w:p w:rsidR="00996E3B" w:rsidRDefault="00996E3B" w:rsidP="00996E3B">
      <w:pPr>
        <w:rPr>
          <w:rFonts w:eastAsia="Arial"/>
          <w:b/>
          <w:sz w:val="22"/>
        </w:rPr>
      </w:pPr>
      <w:r w:rsidRPr="00BB0E2E">
        <w:rPr>
          <w:rFonts w:eastAsia="Arial"/>
          <w:b/>
          <w:sz w:val="22"/>
        </w:rPr>
        <w:t xml:space="preserve">Proposal </w:t>
      </w:r>
      <w:r w:rsidR="00E11B56">
        <w:rPr>
          <w:rFonts w:eastAsia="Arial"/>
          <w:b/>
          <w:sz w:val="22"/>
        </w:rPr>
        <w:t>7</w:t>
      </w:r>
      <w:r w:rsidRPr="00BB0E2E">
        <w:rPr>
          <w:rFonts w:eastAsia="Arial"/>
          <w:b/>
          <w:sz w:val="22"/>
        </w:rPr>
        <w:t xml:space="preserve">: </w:t>
      </w:r>
      <w:r w:rsidR="00DA4FB8" w:rsidRPr="00DA4FB8">
        <w:rPr>
          <w:rFonts w:eastAsia="Arial"/>
          <w:b/>
          <w:sz w:val="22"/>
        </w:rPr>
        <w:t xml:space="preserve">The OTA techniques would not achieve the accurate node synchronization for the IAB system.  To achieve desired accuracy of nodes synchronization across IAB nodes in the clusters, the IAB-donors should be synchronized with absolute reference resources, such as GPS/GNSS. </w:t>
      </w:r>
    </w:p>
    <w:p w:rsidR="001A1571" w:rsidRDefault="001A1571" w:rsidP="00AC36ED">
      <w:pPr>
        <w:rPr>
          <w:rFonts w:eastAsia="Arial"/>
          <w:sz w:val="22"/>
        </w:rPr>
      </w:pPr>
    </w:p>
    <w:p w:rsidR="000035F2" w:rsidRPr="000035F2" w:rsidRDefault="000035F2" w:rsidP="000035F2">
      <w:pPr>
        <w:rPr>
          <w:rFonts w:eastAsia="SimSun"/>
          <w:lang w:eastAsia="zh-CN"/>
        </w:rPr>
      </w:pPr>
    </w:p>
    <w:p w:rsidR="00877A98" w:rsidRDefault="00877A98" w:rsidP="00FA4CFC">
      <w:pPr>
        <w:pStyle w:val="1"/>
        <w:rPr>
          <w:lang w:eastAsia="zh-CN"/>
        </w:rPr>
      </w:pPr>
      <w:r w:rsidRPr="00FA4CFC">
        <w:rPr>
          <w:lang w:eastAsia="zh-CN"/>
        </w:rPr>
        <w:lastRenderedPageBreak/>
        <w:t>Conclusion</w:t>
      </w:r>
    </w:p>
    <w:p w:rsidR="00B31DA8" w:rsidRPr="00B31DA8" w:rsidRDefault="00B31DA8" w:rsidP="00B31DA8">
      <w:pPr>
        <w:pStyle w:val="ad"/>
        <w:rPr>
          <w:rFonts w:eastAsia="Arial"/>
          <w:sz w:val="22"/>
        </w:rPr>
      </w:pPr>
      <w:r>
        <w:rPr>
          <w:rFonts w:eastAsia="Arial"/>
          <w:b w:val="0"/>
          <w:sz w:val="22"/>
        </w:rPr>
        <w:t>In this co</w:t>
      </w:r>
      <w:r w:rsidR="00BB531F">
        <w:rPr>
          <w:rFonts w:eastAsia="Arial"/>
          <w:b w:val="0"/>
          <w:sz w:val="22"/>
        </w:rPr>
        <w:t xml:space="preserve">ntribution, we provide some analysis on the system design aspect in support </w:t>
      </w:r>
      <w:r>
        <w:rPr>
          <w:rFonts w:eastAsia="Arial"/>
          <w:b w:val="0"/>
          <w:sz w:val="22"/>
        </w:rPr>
        <w:t>IAB</w:t>
      </w:r>
      <w:r w:rsidR="00BB531F">
        <w:rPr>
          <w:rFonts w:eastAsia="Arial"/>
          <w:b w:val="0"/>
          <w:sz w:val="22"/>
        </w:rPr>
        <w:t xml:space="preserve"> in NR with the following</w:t>
      </w:r>
      <w:r w:rsidRPr="00B31DA8">
        <w:rPr>
          <w:rFonts w:eastAsia="Arial"/>
          <w:b w:val="0"/>
          <w:sz w:val="22"/>
        </w:rPr>
        <w:t xml:space="preserve"> proposals:</w:t>
      </w:r>
    </w:p>
    <w:p w:rsidR="00E11B56" w:rsidRPr="00D571FB" w:rsidRDefault="00F47C95" w:rsidP="00D571FB">
      <w:pPr>
        <w:pStyle w:val="afc"/>
        <w:numPr>
          <w:ilvl w:val="0"/>
          <w:numId w:val="33"/>
        </w:numPr>
        <w:overflowPunct/>
        <w:autoSpaceDE/>
        <w:autoSpaceDN/>
        <w:adjustRightInd/>
        <w:spacing w:after="0"/>
        <w:ind w:firstLineChars="0"/>
        <w:textAlignment w:val="auto"/>
        <w:rPr>
          <w:lang w:eastAsia="zh-CN"/>
        </w:rPr>
      </w:pPr>
      <w:r w:rsidRPr="00F47C95">
        <w:rPr>
          <w:lang w:eastAsia="zh-CN"/>
        </w:rPr>
        <w:t>Proposal 1:  The IAB node would perform LTE initial access for NSA operation.  The LTE RRC signalling needs to be enhanced to support the required control signalling of IAB node’s integration procedures, such as routing update and IAB DU setup with F1-AP setup procedure</w:t>
      </w:r>
    </w:p>
    <w:p w:rsidR="00E11B56" w:rsidRPr="00E11B56" w:rsidRDefault="00F47C95" w:rsidP="00E11B56">
      <w:pPr>
        <w:pStyle w:val="afc"/>
        <w:numPr>
          <w:ilvl w:val="0"/>
          <w:numId w:val="33"/>
        </w:numPr>
        <w:ind w:firstLineChars="0"/>
        <w:rPr>
          <w:bCs/>
        </w:rPr>
      </w:pPr>
      <w:r>
        <w:rPr>
          <w:bCs/>
        </w:rPr>
        <w:t>Proposal 2</w:t>
      </w:r>
      <w:r w:rsidR="00E11B56" w:rsidRPr="00E11B56">
        <w:rPr>
          <w:bCs/>
        </w:rPr>
        <w:t xml:space="preserve">:  Multiple NZP and ZP CSI-RS resources could be configured as the reference for backhaul link measurements of any candidate backhaul link and interference mitigation of non-measure backhaul links respectively to allow IAB node to measure multiple candidate backhaul links in the same time.  </w:t>
      </w:r>
    </w:p>
    <w:p w:rsidR="00E11B56" w:rsidRPr="00E11B56" w:rsidRDefault="00D571FB" w:rsidP="00E11B56">
      <w:pPr>
        <w:pStyle w:val="afc"/>
        <w:numPr>
          <w:ilvl w:val="0"/>
          <w:numId w:val="33"/>
        </w:numPr>
        <w:overflowPunct/>
        <w:autoSpaceDE/>
        <w:autoSpaceDN/>
        <w:adjustRightInd/>
        <w:spacing w:before="60" w:after="120"/>
        <w:ind w:firstLineChars="0"/>
        <w:jc w:val="both"/>
        <w:textAlignment w:val="auto"/>
        <w:rPr>
          <w:rFonts w:eastAsia="Malgun Gothic"/>
          <w:lang w:eastAsia="ko-KR"/>
        </w:rPr>
      </w:pPr>
      <w:r>
        <w:rPr>
          <w:rFonts w:eastAsia="Malgun Gothic"/>
          <w:lang w:eastAsia="ko-KR"/>
        </w:rPr>
        <w:t>Proposal 3</w:t>
      </w:r>
      <w:r w:rsidR="00E11B56" w:rsidRPr="00E11B56">
        <w:rPr>
          <w:rFonts w:eastAsia="Malgun Gothic"/>
          <w:lang w:eastAsia="ko-KR"/>
        </w:rPr>
        <w:t xml:space="preserve">:   The CSI-RS resource configured for beam management or CSI measurements from the donor gNB should be reused for RRM measurements of IAB backhaul links as well as RLM measurements.  </w:t>
      </w:r>
    </w:p>
    <w:p w:rsidR="00D571FB" w:rsidRPr="00D571FB" w:rsidRDefault="00D571FB" w:rsidP="00D571FB">
      <w:pPr>
        <w:pStyle w:val="maintext"/>
        <w:numPr>
          <w:ilvl w:val="0"/>
          <w:numId w:val="33"/>
        </w:numPr>
        <w:spacing w:line="240" w:lineRule="auto"/>
        <w:ind w:firstLineChars="0"/>
        <w:rPr>
          <w:bCs/>
        </w:rPr>
      </w:pPr>
      <w:r w:rsidRPr="00D571FB">
        <w:rPr>
          <w:bCs/>
        </w:rPr>
        <w:t xml:space="preserve">Proposal 4:  The CSI-RS used as the RS for the IAB node backhaul link measurements would work alone with different cases of the DL/UL transmission timing between the IAB node and the Donor gNB which required offset synchronization.     </w:t>
      </w:r>
    </w:p>
    <w:p w:rsidR="00E11B56" w:rsidRPr="00E11B56" w:rsidRDefault="006E04E5" w:rsidP="00E11B56">
      <w:pPr>
        <w:pStyle w:val="afc"/>
        <w:numPr>
          <w:ilvl w:val="0"/>
          <w:numId w:val="33"/>
        </w:numPr>
        <w:ind w:firstLineChars="0"/>
        <w:rPr>
          <w:bCs/>
        </w:rPr>
      </w:pPr>
      <w:r>
        <w:rPr>
          <w:bCs/>
        </w:rPr>
        <w:t>Proposal 5</w:t>
      </w:r>
      <w:r w:rsidR="00E11B56" w:rsidRPr="00E11B56">
        <w:rPr>
          <w:bCs/>
        </w:rPr>
        <w:t xml:space="preserve">:  The interference mitigation for IAB could be achieved by implementation with the DL/UL slot configuration at the IAB node is semi-static or dynamic assigned based on the DL/UL slot configuration of the donor gNB without any standard specification </w:t>
      </w:r>
    </w:p>
    <w:p w:rsidR="00E11B56" w:rsidRPr="00E11B56" w:rsidRDefault="006E04E5" w:rsidP="00E11B56">
      <w:pPr>
        <w:pStyle w:val="afc"/>
        <w:numPr>
          <w:ilvl w:val="0"/>
          <w:numId w:val="33"/>
        </w:numPr>
        <w:overflowPunct/>
        <w:autoSpaceDE/>
        <w:autoSpaceDN/>
        <w:adjustRightInd/>
        <w:spacing w:before="60" w:after="120"/>
        <w:ind w:firstLineChars="0"/>
        <w:jc w:val="both"/>
        <w:textAlignment w:val="auto"/>
      </w:pPr>
      <w:r>
        <w:t>Proposal 6</w:t>
      </w:r>
      <w:r w:rsidR="00E11B56" w:rsidRPr="00E11B56">
        <w:t xml:space="preserve">:  The slot boundary of the IAB node and the donor gNB should be aligned with integer multi-symbol shifts.   The number of the OFDM symbol shifted at the slot boundary of the IAB node should be configured to be the same for all IAB nodes in the cluster.   </w:t>
      </w:r>
    </w:p>
    <w:p w:rsidR="00BB531F" w:rsidRPr="00BB531F" w:rsidRDefault="00E11B56" w:rsidP="00BB531F">
      <w:pPr>
        <w:pStyle w:val="afc"/>
        <w:numPr>
          <w:ilvl w:val="0"/>
          <w:numId w:val="33"/>
        </w:numPr>
        <w:ind w:firstLineChars="0"/>
        <w:rPr>
          <w:rFonts w:eastAsia="Arial"/>
          <w:sz w:val="22"/>
        </w:rPr>
      </w:pPr>
      <w:r>
        <w:rPr>
          <w:rFonts w:eastAsia="Arial"/>
          <w:sz w:val="22"/>
        </w:rPr>
        <w:t>Proposal 7</w:t>
      </w:r>
      <w:r w:rsidR="00BB531F" w:rsidRPr="00BB531F">
        <w:rPr>
          <w:rFonts w:eastAsia="Arial"/>
          <w:sz w:val="22"/>
        </w:rPr>
        <w:t xml:space="preserve">: The OTA techniques would not achieve the accurate node synchronization for the IAB system.  To achieve desired accuracy of nodes synchronization across IAB nodes in the clusters, the IAB-donors should be synchronized with absolute reference resources, such as GPS/GNSS. </w:t>
      </w:r>
    </w:p>
    <w:p w:rsidR="00B31DA8" w:rsidRDefault="00B31DA8" w:rsidP="00DA3BDF">
      <w:pPr>
        <w:rPr>
          <w:rFonts w:eastAsia="Arial"/>
          <w:b/>
          <w:sz w:val="22"/>
        </w:rPr>
      </w:pPr>
    </w:p>
    <w:p w:rsidR="00996E3B" w:rsidRPr="00996E3B" w:rsidRDefault="00996E3B" w:rsidP="00996E3B">
      <w:pPr>
        <w:rPr>
          <w:rFonts w:eastAsia="Arial"/>
          <w:b/>
          <w:sz w:val="22"/>
        </w:rPr>
      </w:pPr>
    </w:p>
    <w:p w:rsidR="00A314B3" w:rsidRPr="006E13D1" w:rsidRDefault="00A314B3" w:rsidP="00DE0CBB">
      <w:pPr>
        <w:pStyle w:val="1"/>
      </w:pPr>
      <w:r w:rsidRPr="006E13D1">
        <w:t>References</w:t>
      </w:r>
    </w:p>
    <w:p w:rsidR="005014A7" w:rsidRPr="005014A7" w:rsidRDefault="00EC097B" w:rsidP="005014A7">
      <w:pPr>
        <w:pStyle w:val="2222"/>
        <w:numPr>
          <w:ilvl w:val="0"/>
          <w:numId w:val="31"/>
        </w:numPr>
        <w:spacing w:after="120" w:line="288" w:lineRule="auto"/>
        <w:ind w:firstLineChars="0"/>
        <w:jc w:val="left"/>
      </w:pPr>
      <w:bookmarkStart w:id="5" w:name="_Ref513630011"/>
      <w:r>
        <w:rPr>
          <w:rFonts w:cs="Times New Roman"/>
          <w:lang w:eastAsia="ko-KR"/>
        </w:rPr>
        <w:t>RP-172290</w:t>
      </w:r>
      <w:r w:rsidR="005014A7" w:rsidRPr="005014A7">
        <w:rPr>
          <w:rFonts w:cs="Times New Roman"/>
          <w:lang w:eastAsia="ko-KR"/>
        </w:rPr>
        <w:t xml:space="preserve">, </w:t>
      </w:r>
      <w:r w:rsidR="005014A7">
        <w:rPr>
          <w:rFonts w:cs="Times New Roman"/>
          <w:lang w:eastAsia="ko-KR"/>
        </w:rPr>
        <w:t>“</w:t>
      </w:r>
      <w:r w:rsidR="005014A7" w:rsidRPr="005014A7">
        <w:rPr>
          <w:rFonts w:cs="Times New Roman"/>
          <w:lang w:eastAsia="ko-KR"/>
        </w:rPr>
        <w:t>Study on Integrated Access and Backhaul for NR</w:t>
      </w:r>
      <w:r w:rsidR="005014A7">
        <w:rPr>
          <w:rFonts w:cs="Times New Roman"/>
          <w:lang w:eastAsia="ko-KR"/>
        </w:rPr>
        <w:t>”</w:t>
      </w:r>
      <w:r w:rsidR="005014A7" w:rsidRPr="005014A7">
        <w:rPr>
          <w:rFonts w:cs="Times New Roman"/>
          <w:lang w:eastAsia="ko-KR"/>
        </w:rPr>
        <w:t>, AT&amp;T, Qualcomm, Samsung.</w:t>
      </w:r>
      <w:bookmarkEnd w:id="5"/>
    </w:p>
    <w:p w:rsidR="002065CF" w:rsidRPr="002065CF" w:rsidRDefault="002065CF" w:rsidP="002065CF">
      <w:pPr>
        <w:pStyle w:val="afc"/>
        <w:numPr>
          <w:ilvl w:val="0"/>
          <w:numId w:val="31"/>
        </w:numPr>
        <w:ind w:firstLineChars="0"/>
        <w:rPr>
          <w:b/>
          <w:sz w:val="24"/>
        </w:rPr>
      </w:pPr>
      <w:r w:rsidRPr="002065CF">
        <w:t>R1-1809857</w:t>
      </w:r>
      <w:r>
        <w:t>, “</w:t>
      </w:r>
      <w:r w:rsidRPr="00313F0E">
        <w:t>Summary of 7.2.3.1 Enhancements to support NR backhaul links</w:t>
      </w:r>
      <w:r>
        <w:t xml:space="preserve">”, </w:t>
      </w:r>
      <w:r w:rsidRPr="00313F0E">
        <w:t>AT&amp;T</w:t>
      </w:r>
    </w:p>
    <w:p w:rsidR="002065CF" w:rsidRDefault="002065CF" w:rsidP="002065CF">
      <w:pPr>
        <w:pStyle w:val="afc"/>
        <w:numPr>
          <w:ilvl w:val="0"/>
          <w:numId w:val="31"/>
        </w:numPr>
        <w:ind w:firstLineChars="0"/>
      </w:pPr>
      <w:r w:rsidRPr="002065CF">
        <w:t>R1-1808398</w:t>
      </w:r>
      <w:r>
        <w:t xml:space="preserve">, “NR Physical Layer design for IAB </w:t>
      </w:r>
      <w:proofErr w:type="spellStart"/>
      <w:r>
        <w:t>backhual</w:t>
      </w:r>
      <w:proofErr w:type="spellEnd"/>
      <w:r>
        <w:t xml:space="preserve"> link”, </w:t>
      </w:r>
      <w:r>
        <w:tab/>
        <w:t>CATT</w:t>
      </w:r>
    </w:p>
    <w:p w:rsidR="00725FCB" w:rsidRPr="00B03E88" w:rsidRDefault="00725FCB" w:rsidP="00E11B56">
      <w:pPr>
        <w:pStyle w:val="afc"/>
        <w:ind w:left="644" w:firstLineChars="0" w:firstLine="0"/>
      </w:pPr>
    </w:p>
    <w:p w:rsidR="005014A7" w:rsidRDefault="005014A7" w:rsidP="005014A7">
      <w:pPr>
        <w:pStyle w:val="2222"/>
        <w:spacing w:after="120" w:line="288" w:lineRule="auto"/>
        <w:ind w:firstLineChars="0"/>
        <w:jc w:val="left"/>
        <w:rPr>
          <w:rFonts w:cs="Times New Roman"/>
          <w:lang w:eastAsia="ko-KR"/>
        </w:rPr>
      </w:pPr>
    </w:p>
    <w:p w:rsidR="00402AF5" w:rsidRPr="00EE38E0" w:rsidRDefault="00402AF5" w:rsidP="005014A7">
      <w:pPr>
        <w:ind w:left="357"/>
      </w:pPr>
    </w:p>
    <w:p w:rsidR="00A314B3" w:rsidRPr="00581C51" w:rsidRDefault="00A314B3" w:rsidP="00A314B3">
      <w:pPr>
        <w:pStyle w:val="Doc-text2"/>
        <w:rPr>
          <w:rFonts w:ascii="Times New Roman" w:eastAsia="Times New Roman" w:hAnsi="Times New Roman"/>
          <w:sz w:val="22"/>
          <w:szCs w:val="20"/>
          <w:lang w:eastAsia="en-US"/>
        </w:rPr>
      </w:pPr>
    </w:p>
    <w:p w:rsidR="00586905" w:rsidRPr="00581C51" w:rsidRDefault="00586905" w:rsidP="00586905">
      <w:pPr>
        <w:pStyle w:val="Doc-text2"/>
        <w:rPr>
          <w:rFonts w:ascii="Times New Roman" w:eastAsia="Times New Roman" w:hAnsi="Times New Roman"/>
          <w:sz w:val="22"/>
          <w:szCs w:val="20"/>
          <w:lang w:eastAsia="en-US"/>
        </w:rPr>
      </w:pPr>
    </w:p>
    <w:sectPr w:rsidR="00586905" w:rsidRPr="00581C51"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E80" w:rsidRDefault="00705E80">
      <w:r>
        <w:separator/>
      </w:r>
    </w:p>
  </w:endnote>
  <w:endnote w:type="continuationSeparator" w:id="0">
    <w:p w:rsidR="00705E80" w:rsidRDefault="00705E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A8" w:rsidRDefault="00F712A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E80" w:rsidRDefault="00705E80">
      <w:r>
        <w:separator/>
      </w:r>
    </w:p>
  </w:footnote>
  <w:footnote w:type="continuationSeparator" w:id="0">
    <w:p w:rsidR="00705E80" w:rsidRDefault="00705E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6">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F03C44"/>
    <w:multiLevelType w:val="hybridMultilevel"/>
    <w:tmpl w:val="7CFAF830"/>
    <w:lvl w:ilvl="0" w:tplc="910CF456">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BF42F4"/>
    <w:multiLevelType w:val="hybridMultilevel"/>
    <w:tmpl w:val="7F987C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F41A8D"/>
    <w:multiLevelType w:val="hybridMultilevel"/>
    <w:tmpl w:val="A44EB9D0"/>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9">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306DBB"/>
    <w:multiLevelType w:val="hybridMultilevel"/>
    <w:tmpl w:val="D870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39">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26"/>
  </w:num>
  <w:num w:numId="4">
    <w:abstractNumId w:val="20"/>
  </w:num>
  <w:num w:numId="5">
    <w:abstractNumId w:val="43"/>
  </w:num>
  <w:num w:numId="6">
    <w:abstractNumId w:val="8"/>
  </w:num>
  <w:num w:numId="7">
    <w:abstractNumId w:val="2"/>
  </w:num>
  <w:num w:numId="8">
    <w:abstractNumId w:val="34"/>
  </w:num>
  <w:num w:numId="9">
    <w:abstractNumId w:val="4"/>
  </w:num>
  <w:num w:numId="10">
    <w:abstractNumId w:val="28"/>
  </w:num>
  <w:num w:numId="11">
    <w:abstractNumId w:val="9"/>
  </w:num>
  <w:num w:numId="12">
    <w:abstractNumId w:val="38"/>
  </w:num>
  <w:num w:numId="13">
    <w:abstractNumId w:val="1"/>
  </w:num>
  <w:num w:numId="14">
    <w:abstractNumId w:val="32"/>
  </w:num>
  <w:num w:numId="15">
    <w:abstractNumId w:val="16"/>
  </w:num>
  <w:num w:numId="16">
    <w:abstractNumId w:val="36"/>
  </w:num>
  <w:num w:numId="17">
    <w:abstractNumId w:val="44"/>
  </w:num>
  <w:num w:numId="18">
    <w:abstractNumId w:val="35"/>
  </w:num>
  <w:num w:numId="19">
    <w:abstractNumId w:val="25"/>
  </w:num>
  <w:num w:numId="20">
    <w:abstractNumId w:val="23"/>
  </w:num>
  <w:num w:numId="21">
    <w:abstractNumId w:val="21"/>
  </w:num>
  <w:num w:numId="22">
    <w:abstractNumId w:val="14"/>
  </w:num>
  <w:num w:numId="23">
    <w:abstractNumId w:val="3"/>
  </w:num>
  <w:num w:numId="24">
    <w:abstractNumId w:val="42"/>
  </w:num>
  <w:num w:numId="25">
    <w:abstractNumId w:val="19"/>
  </w:num>
  <w:num w:numId="26">
    <w:abstractNumId w:val="39"/>
  </w:num>
  <w:num w:numId="27">
    <w:abstractNumId w:val="41"/>
  </w:num>
  <w:num w:numId="28">
    <w:abstractNumId w:val="40"/>
  </w:num>
  <w:num w:numId="29">
    <w:abstractNumId w:val="29"/>
  </w:num>
  <w:num w:numId="30">
    <w:abstractNumId w:val="11"/>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3"/>
  </w:num>
  <w:num w:numId="34">
    <w:abstractNumId w:val="30"/>
  </w:num>
  <w:num w:numId="35">
    <w:abstractNumId w:val="12"/>
  </w:num>
  <w:num w:numId="36">
    <w:abstractNumId w:val="0"/>
  </w:num>
  <w:num w:numId="37">
    <w:abstractNumId w:val="10"/>
  </w:num>
  <w:num w:numId="38">
    <w:abstractNumId w:val="31"/>
  </w:num>
  <w:num w:numId="39">
    <w:abstractNumId w:val="15"/>
  </w:num>
  <w:num w:numId="40">
    <w:abstractNumId w:val="45"/>
  </w:num>
  <w:num w:numId="41">
    <w:abstractNumId w:val="22"/>
  </w:num>
  <w:num w:numId="42">
    <w:abstractNumId w:val="27"/>
  </w:num>
  <w:num w:numId="43">
    <w:abstractNumId w:val="5"/>
  </w:num>
  <w:num w:numId="44">
    <w:abstractNumId w:val="46"/>
  </w:num>
  <w:num w:numId="45">
    <w:abstractNumId w:val="18"/>
  </w:num>
  <w:num w:numId="46">
    <w:abstractNumId w:val="37"/>
  </w:num>
  <w:num w:numId="47">
    <w:abstractNumId w:val="6"/>
  </w:num>
  <w:num w:numId="48">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3B1"/>
    <w:rsid w:val="00000594"/>
    <w:rsid w:val="000006F4"/>
    <w:rsid w:val="0000093A"/>
    <w:rsid w:val="000011D5"/>
    <w:rsid w:val="00001AF0"/>
    <w:rsid w:val="00001D23"/>
    <w:rsid w:val="00002583"/>
    <w:rsid w:val="000035F2"/>
    <w:rsid w:val="000046FC"/>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25D8"/>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36F"/>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562"/>
    <w:rsid w:val="00067985"/>
    <w:rsid w:val="00067DAE"/>
    <w:rsid w:val="000707F9"/>
    <w:rsid w:val="00070E01"/>
    <w:rsid w:val="000714C2"/>
    <w:rsid w:val="0007176B"/>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69"/>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43C"/>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3E5"/>
    <w:rsid w:val="00133EB9"/>
    <w:rsid w:val="0013512A"/>
    <w:rsid w:val="00135141"/>
    <w:rsid w:val="00135467"/>
    <w:rsid w:val="00135536"/>
    <w:rsid w:val="00135796"/>
    <w:rsid w:val="00135898"/>
    <w:rsid w:val="00135C70"/>
    <w:rsid w:val="00135DAD"/>
    <w:rsid w:val="00136650"/>
    <w:rsid w:val="00136B9F"/>
    <w:rsid w:val="00136ECA"/>
    <w:rsid w:val="0014048A"/>
    <w:rsid w:val="00140CB7"/>
    <w:rsid w:val="00140F21"/>
    <w:rsid w:val="00141EF8"/>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19A2"/>
    <w:rsid w:val="00152BC7"/>
    <w:rsid w:val="00154011"/>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31F"/>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C16"/>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7BE"/>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F8C"/>
    <w:rsid w:val="001B51D2"/>
    <w:rsid w:val="001B57DA"/>
    <w:rsid w:val="001B5A06"/>
    <w:rsid w:val="001B659B"/>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AD9"/>
    <w:rsid w:val="001C6BE2"/>
    <w:rsid w:val="001C766F"/>
    <w:rsid w:val="001C7A02"/>
    <w:rsid w:val="001D0A03"/>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CA0"/>
    <w:rsid w:val="00204D72"/>
    <w:rsid w:val="00205424"/>
    <w:rsid w:val="00206151"/>
    <w:rsid w:val="0020646D"/>
    <w:rsid w:val="002065CF"/>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1996"/>
    <w:rsid w:val="002419B6"/>
    <w:rsid w:val="002426C7"/>
    <w:rsid w:val="00242D37"/>
    <w:rsid w:val="00242E3C"/>
    <w:rsid w:val="00243028"/>
    <w:rsid w:val="00243513"/>
    <w:rsid w:val="002436BD"/>
    <w:rsid w:val="0024385E"/>
    <w:rsid w:val="00243F07"/>
    <w:rsid w:val="00244041"/>
    <w:rsid w:val="00244C32"/>
    <w:rsid w:val="00245132"/>
    <w:rsid w:val="002454B7"/>
    <w:rsid w:val="00245814"/>
    <w:rsid w:val="002458BE"/>
    <w:rsid w:val="00245CCE"/>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4CBF"/>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490"/>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FD6"/>
    <w:rsid w:val="0028762A"/>
    <w:rsid w:val="00287B44"/>
    <w:rsid w:val="0029135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598"/>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58FB"/>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607A"/>
    <w:rsid w:val="00396825"/>
    <w:rsid w:val="00396D51"/>
    <w:rsid w:val="00396E15"/>
    <w:rsid w:val="0039777A"/>
    <w:rsid w:val="003A0043"/>
    <w:rsid w:val="003A16D8"/>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19B"/>
    <w:rsid w:val="003B5239"/>
    <w:rsid w:val="003B57FF"/>
    <w:rsid w:val="003B5923"/>
    <w:rsid w:val="003B5E84"/>
    <w:rsid w:val="003B5F06"/>
    <w:rsid w:val="003B639A"/>
    <w:rsid w:val="003B6B8A"/>
    <w:rsid w:val="003B7022"/>
    <w:rsid w:val="003B7116"/>
    <w:rsid w:val="003B7603"/>
    <w:rsid w:val="003B7B6B"/>
    <w:rsid w:val="003B7D4B"/>
    <w:rsid w:val="003C0B83"/>
    <w:rsid w:val="003C0DDE"/>
    <w:rsid w:val="003C2545"/>
    <w:rsid w:val="003C2EC7"/>
    <w:rsid w:val="003C3A38"/>
    <w:rsid w:val="003C3E48"/>
    <w:rsid w:val="003C5C76"/>
    <w:rsid w:val="003C6879"/>
    <w:rsid w:val="003C6E8A"/>
    <w:rsid w:val="003C7350"/>
    <w:rsid w:val="003C7437"/>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7FB"/>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B4"/>
    <w:rsid w:val="0040356F"/>
    <w:rsid w:val="004035EE"/>
    <w:rsid w:val="0040416A"/>
    <w:rsid w:val="00404634"/>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248"/>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1AF"/>
    <w:rsid w:val="00423618"/>
    <w:rsid w:val="004236F1"/>
    <w:rsid w:val="004239DF"/>
    <w:rsid w:val="00424182"/>
    <w:rsid w:val="004246C0"/>
    <w:rsid w:val="00424896"/>
    <w:rsid w:val="00425AD1"/>
    <w:rsid w:val="00426073"/>
    <w:rsid w:val="004266D5"/>
    <w:rsid w:val="00426E37"/>
    <w:rsid w:val="004272E5"/>
    <w:rsid w:val="004278C3"/>
    <w:rsid w:val="00427B1A"/>
    <w:rsid w:val="00427BD4"/>
    <w:rsid w:val="00427F5F"/>
    <w:rsid w:val="00430324"/>
    <w:rsid w:val="00430E84"/>
    <w:rsid w:val="00430EB7"/>
    <w:rsid w:val="0043156E"/>
    <w:rsid w:val="0043188C"/>
    <w:rsid w:val="00431BEF"/>
    <w:rsid w:val="00432035"/>
    <w:rsid w:val="00432212"/>
    <w:rsid w:val="00432A6B"/>
    <w:rsid w:val="00432C4A"/>
    <w:rsid w:val="00432C65"/>
    <w:rsid w:val="00433E48"/>
    <w:rsid w:val="004344E3"/>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307"/>
    <w:rsid w:val="0046639A"/>
    <w:rsid w:val="004668D4"/>
    <w:rsid w:val="004674B2"/>
    <w:rsid w:val="004676E5"/>
    <w:rsid w:val="004677D1"/>
    <w:rsid w:val="00467BE4"/>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3CDC"/>
    <w:rsid w:val="00484050"/>
    <w:rsid w:val="004854CF"/>
    <w:rsid w:val="00485C7E"/>
    <w:rsid w:val="00485CF6"/>
    <w:rsid w:val="00485F39"/>
    <w:rsid w:val="004865B0"/>
    <w:rsid w:val="00486982"/>
    <w:rsid w:val="00487531"/>
    <w:rsid w:val="004879E3"/>
    <w:rsid w:val="00487D57"/>
    <w:rsid w:val="00490029"/>
    <w:rsid w:val="00490145"/>
    <w:rsid w:val="00490287"/>
    <w:rsid w:val="00490BAC"/>
    <w:rsid w:val="00490D83"/>
    <w:rsid w:val="00490DF8"/>
    <w:rsid w:val="00490FAB"/>
    <w:rsid w:val="004916A9"/>
    <w:rsid w:val="0049171C"/>
    <w:rsid w:val="00491D95"/>
    <w:rsid w:val="00491E7C"/>
    <w:rsid w:val="0049200B"/>
    <w:rsid w:val="00492404"/>
    <w:rsid w:val="00492B50"/>
    <w:rsid w:val="00492F50"/>
    <w:rsid w:val="00494FA2"/>
    <w:rsid w:val="00495329"/>
    <w:rsid w:val="00495749"/>
    <w:rsid w:val="00495A00"/>
    <w:rsid w:val="00495D6C"/>
    <w:rsid w:val="00495E61"/>
    <w:rsid w:val="00496152"/>
    <w:rsid w:val="004969E7"/>
    <w:rsid w:val="00497092"/>
    <w:rsid w:val="00497481"/>
    <w:rsid w:val="004975A3"/>
    <w:rsid w:val="00497877"/>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8CB"/>
    <w:rsid w:val="004E3BCF"/>
    <w:rsid w:val="004E4194"/>
    <w:rsid w:val="004E5418"/>
    <w:rsid w:val="004E5A5E"/>
    <w:rsid w:val="004E5EAD"/>
    <w:rsid w:val="004E679C"/>
    <w:rsid w:val="004E6B02"/>
    <w:rsid w:val="004E7376"/>
    <w:rsid w:val="004E76F5"/>
    <w:rsid w:val="004F084D"/>
    <w:rsid w:val="004F0C43"/>
    <w:rsid w:val="004F16E2"/>
    <w:rsid w:val="004F21EE"/>
    <w:rsid w:val="004F2614"/>
    <w:rsid w:val="004F3BBF"/>
    <w:rsid w:val="004F4340"/>
    <w:rsid w:val="004F4E02"/>
    <w:rsid w:val="004F52E1"/>
    <w:rsid w:val="004F6196"/>
    <w:rsid w:val="004F6373"/>
    <w:rsid w:val="004F6E37"/>
    <w:rsid w:val="004F7C61"/>
    <w:rsid w:val="0050091B"/>
    <w:rsid w:val="00500A0F"/>
    <w:rsid w:val="0050100B"/>
    <w:rsid w:val="0050101A"/>
    <w:rsid w:val="0050111E"/>
    <w:rsid w:val="005014A7"/>
    <w:rsid w:val="00501A5B"/>
    <w:rsid w:val="00502279"/>
    <w:rsid w:val="0050247B"/>
    <w:rsid w:val="00502710"/>
    <w:rsid w:val="00502C94"/>
    <w:rsid w:val="00503307"/>
    <w:rsid w:val="00503D5E"/>
    <w:rsid w:val="00503E57"/>
    <w:rsid w:val="00503ECC"/>
    <w:rsid w:val="00504F54"/>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47C"/>
    <w:rsid w:val="00542999"/>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6AE7"/>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FF7"/>
    <w:rsid w:val="005A186A"/>
    <w:rsid w:val="005A19A2"/>
    <w:rsid w:val="005A19BB"/>
    <w:rsid w:val="005A1AF7"/>
    <w:rsid w:val="005A1B4F"/>
    <w:rsid w:val="005A2280"/>
    <w:rsid w:val="005A2454"/>
    <w:rsid w:val="005A2A9B"/>
    <w:rsid w:val="005A340D"/>
    <w:rsid w:val="005A3826"/>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4D0B"/>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0775"/>
    <w:rsid w:val="005D124A"/>
    <w:rsid w:val="005D1CF3"/>
    <w:rsid w:val="005D20E7"/>
    <w:rsid w:val="005D24F1"/>
    <w:rsid w:val="005D2B9B"/>
    <w:rsid w:val="005D3126"/>
    <w:rsid w:val="005D3CE0"/>
    <w:rsid w:val="005D45E6"/>
    <w:rsid w:val="005D4799"/>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1F7D"/>
    <w:rsid w:val="006034A7"/>
    <w:rsid w:val="00603D13"/>
    <w:rsid w:val="00604275"/>
    <w:rsid w:val="0060451A"/>
    <w:rsid w:val="00604847"/>
    <w:rsid w:val="00604D12"/>
    <w:rsid w:val="00604D2A"/>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354"/>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2E6"/>
    <w:rsid w:val="00673145"/>
    <w:rsid w:val="00673291"/>
    <w:rsid w:val="00673EC0"/>
    <w:rsid w:val="006740EF"/>
    <w:rsid w:val="0067485A"/>
    <w:rsid w:val="00674AA0"/>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CF7"/>
    <w:rsid w:val="00685D13"/>
    <w:rsid w:val="00686188"/>
    <w:rsid w:val="006876C7"/>
    <w:rsid w:val="00687843"/>
    <w:rsid w:val="006878F3"/>
    <w:rsid w:val="00687F74"/>
    <w:rsid w:val="00690875"/>
    <w:rsid w:val="00690B50"/>
    <w:rsid w:val="00690BA3"/>
    <w:rsid w:val="006910EB"/>
    <w:rsid w:val="0069121E"/>
    <w:rsid w:val="00691346"/>
    <w:rsid w:val="00692A9B"/>
    <w:rsid w:val="006930A3"/>
    <w:rsid w:val="006933C9"/>
    <w:rsid w:val="006933CE"/>
    <w:rsid w:val="00693495"/>
    <w:rsid w:val="00693582"/>
    <w:rsid w:val="006939F6"/>
    <w:rsid w:val="0069446A"/>
    <w:rsid w:val="00694498"/>
    <w:rsid w:val="00694D5D"/>
    <w:rsid w:val="00694E59"/>
    <w:rsid w:val="00694EEF"/>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C7D76"/>
    <w:rsid w:val="006D004D"/>
    <w:rsid w:val="006D0DAB"/>
    <w:rsid w:val="006D135E"/>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4E5"/>
    <w:rsid w:val="006E09A8"/>
    <w:rsid w:val="006E09E2"/>
    <w:rsid w:val="006E0A34"/>
    <w:rsid w:val="006E0CC1"/>
    <w:rsid w:val="006E0F17"/>
    <w:rsid w:val="006E159E"/>
    <w:rsid w:val="006E21A8"/>
    <w:rsid w:val="006E21B9"/>
    <w:rsid w:val="006E2265"/>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5576"/>
    <w:rsid w:val="006F56B8"/>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5E80"/>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F29"/>
    <w:rsid w:val="00715F9F"/>
    <w:rsid w:val="0071664A"/>
    <w:rsid w:val="00716909"/>
    <w:rsid w:val="00716B79"/>
    <w:rsid w:val="00716E59"/>
    <w:rsid w:val="00716F01"/>
    <w:rsid w:val="00721FBA"/>
    <w:rsid w:val="0072216B"/>
    <w:rsid w:val="00722C89"/>
    <w:rsid w:val="00723240"/>
    <w:rsid w:val="00723743"/>
    <w:rsid w:val="0072428F"/>
    <w:rsid w:val="00724347"/>
    <w:rsid w:val="007245D5"/>
    <w:rsid w:val="007246E8"/>
    <w:rsid w:val="00724826"/>
    <w:rsid w:val="00724D7B"/>
    <w:rsid w:val="00725705"/>
    <w:rsid w:val="00725AD4"/>
    <w:rsid w:val="00725FCB"/>
    <w:rsid w:val="0072624D"/>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88"/>
    <w:rsid w:val="007506FC"/>
    <w:rsid w:val="007507DC"/>
    <w:rsid w:val="00750A1F"/>
    <w:rsid w:val="00750BE6"/>
    <w:rsid w:val="0075133B"/>
    <w:rsid w:val="00751DBC"/>
    <w:rsid w:val="00751FEE"/>
    <w:rsid w:val="00752609"/>
    <w:rsid w:val="00752990"/>
    <w:rsid w:val="00752B7C"/>
    <w:rsid w:val="007532A1"/>
    <w:rsid w:val="00754414"/>
    <w:rsid w:val="007545D4"/>
    <w:rsid w:val="00754A8F"/>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234"/>
    <w:rsid w:val="00765421"/>
    <w:rsid w:val="0076546D"/>
    <w:rsid w:val="00766479"/>
    <w:rsid w:val="00766483"/>
    <w:rsid w:val="0076656F"/>
    <w:rsid w:val="00766A2B"/>
    <w:rsid w:val="007670F0"/>
    <w:rsid w:val="00767A6C"/>
    <w:rsid w:val="007707D4"/>
    <w:rsid w:val="00770991"/>
    <w:rsid w:val="00770C60"/>
    <w:rsid w:val="00770E78"/>
    <w:rsid w:val="00771D69"/>
    <w:rsid w:val="007726A7"/>
    <w:rsid w:val="007726F1"/>
    <w:rsid w:val="0077302C"/>
    <w:rsid w:val="00773B75"/>
    <w:rsid w:val="00773B9E"/>
    <w:rsid w:val="007742C2"/>
    <w:rsid w:val="007743F6"/>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CA6"/>
    <w:rsid w:val="007B692F"/>
    <w:rsid w:val="007B74A3"/>
    <w:rsid w:val="007B75FE"/>
    <w:rsid w:val="007B7756"/>
    <w:rsid w:val="007B7F8A"/>
    <w:rsid w:val="007C06A8"/>
    <w:rsid w:val="007C0907"/>
    <w:rsid w:val="007C103D"/>
    <w:rsid w:val="007C1079"/>
    <w:rsid w:val="007C14EE"/>
    <w:rsid w:val="007C1537"/>
    <w:rsid w:val="007C1B7E"/>
    <w:rsid w:val="007C2D23"/>
    <w:rsid w:val="007C2F71"/>
    <w:rsid w:val="007C3E71"/>
    <w:rsid w:val="007C48A8"/>
    <w:rsid w:val="007C4900"/>
    <w:rsid w:val="007C4C29"/>
    <w:rsid w:val="007C4E9A"/>
    <w:rsid w:val="007C53D3"/>
    <w:rsid w:val="007C5C32"/>
    <w:rsid w:val="007C5CF0"/>
    <w:rsid w:val="007C5FFF"/>
    <w:rsid w:val="007C6145"/>
    <w:rsid w:val="007C61DB"/>
    <w:rsid w:val="007C6201"/>
    <w:rsid w:val="007C7447"/>
    <w:rsid w:val="007C7CCF"/>
    <w:rsid w:val="007C7CF6"/>
    <w:rsid w:val="007D011A"/>
    <w:rsid w:val="007D10E1"/>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2B6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38A1"/>
    <w:rsid w:val="0080498F"/>
    <w:rsid w:val="00804A2A"/>
    <w:rsid w:val="00804EC6"/>
    <w:rsid w:val="00805355"/>
    <w:rsid w:val="008057A5"/>
    <w:rsid w:val="00805B99"/>
    <w:rsid w:val="00805C26"/>
    <w:rsid w:val="00805EAF"/>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30103"/>
    <w:rsid w:val="008307B3"/>
    <w:rsid w:val="008307DD"/>
    <w:rsid w:val="00831007"/>
    <w:rsid w:val="0083110C"/>
    <w:rsid w:val="008314E4"/>
    <w:rsid w:val="00831694"/>
    <w:rsid w:val="00831A43"/>
    <w:rsid w:val="00831E21"/>
    <w:rsid w:val="00832BDE"/>
    <w:rsid w:val="00832CDC"/>
    <w:rsid w:val="00832DF4"/>
    <w:rsid w:val="00832ED2"/>
    <w:rsid w:val="0083376F"/>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7F7"/>
    <w:rsid w:val="0085498E"/>
    <w:rsid w:val="00855690"/>
    <w:rsid w:val="00855F51"/>
    <w:rsid w:val="008567D3"/>
    <w:rsid w:val="00856D48"/>
    <w:rsid w:val="00857A1F"/>
    <w:rsid w:val="00857ABD"/>
    <w:rsid w:val="008603B1"/>
    <w:rsid w:val="00862B09"/>
    <w:rsid w:val="00862E0F"/>
    <w:rsid w:val="00862F56"/>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D2C"/>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65D"/>
    <w:rsid w:val="009112E8"/>
    <w:rsid w:val="00911369"/>
    <w:rsid w:val="00911A11"/>
    <w:rsid w:val="00912326"/>
    <w:rsid w:val="00912372"/>
    <w:rsid w:val="0091369A"/>
    <w:rsid w:val="00913BC7"/>
    <w:rsid w:val="009141C3"/>
    <w:rsid w:val="009145CC"/>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61C"/>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5F2"/>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3E7B"/>
    <w:rsid w:val="00973F19"/>
    <w:rsid w:val="00974092"/>
    <w:rsid w:val="00974E2C"/>
    <w:rsid w:val="0097525C"/>
    <w:rsid w:val="009753EC"/>
    <w:rsid w:val="00976849"/>
    <w:rsid w:val="00977056"/>
    <w:rsid w:val="00977FD7"/>
    <w:rsid w:val="00980D9D"/>
    <w:rsid w:val="009816BB"/>
    <w:rsid w:val="00982190"/>
    <w:rsid w:val="009824C3"/>
    <w:rsid w:val="00982C85"/>
    <w:rsid w:val="009831C4"/>
    <w:rsid w:val="00983CB4"/>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1F32"/>
    <w:rsid w:val="009B20CE"/>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72B"/>
    <w:rsid w:val="009B7E0E"/>
    <w:rsid w:val="009B7E96"/>
    <w:rsid w:val="009C0082"/>
    <w:rsid w:val="009C125B"/>
    <w:rsid w:val="009C1362"/>
    <w:rsid w:val="009C13D4"/>
    <w:rsid w:val="009C23C5"/>
    <w:rsid w:val="009C2445"/>
    <w:rsid w:val="009C2A1B"/>
    <w:rsid w:val="009C313C"/>
    <w:rsid w:val="009C3492"/>
    <w:rsid w:val="009C3558"/>
    <w:rsid w:val="009C44A4"/>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7"/>
    <w:rsid w:val="00A017F2"/>
    <w:rsid w:val="00A023DA"/>
    <w:rsid w:val="00A02434"/>
    <w:rsid w:val="00A02C33"/>
    <w:rsid w:val="00A02FFB"/>
    <w:rsid w:val="00A03383"/>
    <w:rsid w:val="00A036F1"/>
    <w:rsid w:val="00A0391D"/>
    <w:rsid w:val="00A03A06"/>
    <w:rsid w:val="00A03E6C"/>
    <w:rsid w:val="00A041D3"/>
    <w:rsid w:val="00A04BDC"/>
    <w:rsid w:val="00A051E3"/>
    <w:rsid w:val="00A05753"/>
    <w:rsid w:val="00A05D48"/>
    <w:rsid w:val="00A06165"/>
    <w:rsid w:val="00A06276"/>
    <w:rsid w:val="00A07369"/>
    <w:rsid w:val="00A1011E"/>
    <w:rsid w:val="00A10A06"/>
    <w:rsid w:val="00A10F8F"/>
    <w:rsid w:val="00A11072"/>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66888"/>
    <w:rsid w:val="00A67B7C"/>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275"/>
    <w:rsid w:val="00A8586E"/>
    <w:rsid w:val="00A85AD9"/>
    <w:rsid w:val="00A85D91"/>
    <w:rsid w:val="00A860B5"/>
    <w:rsid w:val="00A8667D"/>
    <w:rsid w:val="00A8681E"/>
    <w:rsid w:val="00A86C4D"/>
    <w:rsid w:val="00A874C5"/>
    <w:rsid w:val="00A87AF0"/>
    <w:rsid w:val="00A901AF"/>
    <w:rsid w:val="00A901F9"/>
    <w:rsid w:val="00A90569"/>
    <w:rsid w:val="00A9099E"/>
    <w:rsid w:val="00A909AB"/>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3B3"/>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3E88"/>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0F"/>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3DA"/>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303"/>
    <w:rsid w:val="00B279BA"/>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0E"/>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2B0"/>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06F9"/>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3B49"/>
    <w:rsid w:val="00BB442E"/>
    <w:rsid w:val="00BB50F1"/>
    <w:rsid w:val="00BB531F"/>
    <w:rsid w:val="00BB70E7"/>
    <w:rsid w:val="00BB75C5"/>
    <w:rsid w:val="00BB7889"/>
    <w:rsid w:val="00BB7962"/>
    <w:rsid w:val="00BB7CEF"/>
    <w:rsid w:val="00BB7F9D"/>
    <w:rsid w:val="00BC0113"/>
    <w:rsid w:val="00BC059F"/>
    <w:rsid w:val="00BC0D74"/>
    <w:rsid w:val="00BC1322"/>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268"/>
    <w:rsid w:val="00C0734C"/>
    <w:rsid w:val="00C07694"/>
    <w:rsid w:val="00C07819"/>
    <w:rsid w:val="00C07A1B"/>
    <w:rsid w:val="00C1041A"/>
    <w:rsid w:val="00C10607"/>
    <w:rsid w:val="00C10BB2"/>
    <w:rsid w:val="00C1179C"/>
    <w:rsid w:val="00C123B3"/>
    <w:rsid w:val="00C127B9"/>
    <w:rsid w:val="00C127DA"/>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0E"/>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0AFE"/>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3F98"/>
    <w:rsid w:val="00C64373"/>
    <w:rsid w:val="00C64439"/>
    <w:rsid w:val="00C64CBB"/>
    <w:rsid w:val="00C65B3E"/>
    <w:rsid w:val="00C679A5"/>
    <w:rsid w:val="00C679F3"/>
    <w:rsid w:val="00C67D98"/>
    <w:rsid w:val="00C70619"/>
    <w:rsid w:val="00C70FAD"/>
    <w:rsid w:val="00C7131E"/>
    <w:rsid w:val="00C71320"/>
    <w:rsid w:val="00C71823"/>
    <w:rsid w:val="00C71EF2"/>
    <w:rsid w:val="00C73313"/>
    <w:rsid w:val="00C740E8"/>
    <w:rsid w:val="00C74791"/>
    <w:rsid w:val="00C75685"/>
    <w:rsid w:val="00C75874"/>
    <w:rsid w:val="00C75DAC"/>
    <w:rsid w:val="00C7661C"/>
    <w:rsid w:val="00C76758"/>
    <w:rsid w:val="00C7749E"/>
    <w:rsid w:val="00C7754F"/>
    <w:rsid w:val="00C779E5"/>
    <w:rsid w:val="00C779E8"/>
    <w:rsid w:val="00C80047"/>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2D2"/>
    <w:rsid w:val="00C86504"/>
    <w:rsid w:val="00C8713F"/>
    <w:rsid w:val="00C87160"/>
    <w:rsid w:val="00C8740E"/>
    <w:rsid w:val="00C877A0"/>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779D"/>
    <w:rsid w:val="00C97D30"/>
    <w:rsid w:val="00CA0510"/>
    <w:rsid w:val="00CA0684"/>
    <w:rsid w:val="00CA084F"/>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E98"/>
    <w:rsid w:val="00CA4ECB"/>
    <w:rsid w:val="00CA5044"/>
    <w:rsid w:val="00CA54B0"/>
    <w:rsid w:val="00CA58CD"/>
    <w:rsid w:val="00CA599D"/>
    <w:rsid w:val="00CA5F1E"/>
    <w:rsid w:val="00CA60BC"/>
    <w:rsid w:val="00CA6610"/>
    <w:rsid w:val="00CA6A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5115"/>
    <w:rsid w:val="00CB5137"/>
    <w:rsid w:val="00CB57D1"/>
    <w:rsid w:val="00CB702A"/>
    <w:rsid w:val="00CB7356"/>
    <w:rsid w:val="00CB7985"/>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D77A8"/>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C60"/>
    <w:rsid w:val="00CF6ED0"/>
    <w:rsid w:val="00CF769A"/>
    <w:rsid w:val="00CF7DD7"/>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732"/>
    <w:rsid w:val="00D20A74"/>
    <w:rsid w:val="00D21587"/>
    <w:rsid w:val="00D2191B"/>
    <w:rsid w:val="00D21B7B"/>
    <w:rsid w:val="00D222F0"/>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2F42"/>
    <w:rsid w:val="00D53DED"/>
    <w:rsid w:val="00D5422E"/>
    <w:rsid w:val="00D54402"/>
    <w:rsid w:val="00D54503"/>
    <w:rsid w:val="00D55243"/>
    <w:rsid w:val="00D5549A"/>
    <w:rsid w:val="00D55A61"/>
    <w:rsid w:val="00D55BC6"/>
    <w:rsid w:val="00D55C6C"/>
    <w:rsid w:val="00D55EB8"/>
    <w:rsid w:val="00D564AC"/>
    <w:rsid w:val="00D56653"/>
    <w:rsid w:val="00D571FB"/>
    <w:rsid w:val="00D610C6"/>
    <w:rsid w:val="00D61673"/>
    <w:rsid w:val="00D628A0"/>
    <w:rsid w:val="00D63353"/>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165C"/>
    <w:rsid w:val="00D928B1"/>
    <w:rsid w:val="00D9296E"/>
    <w:rsid w:val="00D9370A"/>
    <w:rsid w:val="00D94526"/>
    <w:rsid w:val="00D94754"/>
    <w:rsid w:val="00D9496A"/>
    <w:rsid w:val="00D94A3F"/>
    <w:rsid w:val="00D94BAE"/>
    <w:rsid w:val="00D9513A"/>
    <w:rsid w:val="00D9595B"/>
    <w:rsid w:val="00D95A78"/>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4FB8"/>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A53"/>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59E"/>
    <w:rsid w:val="00DE0741"/>
    <w:rsid w:val="00DE077B"/>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1B56"/>
    <w:rsid w:val="00E12243"/>
    <w:rsid w:val="00E122B9"/>
    <w:rsid w:val="00E1246D"/>
    <w:rsid w:val="00E124DF"/>
    <w:rsid w:val="00E128A8"/>
    <w:rsid w:val="00E12AB4"/>
    <w:rsid w:val="00E13AB8"/>
    <w:rsid w:val="00E14092"/>
    <w:rsid w:val="00E1426A"/>
    <w:rsid w:val="00E147B3"/>
    <w:rsid w:val="00E14820"/>
    <w:rsid w:val="00E14907"/>
    <w:rsid w:val="00E165AB"/>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1F9"/>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2F5"/>
    <w:rsid w:val="00E36478"/>
    <w:rsid w:val="00E3668D"/>
    <w:rsid w:val="00E36AD0"/>
    <w:rsid w:val="00E373BD"/>
    <w:rsid w:val="00E402A1"/>
    <w:rsid w:val="00E40AA3"/>
    <w:rsid w:val="00E40FF7"/>
    <w:rsid w:val="00E4258C"/>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44"/>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4AD6"/>
    <w:rsid w:val="00E95127"/>
    <w:rsid w:val="00E958AA"/>
    <w:rsid w:val="00E96729"/>
    <w:rsid w:val="00E96E1B"/>
    <w:rsid w:val="00E9744E"/>
    <w:rsid w:val="00EA02D0"/>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2B02"/>
    <w:rsid w:val="00EB3663"/>
    <w:rsid w:val="00EB3835"/>
    <w:rsid w:val="00EB3DEC"/>
    <w:rsid w:val="00EB4F2B"/>
    <w:rsid w:val="00EB58C7"/>
    <w:rsid w:val="00EB59A8"/>
    <w:rsid w:val="00EB621B"/>
    <w:rsid w:val="00EB643B"/>
    <w:rsid w:val="00EB73DA"/>
    <w:rsid w:val="00EC036E"/>
    <w:rsid w:val="00EC07E1"/>
    <w:rsid w:val="00EC097B"/>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723"/>
    <w:rsid w:val="00ED5CC0"/>
    <w:rsid w:val="00ED6166"/>
    <w:rsid w:val="00ED61D4"/>
    <w:rsid w:val="00ED6A18"/>
    <w:rsid w:val="00ED7AC1"/>
    <w:rsid w:val="00ED7BED"/>
    <w:rsid w:val="00EE05A6"/>
    <w:rsid w:val="00EE08C0"/>
    <w:rsid w:val="00EE1269"/>
    <w:rsid w:val="00EE1D03"/>
    <w:rsid w:val="00EE2051"/>
    <w:rsid w:val="00EE2173"/>
    <w:rsid w:val="00EE38E0"/>
    <w:rsid w:val="00EE3A30"/>
    <w:rsid w:val="00EE3A90"/>
    <w:rsid w:val="00EE40F7"/>
    <w:rsid w:val="00EE449C"/>
    <w:rsid w:val="00EE476F"/>
    <w:rsid w:val="00EE493B"/>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37A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20B"/>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D08"/>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C95"/>
    <w:rsid w:val="00F47EA2"/>
    <w:rsid w:val="00F50AA0"/>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0AB3"/>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2B25"/>
    <w:rsid w:val="00F931FC"/>
    <w:rsid w:val="00F93342"/>
    <w:rsid w:val="00F9358D"/>
    <w:rsid w:val="00F94286"/>
    <w:rsid w:val="00F9452E"/>
    <w:rsid w:val="00F94662"/>
    <w:rsid w:val="00F947CA"/>
    <w:rsid w:val="00F95271"/>
    <w:rsid w:val="00F95382"/>
    <w:rsid w:val="00F95CA4"/>
    <w:rsid w:val="00F96380"/>
    <w:rsid w:val="00F963C9"/>
    <w:rsid w:val="00F9653D"/>
    <w:rsid w:val="00F96818"/>
    <w:rsid w:val="00F970BF"/>
    <w:rsid w:val="00F97128"/>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964"/>
    <w:rsid w:val="00FC10EB"/>
    <w:rsid w:val="00FC147A"/>
    <w:rsid w:val="00FC174F"/>
    <w:rsid w:val="00FC1B09"/>
    <w:rsid w:val="00FC20C4"/>
    <w:rsid w:val="00FC36E4"/>
    <w:rsid w:val="00FC3C34"/>
    <w:rsid w:val="00FC4132"/>
    <w:rsid w:val="00FC45CE"/>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50DD"/>
    <w:rsid w:val="00FF5524"/>
    <w:rsid w:val="00FF59AF"/>
    <w:rsid w:val="00FF59DB"/>
    <w:rsid w:val="00FF5B4A"/>
    <w:rsid w:val="00FF5FAE"/>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UNDERRUBRIK 1-2,DO NOT USE_h2,h21,Heading 2 Char,H2 Char,h2 Char"/>
    <w:next w:val="a1"/>
    <w:link w:val="2Char"/>
    <w:qFormat/>
    <w:rsid w:val="007A22CE"/>
    <w:pPr>
      <w:numPr>
        <w:ilvl w:val="1"/>
        <w:numId w:val="1"/>
      </w:numPr>
      <w:spacing w:before="100" w:beforeAutospacing="1" w:afterLines="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basedOn w:val="a2"/>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basedOn w:val="1Char"/>
    <w:link w:val="2"/>
    <w:rsid w:val="007A22CE"/>
    <w:rPr>
      <w:rFonts w:ascii="Arial" w:eastAsia="Arial"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rsid w:val="00876A06"/>
    <w:rPr>
      <w:rFonts w:ascii="Arial" w:eastAsia="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876A06"/>
    <w:rPr>
      <w:rFonts w:ascii="Arial" w:eastAsia="Arial" w:hAnsi="Arial"/>
      <w:sz w:val="24"/>
      <w:lang w:val="en-GB"/>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basedOn w:val="a2"/>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basedOn w:val="a2"/>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basedOn w:val="a2"/>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a2"/>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basedOn w:val="a2"/>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w:basedOn w:val="a1"/>
    <w:next w:val="a1"/>
    <w:link w:val="Char0"/>
    <w:qFormat/>
    <w:rsid w:val="004A4093"/>
    <w:pPr>
      <w:spacing w:before="120" w:after="120"/>
    </w:pPr>
    <w:rPr>
      <w:b/>
    </w:rPr>
  </w:style>
  <w:style w:type="character" w:styleId="ae">
    <w:name w:val="Hyperlink"/>
    <w:basedOn w:val="a2"/>
    <w:uiPriority w:val="99"/>
    <w:rsid w:val="004A4093"/>
    <w:rPr>
      <w:color w:val="0000FF"/>
      <w:u w:val="single"/>
    </w:rPr>
  </w:style>
  <w:style w:type="character" w:styleId="af">
    <w:name w:val="FollowedHyperlink"/>
    <w:basedOn w:val="a2"/>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sid w:val="004A4093"/>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2"/>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basedOn w:val="a2"/>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basedOn w:val="a2"/>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basedOn w:val="a2"/>
    <w:link w:val="Heading4"/>
    <w:semiHidden/>
    <w:rsid w:val="00AA3724"/>
    <w:rPr>
      <w:rFonts w:ascii="Arial" w:eastAsia="Arial" w:hAnsi="Arial"/>
      <w:sz w:val="28"/>
      <w:lang w:val="en-GB"/>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C0008A"/>
    <w:rPr>
      <w:rFonts w:ascii="Arial" w:eastAsia="Times New Roman" w:hAnsi="Arial"/>
      <w:b/>
      <w:noProof/>
      <w:sz w:val="18"/>
      <w:lang w:val="en-GB" w:eastAsia="en-US" w:bidi="ar-SA"/>
    </w:rPr>
  </w:style>
  <w:style w:type="character" w:customStyle="1" w:styleId="Char4">
    <w:name w:val="样式 页眉 Char"/>
    <w:basedOn w:val="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basedOn w:val="a2"/>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SimSun"/>
    </w:rPr>
  </w:style>
  <w:style w:type="character" w:customStyle="1" w:styleId="B1Char">
    <w:name w:val="B1 Char"/>
    <w:basedOn w:val="a2"/>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a2"/>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a2"/>
    <w:rsid w:val="005557DE"/>
    <w:rPr>
      <w:rFonts w:ascii="Arial" w:eastAsia="SimSun" w:hAnsi="Arial" w:cs="Arial"/>
      <w:color w:val="0000FF"/>
      <w:kern w:val="2"/>
      <w:lang w:val="en-GB" w:eastAsia="ko-KR" w:bidi="ar-SA"/>
    </w:rPr>
  </w:style>
  <w:style w:type="character" w:customStyle="1" w:styleId="B2Char">
    <w:name w:val="B2 Char"/>
    <w:basedOn w:val="a2"/>
    <w:link w:val="B2"/>
    <w:rsid w:val="005557DE"/>
    <w:rPr>
      <w:lang w:val="en-GB" w:eastAsia="en-US"/>
    </w:rPr>
  </w:style>
  <w:style w:type="paragraph" w:customStyle="1" w:styleId="B3">
    <w:name w:val="B3"/>
    <w:basedOn w:val="32"/>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a2"/>
    <w:link w:val="B3"/>
    <w:rsid w:val="005557DE"/>
    <w:rPr>
      <w:rFonts w:eastAsia="SimSun"/>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SimSun"/>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List Paragraph"/>
    <w:basedOn w:val="a1"/>
    <w:link w:val="Char5"/>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afd">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a1"/>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a2"/>
    <w:rsid w:val="000D5108"/>
    <w:rPr>
      <w:vanish w:val="0"/>
      <w:webHidden w:val="0"/>
      <w:color w:val="333333"/>
      <w:specVanish w:val="0"/>
    </w:rPr>
  </w:style>
  <w:style w:type="character" w:customStyle="1" w:styleId="Char0">
    <w:name w:val="题注 Char"/>
    <w:aliases w:val="cap Char1,cap Char Char,Caption Char Char,Caption Char1 Char Char,cap Char Char1 Char,Caption Char Char1 Char Char,cap Char2 Char"/>
    <w:link w:val="ad"/>
    <w:rsid w:val="00FA0E9F"/>
    <w:rPr>
      <w:rFonts w:eastAsia="Times New Roman"/>
      <w:b/>
      <w:lang w:val="en-GB" w:eastAsia="en-US"/>
    </w:rPr>
  </w:style>
  <w:style w:type="character" w:customStyle="1" w:styleId="Char2">
    <w:name w:val="批注文字 Char"/>
    <w:link w:val="af5"/>
    <w:rsid w:val="00607D22"/>
    <w:rPr>
      <w:rFonts w:ascii="Arial" w:eastAsia="–¾’©" w:hAnsi="Arial"/>
      <w:sz w:val="18"/>
      <w:lang w:val="en-GB" w:eastAsia="en-US"/>
    </w:rPr>
  </w:style>
  <w:style w:type="paragraph" w:styleId="afe">
    <w:name w:val="Normal (Web)"/>
    <w:basedOn w:val="a1"/>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a1"/>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a2"/>
    <w:link w:val="Doc-title"/>
    <w:rsid w:val="006E21B9"/>
    <w:rPr>
      <w:rFonts w:ascii="Arial" w:hAnsi="Arial"/>
      <w:szCs w:val="24"/>
      <w:lang w:val="en-GB" w:eastAsia="en-GB"/>
    </w:rPr>
  </w:style>
  <w:style w:type="character" w:customStyle="1" w:styleId="Char5">
    <w:name w:val="列出段落 Char"/>
    <w:link w:val="afc"/>
    <w:uiPriority w:val="34"/>
    <w:locked/>
    <w:rsid w:val="00B117C0"/>
    <w:rPr>
      <w:rFonts w:eastAsia="Times New Roman"/>
      <w:lang w:val="en-GB" w:eastAsia="en-US"/>
    </w:rPr>
  </w:style>
  <w:style w:type="paragraph" w:customStyle="1" w:styleId="DocInfo">
    <w:name w:val="DocInfo"/>
    <w:basedOn w:val="a1"/>
    <w:rsid w:val="008449B8"/>
    <w:pPr>
      <w:tabs>
        <w:tab w:val="left" w:pos="2160"/>
      </w:tabs>
      <w:overflowPunct/>
      <w:autoSpaceDE/>
      <w:autoSpaceDN/>
      <w:adjustRightInd/>
      <w:spacing w:before="120" w:after="120"/>
      <w:textAlignment w:val="auto"/>
    </w:pPr>
    <w:rPr>
      <w:rFonts w:eastAsia="SimSun"/>
      <w:sz w:val="28"/>
      <w:szCs w:val="28"/>
    </w:rPr>
  </w:style>
  <w:style w:type="paragraph" w:customStyle="1" w:styleId="Agreement">
    <w:name w:val="Agreement"/>
    <w:basedOn w:val="a1"/>
    <w:next w:val="Doc-text2"/>
    <w:rsid w:val="004865B0"/>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maintext">
    <w:name w:val="main text"/>
    <w:basedOn w:val="a1"/>
    <w:link w:val="maintextChar"/>
    <w:qFormat/>
    <w:rsid w:val="00767A6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67A6C"/>
    <w:rPr>
      <w:rFonts w:eastAsia="Malgun Gothic"/>
      <w:lang w:val="en-GB" w:eastAsia="ko-KR"/>
    </w:rPr>
  </w:style>
  <w:style w:type="paragraph" w:customStyle="1" w:styleId="2222">
    <w:name w:val="스타일 스타일 스타일 스타일 양쪽 첫 줄:  2 글자 + 첫 줄:  2 글자 + 첫 줄:  2 글자 + 첫 줄:  2..."/>
    <w:basedOn w:val="a1"/>
    <w:link w:val="2222Char"/>
    <w:rsid w:val="005014A7"/>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014A7"/>
    <w:rPr>
      <w:rFonts w:eastAsia="Malgun Gothic" w:cs="Batang"/>
      <w:lang w:val="en-GB"/>
    </w:rPr>
  </w:style>
  <w:style w:type="paragraph" w:customStyle="1" w:styleId="3GPPNormalText">
    <w:name w:val="3GPP Normal Text"/>
    <w:basedOn w:val="af2"/>
    <w:link w:val="3GPPNormalTextChar"/>
    <w:qFormat/>
    <w:rsid w:val="00F40D08"/>
    <w:pPr>
      <w:overflowPunct/>
      <w:autoSpaceDE/>
      <w:autoSpaceDN/>
      <w:adjustRightInd/>
      <w:spacing w:after="120"/>
      <w:ind w:left="720" w:hanging="720"/>
      <w:jc w:val="both"/>
      <w:textAlignment w:val="auto"/>
    </w:pPr>
    <w:rPr>
      <w:rFonts w:eastAsia="MS Mincho"/>
      <w:sz w:val="22"/>
      <w:szCs w:val="24"/>
    </w:rPr>
  </w:style>
  <w:style w:type="character" w:customStyle="1" w:styleId="3GPPNormalTextChar">
    <w:name w:val="3GPP Normal Text Char"/>
    <w:link w:val="3GPPNormalText"/>
    <w:rsid w:val="00F40D08"/>
    <w:rPr>
      <w:sz w:val="22"/>
      <w:szCs w:val="24"/>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3765027">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2FHT6SDPEKRM-4-36047</_dlc_DocId>
    <_dlc_DocIdUrl xmlns="2f0fb0e4-6f95-4f64-8efb-58e3d90405ce">
      <Url>https://projects.qualcomm.com/sites/SkyBer/_layouts/15/DocIdRedir.aspx?ID=2FHT6SDPEKRM-4-36047</Url>
      <Description>2FHT6SDPEKRM-4-36047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8BD7F-31A1-4026-9A71-ECFE9DF69BA1}">
  <ds:schemaRefs>
    <ds:schemaRef ds:uri="http://schemas.microsoft.com/sharepoint/events"/>
  </ds:schemaRefs>
</ds:datastoreItem>
</file>

<file path=customXml/itemProps2.xml><?xml version="1.0" encoding="utf-8"?>
<ds:datastoreItem xmlns:ds="http://schemas.openxmlformats.org/officeDocument/2006/customXml" ds:itemID="{35882515-ADC1-4D74-A55F-467CC961E9BF}">
  <ds:schemaRefs>
    <ds:schemaRef ds:uri="office.server.policy"/>
  </ds:schemaRefs>
</ds:datastoreItem>
</file>

<file path=customXml/itemProps3.xml><?xml version="1.0" encoding="utf-8"?>
<ds:datastoreItem xmlns:ds="http://schemas.openxmlformats.org/officeDocument/2006/customXml" ds:itemID="{7BC7A903-6366-4270-98EB-27560F80D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7881F-333A-4858-9BB3-9245194A94F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1526C8BD-E995-49D8-8EBF-84DACE4AD827}">
  <ds:schemaRefs>
    <ds:schemaRef ds:uri="http://schemas.microsoft.com/sharepoint/v3/contenttype/forms"/>
  </ds:schemaRefs>
</ds:datastoreItem>
</file>

<file path=customXml/itemProps6.xml><?xml version="1.0" encoding="utf-8"?>
<ds:datastoreItem xmlns:ds="http://schemas.openxmlformats.org/officeDocument/2006/customXml" ds:itemID="{8EF02AC0-22C9-4646-88B9-8A821C852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11648</TotalTime>
  <Pages>7</Pages>
  <Words>3451</Words>
  <Characters>18156</Characters>
  <Application>Microsoft Office Word</Application>
  <DocSecurity>0</DocSecurity>
  <Lines>422</Lines>
  <Paragraphs>273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CATT</Company>
  <LinksUpToDate>false</LinksUpToDate>
  <CharactersWithSpaces>21334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IAB</dc:title>
  <dc:creator>FCC</dc:creator>
  <cp:lastModifiedBy>Fang-Chen cheng</cp:lastModifiedBy>
  <cp:revision>15</cp:revision>
  <cp:lastPrinted>2016-08-09T16:44:00Z</cp:lastPrinted>
  <dcterms:created xsi:type="dcterms:W3CDTF">2018-05-12T00:32:00Z</dcterms:created>
  <dcterms:modified xsi:type="dcterms:W3CDTF">2018-09-29T02:24:00Z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1486152400</vt:lpwstr>
  </property>
  <property fmtid="{D5CDD505-2E9C-101B-9397-08002B2CF9AE}" pid="20" name="_NewReviewCycle">
    <vt:lpwstr/>
  </property>
  <property fmtid="{D5CDD505-2E9C-101B-9397-08002B2CF9AE}" pid="21" name="ContentTypeId">
    <vt:lpwstr>0x010100B09692573C08054E936A1BBD3D3E084A</vt:lpwstr>
  </property>
  <property fmtid="{D5CDD505-2E9C-101B-9397-08002B2CF9AE}" pid="22" name="_dlc_DocIdItemGuid">
    <vt:lpwstr>91e35fa0-67a0-47b6-933e-9c5f103d01b2</vt:lpwstr>
  </property>
</Properties>
</file>