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3C32AC6" w:rsidR="00584ABE" w:rsidRPr="00C536F2" w:rsidRDefault="00BA52AA" w:rsidP="005923F4">
      <w:pPr>
        <w:pStyle w:val="3GPPHeader"/>
        <w:spacing w:after="60"/>
        <w:rPr>
          <w:rFonts w:ascii="Arial" w:hAnsi="Arial" w:cs="Arial"/>
        </w:rPr>
      </w:pPr>
      <w:bookmarkStart w:id="0" w:name="_Ref462817227"/>
      <w:r>
        <w:t>3GPP TSG-RAN WG1 Meeting #94</w:t>
      </w:r>
      <w:r w:rsidR="00B548DA" w:rsidRPr="00C536F2">
        <w:rPr>
          <w:rFonts w:ascii="Arial" w:hAnsi="Arial" w:cs="Arial"/>
        </w:rPr>
        <w:tab/>
      </w:r>
      <w:r w:rsidR="00783800">
        <w:rPr>
          <w:rFonts w:ascii="Arial" w:hAnsi="Arial" w:cs="Arial"/>
        </w:rPr>
        <w:t>R1</w:t>
      </w:r>
      <w:r w:rsidR="008E1D88">
        <w:rPr>
          <w:rFonts w:ascii="Arial" w:hAnsi="Arial" w:cs="Arial"/>
        </w:rPr>
        <w:t>-</w:t>
      </w:r>
      <w:r w:rsidR="00F40C33">
        <w:rPr>
          <w:rFonts w:ascii="Arial" w:hAnsi="Arial" w:cs="Arial"/>
        </w:rPr>
        <w:t>18</w:t>
      </w:r>
      <w:r>
        <w:rPr>
          <w:rFonts w:ascii="Arial" w:hAnsi="Arial" w:cs="Arial"/>
        </w:rPr>
        <w:t>0</w:t>
      </w:r>
      <w:r w:rsidR="005A147F">
        <w:rPr>
          <w:rFonts w:ascii="Arial" w:hAnsi="Arial" w:cs="Arial"/>
        </w:rPr>
        <w:t>9223</w:t>
      </w:r>
      <w:bookmarkStart w:id="1" w:name="_GoBack"/>
      <w:bookmarkEnd w:id="1"/>
      <w:r w:rsidR="005A147F" w:rsidDel="005A147F">
        <w:rPr>
          <w:rFonts w:ascii="Arial" w:hAnsi="Arial" w:cs="Arial"/>
        </w:rPr>
        <w:t xml:space="preserve"> </w:t>
      </w:r>
    </w:p>
    <w:p w14:paraId="7A9879CD" w14:textId="3AC95343" w:rsidR="00584ABE" w:rsidRPr="007A3FE1" w:rsidRDefault="00BA52AA" w:rsidP="005923F4">
      <w:pPr>
        <w:pStyle w:val="3GPPHeader"/>
        <w:spacing w:after="60"/>
        <w:rPr>
          <w:rFonts w:ascii="Arial" w:hAnsi="Arial" w:cs="Arial"/>
          <w:b w:val="0"/>
          <w:noProof/>
        </w:rPr>
      </w:pPr>
      <w:r>
        <w:t>Gothenburg, Sweden, August 20</w:t>
      </w:r>
      <w:r w:rsidRPr="00BA52AA">
        <w:rPr>
          <w:vertAlign w:val="superscript"/>
        </w:rPr>
        <w:t>th</w:t>
      </w:r>
      <w:r>
        <w:t xml:space="preserve"> – 24</w:t>
      </w:r>
      <w:r w:rsidRPr="00BA52AA">
        <w:rPr>
          <w:vertAlign w:val="superscript"/>
        </w:rPr>
        <w:t>th</w:t>
      </w:r>
      <w:r>
        <w:t>,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24F87829"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BA52AA">
        <w:rPr>
          <w:rFonts w:ascii="Arial" w:hAnsi="Arial" w:cs="Arial"/>
          <w:sz w:val="22"/>
        </w:rPr>
        <w:t>2.2.5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A1265A4" w14:textId="77777777" w:rsidR="00327044" w:rsidRDefault="00EA3284"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w:t>
      </w:r>
      <w:r w:rsidR="00327044">
        <w:rPr>
          <w:rFonts w:ascii="Times New Roman" w:hAnsi="Times New Roman" w:cs="Times New Roman"/>
          <w:b w:val="0"/>
          <w:bCs w:val="0"/>
          <w:sz w:val="20"/>
          <w:szCs w:val="20"/>
          <w:lang w:eastAsia="en-US"/>
        </w:rPr>
        <w:t xml:space="preserve"> RAN1#92bis, the following agreements have been made related to wideband operation for NR-U</w:t>
      </w:r>
      <w:r w:rsidR="001F718F">
        <w:rPr>
          <w:rFonts w:ascii="Times New Roman" w:hAnsi="Times New Roman" w:cs="Times New Roman"/>
          <w:b w:val="0"/>
          <w:bCs w:val="0"/>
          <w:sz w:val="20"/>
          <w:szCs w:val="20"/>
          <w:lang w:eastAsia="en-US"/>
        </w:rPr>
        <w:t>.</w:t>
      </w:r>
    </w:p>
    <w:p w14:paraId="421CCF55" w14:textId="77777777" w:rsidR="00327044" w:rsidRPr="00327044" w:rsidRDefault="00327044" w:rsidP="00327044">
      <w:pPr>
        <w:spacing w:after="0" w:line="240" w:lineRule="auto"/>
        <w:ind w:left="720" w:hanging="720"/>
        <w:rPr>
          <w:rFonts w:ascii="Times" w:eastAsia="Batang" w:hAnsi="Times" w:cs="Times New Roman"/>
          <w:sz w:val="20"/>
          <w:szCs w:val="24"/>
          <w:lang w:eastAsia="en-US"/>
        </w:rPr>
      </w:pPr>
      <w:r w:rsidRPr="00327044">
        <w:rPr>
          <w:rFonts w:ascii="Times" w:eastAsia="Batang" w:hAnsi="Times" w:cs="Times New Roman"/>
          <w:sz w:val="20"/>
          <w:szCs w:val="24"/>
          <w:highlight w:val="green"/>
          <w:lang w:eastAsia="en-US"/>
        </w:rPr>
        <w:t>Agreement:</w:t>
      </w:r>
    </w:p>
    <w:p w14:paraId="664ABCFA"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Study possible enhancements for HARQ operation </w:t>
      </w:r>
    </w:p>
    <w:p w14:paraId="5C40BF80"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Study changes needed for Configured Grant support in NR-U</w:t>
      </w:r>
    </w:p>
    <w:p w14:paraId="3AFF74EE" w14:textId="77777777" w:rsidR="00327044" w:rsidRPr="00327044" w:rsidRDefault="00327044" w:rsidP="00327044">
      <w:pPr>
        <w:widowControl w:val="0"/>
        <w:numPr>
          <w:ilvl w:val="0"/>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Baseline for study: If absence of Wi-Fi cannot be guaranteed (e.g. by regulation) </w:t>
      </w:r>
    </w:p>
    <w:p w14:paraId="7535A9B8" w14:textId="77777777" w:rsidR="00327044" w:rsidRPr="00327044" w:rsidRDefault="00327044" w:rsidP="00327044">
      <w:pPr>
        <w:spacing w:after="0" w:line="240" w:lineRule="auto"/>
        <w:ind w:left="720"/>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in the band (sub-7 GHz) where NR-U is operating, the NR-U operating bandwidth is an integer  </w:t>
      </w:r>
    </w:p>
    <w:p w14:paraId="26BD0130" w14:textId="77777777" w:rsidR="00327044" w:rsidRPr="00327044" w:rsidRDefault="00327044" w:rsidP="00327044">
      <w:pPr>
        <w:spacing w:after="0" w:line="240" w:lineRule="auto"/>
        <w:ind w:left="720"/>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multiple of 20MHz </w:t>
      </w:r>
    </w:p>
    <w:p w14:paraId="3BE36654" w14:textId="77777777" w:rsidR="00327044" w:rsidRPr="00327044" w:rsidRDefault="00327044" w:rsidP="00327044">
      <w:pPr>
        <w:widowControl w:val="0"/>
        <w:numPr>
          <w:ilvl w:val="0"/>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 xml:space="preserve">At least for band where absence of Wi-Fi cannot be guaranteed (e.g. by regulation), LBT can be performed in units of 20 MHz. </w:t>
      </w:r>
    </w:p>
    <w:p w14:paraId="1DD980D4" w14:textId="77777777" w:rsidR="00327044" w:rsidRPr="00327044" w:rsidRDefault="00327044" w:rsidP="00327044">
      <w:pPr>
        <w:widowControl w:val="0"/>
        <w:numPr>
          <w:ilvl w:val="1"/>
          <w:numId w:val="45"/>
        </w:numPr>
        <w:spacing w:after="0" w:line="240" w:lineRule="auto"/>
        <w:jc w:val="both"/>
        <w:rPr>
          <w:rFonts w:ascii="Times" w:eastAsia="Batang" w:hAnsi="Times" w:cs="Times New Roman"/>
          <w:i/>
          <w:sz w:val="20"/>
          <w:szCs w:val="24"/>
          <w:lang w:val="en-US" w:eastAsia="en-US"/>
        </w:rPr>
      </w:pPr>
      <w:r w:rsidRPr="00327044">
        <w:rPr>
          <w:rFonts w:ascii="Times" w:eastAsia="Batang" w:hAnsi="Times" w:cs="Times New Roman"/>
          <w:i/>
          <w:sz w:val="20"/>
          <w:szCs w:val="24"/>
          <w:lang w:val="en-US" w:eastAsia="en-US"/>
        </w:rPr>
        <w:t>FFS: details on how to perform LBT for as single carrier with bandwidth greater than 20 MHz, i.e., integer multiples of 20 MHz.</w:t>
      </w:r>
    </w:p>
    <w:p w14:paraId="3C301677"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Study whether or not the following techniques enhance performance beyond the baseline LBT mechanisms</w:t>
      </w:r>
    </w:p>
    <w:p w14:paraId="1BDA97B8"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Techniques to cope with directional antennas/transmissions</w:t>
      </w:r>
    </w:p>
    <w:p w14:paraId="2BFB2212"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Receiver assisted LBT : RTS/CTS type mechanism</w:t>
      </w:r>
    </w:p>
    <w:p w14:paraId="5C56D72B" w14:textId="77777777" w:rsidR="00327044" w:rsidRPr="00327044" w:rsidRDefault="00327044" w:rsidP="00327044">
      <w:pPr>
        <w:widowControl w:val="0"/>
        <w:numPr>
          <w:ilvl w:val="2"/>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On-demand receiver assisted LBT: For example receiver assisted LBT enabled only when needed </w:t>
      </w:r>
    </w:p>
    <w:p w14:paraId="0A89632B"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Techniques to enhance spatial reuse </w:t>
      </w:r>
    </w:p>
    <w:p w14:paraId="53AE143A"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Preamble detection</w:t>
      </w:r>
    </w:p>
    <w:p w14:paraId="584AEA55" w14:textId="77777777" w:rsidR="00327044" w:rsidRPr="00327044" w:rsidRDefault="00327044" w:rsidP="00327044">
      <w:pPr>
        <w:widowControl w:val="0"/>
        <w:numPr>
          <w:ilvl w:val="1"/>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Enhancements to baseline LBT mechanisms above 7 GHz</w:t>
      </w:r>
    </w:p>
    <w:p w14:paraId="4D0CA2FC"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 xml:space="preserve">Note: LTE-LAA LBT mechanism are assumed as baseline for evaluations for 5GHz. </w:t>
      </w:r>
    </w:p>
    <w:p w14:paraId="78D56ACB" w14:textId="77777777" w:rsidR="00327044" w:rsidRPr="00327044" w:rsidRDefault="00327044" w:rsidP="00327044">
      <w:pPr>
        <w:widowControl w:val="0"/>
        <w:numPr>
          <w:ilvl w:val="0"/>
          <w:numId w:val="45"/>
        </w:numPr>
        <w:spacing w:after="0" w:line="240" w:lineRule="auto"/>
        <w:jc w:val="both"/>
        <w:rPr>
          <w:rFonts w:ascii="Times" w:eastAsia="Batang" w:hAnsi="Times" w:cs="Times New Roman"/>
          <w:sz w:val="20"/>
          <w:szCs w:val="24"/>
          <w:lang w:val="en-US" w:eastAsia="en-US"/>
        </w:rPr>
      </w:pPr>
      <w:r w:rsidRPr="00327044">
        <w:rPr>
          <w:rFonts w:ascii="Times" w:eastAsia="Batang" w:hAnsi="Times" w:cs="Times New Roman"/>
          <w:sz w:val="20"/>
          <w:szCs w:val="24"/>
          <w:lang w:val="en-US" w:eastAsia="en-US"/>
        </w:rPr>
        <w:t>Note: Other aspects are not precluded from being included</w:t>
      </w:r>
    </w:p>
    <w:p w14:paraId="69F45D00" w14:textId="77777777" w:rsidR="00327044" w:rsidRDefault="001F718F"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 </w:t>
      </w:r>
    </w:p>
    <w:p w14:paraId="3B13F3CF" w14:textId="0491D8C4" w:rsidR="00275CAD" w:rsidRPr="00633833" w:rsidRDefault="0032704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In this contribution, we discuss NR-U wideband operation.</w:t>
      </w:r>
      <w:r w:rsidR="001F718F">
        <w:rPr>
          <w:rFonts w:ascii="Times New Roman" w:hAnsi="Times New Roman" w:cs="Times New Roman"/>
          <w:b w:val="0"/>
          <w:bCs w:val="0"/>
          <w:sz w:val="20"/>
          <w:szCs w:val="20"/>
          <w:lang w:eastAsia="en-US"/>
        </w:rPr>
        <w:t xml:space="preserve"> </w:t>
      </w:r>
      <w:r w:rsidR="00C81698">
        <w:rPr>
          <w:rFonts w:ascii="Times New Roman" w:hAnsi="Times New Roman" w:cs="Times New Roman"/>
          <w:b w:val="0"/>
          <w:bCs w:val="0"/>
          <w:sz w:val="20"/>
          <w:szCs w:val="20"/>
          <w:lang w:eastAsia="en-US"/>
        </w:rPr>
        <w:t xml:space="preserve"> </w:t>
      </w:r>
      <w:bookmarkStart w:id="2" w:name="_Ref462918989"/>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0484C391" w14:textId="289B06D6" w:rsidR="00221997" w:rsidRDefault="00221997" w:rsidP="00221997">
      <w:pPr>
        <w:pStyle w:val="Heading4"/>
        <w:numPr>
          <w:ilvl w:val="0"/>
          <w:numId w:val="0"/>
        </w:numPr>
        <w:ind w:left="864" w:right="569" w:hanging="864"/>
      </w:pPr>
      <w:r>
        <w:t xml:space="preserve">2.1 </w:t>
      </w:r>
      <w:r w:rsidR="00AF5CB5">
        <w:t>Carrier aggregation vs. single carrier wideband operation</w:t>
      </w:r>
    </w:p>
    <w:p w14:paraId="09829CB4" w14:textId="67B22E52" w:rsidR="005A1D12" w:rsidRDefault="005A1D12"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licensed band operation, all Release-15 NR UEs support 100 MHz bandwidth for FR1 and 200 MHz for FR2</w:t>
      </w:r>
      <w:r w:rsidR="006523F3">
        <w:rPr>
          <w:rFonts w:ascii="Times New Roman" w:hAnsi="Times New Roman" w:cs="Times New Roman"/>
          <w:sz w:val="20"/>
          <w:szCs w:val="20"/>
          <w:lang w:eastAsia="en-US"/>
        </w:rPr>
        <w:t xml:space="preserve"> if UEs support such bands</w:t>
      </w:r>
      <w:r>
        <w:rPr>
          <w:rFonts w:ascii="Times New Roman" w:hAnsi="Times New Roman" w:cs="Times New Roman"/>
          <w:sz w:val="20"/>
          <w:szCs w:val="20"/>
          <w:lang w:eastAsia="en-US"/>
        </w:rPr>
        <w:t>. For unlicensed operation, it is expected that NR-U can also operate in wide bandwidth, e.g. up to hundreds of MHz bandwidth. Basically, there are two approaches for wideband operation: carrier aggregation and sin</w:t>
      </w:r>
      <w:r w:rsidR="00754B9B">
        <w:rPr>
          <w:rFonts w:ascii="Times New Roman" w:hAnsi="Times New Roman" w:cs="Times New Roman"/>
          <w:sz w:val="20"/>
          <w:szCs w:val="20"/>
          <w:lang w:eastAsia="en-US"/>
        </w:rPr>
        <w:t>gle carrier wideband operation, as illustrated in Figure 1.</w:t>
      </w:r>
    </w:p>
    <w:p w14:paraId="50F05B7C" w14:textId="4003D3F0" w:rsidR="00754B9B" w:rsidRDefault="00754B9B" w:rsidP="00754B9B">
      <w:pPr>
        <w:pStyle w:val="BodyText"/>
        <w:jc w:val="center"/>
        <w:rPr>
          <w:rFonts w:ascii="Times New Roman" w:hAnsi="Times New Roman" w:cs="Times New Roman"/>
          <w:sz w:val="20"/>
          <w:szCs w:val="20"/>
          <w:lang w:eastAsia="en-US"/>
        </w:rPr>
      </w:pPr>
      <w:r w:rsidRPr="00754B9B">
        <w:rPr>
          <w:rFonts w:ascii="Times New Roman" w:hAnsi="Times New Roman" w:cs="Times New Roman"/>
          <w:noProof/>
          <w:sz w:val="20"/>
          <w:szCs w:val="20"/>
        </w:rPr>
        <w:lastRenderedPageBreak/>
        <w:drawing>
          <wp:inline distT="0" distB="0" distL="0" distR="0" wp14:anchorId="6DE672EE" wp14:editId="3CD3FF02">
            <wp:extent cx="4452938" cy="2870200"/>
            <wp:effectExtent l="0" t="0" r="0" b="0"/>
            <wp:docPr id="7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2938" cy="287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F6F7A7" w14:textId="184DA16C" w:rsidR="005A1D12" w:rsidRDefault="00754B9B" w:rsidP="00754B9B">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1 Carrier aggregation and single wideband carrier</w:t>
      </w:r>
    </w:p>
    <w:p w14:paraId="75365F8F" w14:textId="4E49FA1C" w:rsidR="00754B9B" w:rsidRDefault="00CA7170"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carrier aggregation, the wideband unlicensed spectrum is partitioned into multiple component carriers (CC), each of which can be 20 MHz for example. Then each CC can be operated independently, e.g., gNB or UE can perform listen-before-talk (LBT) per CC, and DL control and HARQ process is per CC. </w:t>
      </w:r>
    </w:p>
    <w:p w14:paraId="59CF088F" w14:textId="663285DF" w:rsidR="00CA7170" w:rsidRDefault="00CA7170"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single wideband carrier operation, on the other hand, one PDCCH can schedule the data over the whole wideband carrier. Because no guard ba</w:t>
      </w:r>
      <w:r w:rsidR="00747B4D">
        <w:rPr>
          <w:rFonts w:ascii="Times New Roman" w:hAnsi="Times New Roman" w:cs="Times New Roman"/>
          <w:sz w:val="20"/>
          <w:szCs w:val="20"/>
          <w:lang w:eastAsia="en-US"/>
        </w:rPr>
        <w:t xml:space="preserve">nd is needed between CCs anymore in comparison to carrier aggregation case, the spectrum utilization is improved. </w:t>
      </w:r>
      <w:r w:rsidR="0016522A">
        <w:rPr>
          <w:rFonts w:ascii="Times New Roman" w:hAnsi="Times New Roman" w:cs="Times New Roman"/>
          <w:sz w:val="20"/>
          <w:szCs w:val="20"/>
          <w:lang w:eastAsia="en-US"/>
        </w:rPr>
        <w:t xml:space="preserve">As mentioned by the agreements in the introduction, LBT can be performed in units of 20 MHz. For example, in DL transmission, before preparing PDCCH/PDSCH, gNB senses the channel. Then the scheduling decision is made considering only the free resources from LBT. </w:t>
      </w:r>
      <w:r w:rsidR="00705753">
        <w:rPr>
          <w:rFonts w:ascii="Times New Roman" w:hAnsi="Times New Roman" w:cs="Times New Roman"/>
          <w:sz w:val="20"/>
          <w:szCs w:val="20"/>
          <w:lang w:eastAsia="en-US"/>
        </w:rPr>
        <w:t xml:space="preserve">However, this may impose tight processing requirement for the gNB. To relax the PDCCH/PDSCH processing timeline, gNB can prepare the PDCCH/PDSCH before knowing the LBT outcome. Then PDCCH is sent over the free LBT units, and part of PDSCH will be dropped (i.e. punctured). </w:t>
      </w:r>
    </w:p>
    <w:p w14:paraId="3B469F5E" w14:textId="0110FC81" w:rsidR="00B00379" w:rsidRDefault="00B00379" w:rsidP="00754B9B">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general, it is more reasonable to adopt carrier aggregation operation in the area where the interference fr</w:t>
      </w:r>
      <w:r w:rsidR="00C43C3B">
        <w:rPr>
          <w:rFonts w:ascii="Times New Roman" w:hAnsi="Times New Roman" w:cs="Times New Roman"/>
          <w:sz w:val="20"/>
          <w:szCs w:val="20"/>
          <w:lang w:eastAsia="en-US"/>
        </w:rPr>
        <w:t>om other system is very se</w:t>
      </w:r>
      <w:r w:rsidR="006523F3">
        <w:rPr>
          <w:rFonts w:ascii="Times New Roman" w:hAnsi="Times New Roman" w:cs="Times New Roman"/>
          <w:sz w:val="20"/>
          <w:szCs w:val="20"/>
          <w:lang w:eastAsia="en-US"/>
        </w:rPr>
        <w:t>vere</w:t>
      </w:r>
      <w:r w:rsidR="00C43C3B">
        <w:rPr>
          <w:rFonts w:ascii="Times New Roman" w:hAnsi="Times New Roman" w:cs="Times New Roman"/>
          <w:sz w:val="20"/>
          <w:szCs w:val="20"/>
          <w:lang w:eastAsia="en-US"/>
        </w:rPr>
        <w:t xml:space="preserve">, because gNB can easily deactivate a certain CC without impact on other CC. On the other hand, in a less crowed area, single wideband carrier operation can be adopted to improve the spectrum efficiency. </w:t>
      </w:r>
    </w:p>
    <w:p w14:paraId="3176556E" w14:textId="59F4E368" w:rsidR="00C43C3B" w:rsidRDefault="00C43C3B" w:rsidP="00754B9B">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Both carrier aggregation and single carrier wideband operations should be supported in NR-U.</w:t>
      </w:r>
    </w:p>
    <w:p w14:paraId="6C59C476" w14:textId="2DDB53FE" w:rsidR="006523F3" w:rsidRDefault="006523F3" w:rsidP="006523F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gNB should be allowed to prepare </w:t>
      </w:r>
      <w:r w:rsidRPr="006523F3">
        <w:rPr>
          <w:rFonts w:ascii="Times New Roman" w:hAnsi="Times New Roman" w:cs="Times New Roman"/>
          <w:b/>
          <w:sz w:val="20"/>
          <w:szCs w:val="20"/>
          <w:lang w:eastAsia="en-US"/>
        </w:rPr>
        <w:t>the PDCCH/PDSCH</w:t>
      </w:r>
      <w:r>
        <w:rPr>
          <w:rFonts w:ascii="Times New Roman" w:hAnsi="Times New Roman" w:cs="Times New Roman"/>
          <w:b/>
          <w:sz w:val="20"/>
          <w:szCs w:val="20"/>
          <w:lang w:eastAsia="en-US"/>
        </w:rPr>
        <w:t xml:space="preserve"> before knowing the LBT outcome even </w:t>
      </w:r>
      <w:r w:rsidR="004D18D8">
        <w:rPr>
          <w:rFonts w:ascii="Times New Roman" w:hAnsi="Times New Roman" w:cs="Times New Roman"/>
          <w:b/>
          <w:sz w:val="20"/>
          <w:szCs w:val="20"/>
          <w:lang w:eastAsia="en-US"/>
        </w:rPr>
        <w:t xml:space="preserve">for </w:t>
      </w:r>
      <w:r>
        <w:rPr>
          <w:rFonts w:ascii="Times New Roman" w:hAnsi="Times New Roman" w:cs="Times New Roman"/>
          <w:b/>
          <w:sz w:val="20"/>
          <w:szCs w:val="20"/>
          <w:lang w:eastAsia="en-US"/>
        </w:rPr>
        <w:t>single wideband carrier operation.</w:t>
      </w:r>
    </w:p>
    <w:p w14:paraId="22C5051E" w14:textId="77777777" w:rsidR="006523F3" w:rsidRPr="006523F3" w:rsidRDefault="006523F3" w:rsidP="00754B9B">
      <w:pPr>
        <w:pStyle w:val="BodyText"/>
        <w:rPr>
          <w:rFonts w:ascii="Times New Roman" w:hAnsi="Times New Roman" w:cs="Times New Roman"/>
          <w:b/>
          <w:sz w:val="20"/>
          <w:szCs w:val="20"/>
          <w:lang w:eastAsia="en-US"/>
        </w:rPr>
      </w:pPr>
    </w:p>
    <w:p w14:paraId="7E368822" w14:textId="77777777" w:rsidR="00A85AE7" w:rsidRDefault="00A85AE7" w:rsidP="009B19F5">
      <w:pPr>
        <w:pStyle w:val="BodyText"/>
        <w:rPr>
          <w:rFonts w:ascii="Times New Roman" w:hAnsi="Times New Roman" w:cs="Times New Roman"/>
          <w:sz w:val="20"/>
          <w:szCs w:val="20"/>
          <w:lang w:eastAsia="en-US"/>
        </w:rPr>
      </w:pPr>
    </w:p>
    <w:p w14:paraId="29D3A47C" w14:textId="04762E3D" w:rsidR="00A85AE7" w:rsidRDefault="00AF5CB5" w:rsidP="00A85AE7">
      <w:pPr>
        <w:pStyle w:val="Heading4"/>
        <w:numPr>
          <w:ilvl w:val="0"/>
          <w:numId w:val="0"/>
        </w:numPr>
        <w:ind w:left="864" w:right="569" w:hanging="864"/>
      </w:pPr>
      <w:r>
        <w:t>2.2 Control information monitoring for single carrier wideband operation</w:t>
      </w:r>
    </w:p>
    <w:p w14:paraId="15C7DE91" w14:textId="4AB7B306" w:rsidR="00D661B0" w:rsidRDefault="00ED129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single carrier wideband operation, it is beneficial to confine each CORESET within the LBT unit, e.g 20 MHz. With such configuration, </w:t>
      </w:r>
      <w:r w:rsidR="00750580">
        <w:rPr>
          <w:rFonts w:ascii="Times New Roman" w:hAnsi="Times New Roman" w:cs="Times New Roman"/>
          <w:sz w:val="20"/>
          <w:szCs w:val="20"/>
          <w:lang w:eastAsia="en-US"/>
        </w:rPr>
        <w:t xml:space="preserve">as long as one LBT unit is acquired by gNB, gNB can transmit control information to the UE. </w:t>
      </w:r>
      <w:r w:rsidR="00D661B0">
        <w:rPr>
          <w:rFonts w:ascii="Times New Roman" w:hAnsi="Times New Roman" w:cs="Times New Roman"/>
          <w:sz w:val="20"/>
          <w:szCs w:val="20"/>
          <w:lang w:eastAsia="en-US"/>
        </w:rPr>
        <w:t>However, there could be an issue for the PDCCH capacity within one CORESET in case of high subcarrier spacing</w:t>
      </w:r>
      <w:r w:rsidR="00107197">
        <w:rPr>
          <w:rFonts w:ascii="Times New Roman" w:hAnsi="Times New Roman" w:cs="Times New Roman"/>
          <w:sz w:val="20"/>
          <w:szCs w:val="20"/>
          <w:lang w:eastAsia="en-US"/>
        </w:rPr>
        <w:t xml:space="preserve"> when one CORESET is </w:t>
      </w:r>
      <w:r w:rsidR="004D18D8">
        <w:rPr>
          <w:rFonts w:ascii="Times New Roman" w:hAnsi="Times New Roman" w:cs="Times New Roman"/>
          <w:sz w:val="20"/>
          <w:szCs w:val="20"/>
          <w:lang w:eastAsia="en-US"/>
        </w:rPr>
        <w:t xml:space="preserve">limited </w:t>
      </w:r>
      <w:r w:rsidR="00107197">
        <w:rPr>
          <w:rFonts w:ascii="Times New Roman" w:hAnsi="Times New Roman" w:cs="Times New Roman"/>
          <w:sz w:val="20"/>
          <w:szCs w:val="20"/>
          <w:lang w:eastAsia="en-US"/>
        </w:rPr>
        <w:t>within the LBT unit</w:t>
      </w:r>
      <w:r w:rsidR="00D661B0">
        <w:rPr>
          <w:rFonts w:ascii="Times New Roman" w:hAnsi="Times New Roman" w:cs="Times New Roman"/>
          <w:sz w:val="20"/>
          <w:szCs w:val="20"/>
          <w:lang w:eastAsia="en-US"/>
        </w:rPr>
        <w:t xml:space="preserve">. For example, if 120 kHz subcarrier spacing is used, the maximum aggregation level for </w:t>
      </w:r>
      <w:r w:rsidR="00F020A9">
        <w:rPr>
          <w:rFonts w:ascii="Times New Roman" w:hAnsi="Times New Roman" w:cs="Times New Roman"/>
          <w:sz w:val="20"/>
          <w:szCs w:val="20"/>
          <w:lang w:eastAsia="en-US"/>
        </w:rPr>
        <w:t xml:space="preserve">a </w:t>
      </w:r>
      <w:r w:rsidR="00D661B0">
        <w:rPr>
          <w:rFonts w:ascii="Times New Roman" w:hAnsi="Times New Roman" w:cs="Times New Roman"/>
          <w:sz w:val="20"/>
          <w:szCs w:val="20"/>
          <w:lang w:eastAsia="en-US"/>
        </w:rPr>
        <w:t xml:space="preserve">20 MHz CORESET </w:t>
      </w:r>
      <w:r w:rsidR="00F020A9">
        <w:rPr>
          <w:rFonts w:ascii="Times New Roman" w:hAnsi="Times New Roman" w:cs="Times New Roman"/>
          <w:sz w:val="20"/>
          <w:szCs w:val="20"/>
          <w:lang w:eastAsia="en-US"/>
        </w:rPr>
        <w:t xml:space="preserve">is 4. If higher aggregation level is needed, the CORESET bandwidth or duration </w:t>
      </w:r>
      <w:r w:rsidR="001D05CD">
        <w:rPr>
          <w:rFonts w:ascii="Times New Roman" w:hAnsi="Times New Roman" w:cs="Times New Roman"/>
          <w:sz w:val="20"/>
          <w:szCs w:val="20"/>
          <w:lang w:eastAsia="en-US"/>
        </w:rPr>
        <w:t>has to</w:t>
      </w:r>
      <w:r w:rsidR="00F020A9">
        <w:rPr>
          <w:rFonts w:ascii="Times New Roman" w:hAnsi="Times New Roman" w:cs="Times New Roman"/>
          <w:sz w:val="20"/>
          <w:szCs w:val="20"/>
          <w:lang w:eastAsia="en-US"/>
        </w:rPr>
        <w:t xml:space="preserve"> be expanded.  </w:t>
      </w:r>
      <w:r w:rsidR="00D661B0">
        <w:rPr>
          <w:rFonts w:ascii="Times New Roman" w:hAnsi="Times New Roman" w:cs="Times New Roman"/>
          <w:sz w:val="20"/>
          <w:szCs w:val="20"/>
          <w:lang w:eastAsia="en-US"/>
        </w:rPr>
        <w:t xml:space="preserve"> </w:t>
      </w:r>
    </w:p>
    <w:p w14:paraId="2EAFD256" w14:textId="790F1336" w:rsidR="004462C8" w:rsidRDefault="001D05CD"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Furthermore, </w:t>
      </w:r>
      <w:r w:rsidR="00750580">
        <w:rPr>
          <w:rFonts w:ascii="Times New Roman" w:hAnsi="Times New Roman" w:cs="Times New Roman"/>
          <w:sz w:val="20"/>
          <w:szCs w:val="20"/>
          <w:lang w:eastAsia="en-US"/>
        </w:rPr>
        <w:t xml:space="preserve">from the UE perspective, </w:t>
      </w:r>
      <w:r w:rsidR="00D661B0">
        <w:rPr>
          <w:rFonts w:ascii="Times New Roman" w:hAnsi="Times New Roman" w:cs="Times New Roman"/>
          <w:sz w:val="20"/>
          <w:szCs w:val="20"/>
          <w:lang w:eastAsia="en-US"/>
        </w:rPr>
        <w:t>UE has no idea which LBT unit(s) will be free before receiving any signalling from the gNB. Therefore, UE</w:t>
      </w:r>
      <w:r>
        <w:rPr>
          <w:rFonts w:ascii="Times New Roman" w:hAnsi="Times New Roman" w:cs="Times New Roman"/>
          <w:sz w:val="20"/>
          <w:szCs w:val="20"/>
          <w:lang w:eastAsia="en-US"/>
        </w:rPr>
        <w:t xml:space="preserve"> </w:t>
      </w:r>
      <w:r w:rsidR="0056299D">
        <w:rPr>
          <w:rFonts w:ascii="Times New Roman" w:hAnsi="Times New Roman" w:cs="Times New Roman"/>
          <w:sz w:val="20"/>
          <w:szCs w:val="20"/>
          <w:lang w:eastAsia="en-US"/>
        </w:rPr>
        <w:t xml:space="preserve">will be configured in which LBT unit(s) to monitor control information by RRC. If UE </w:t>
      </w:r>
      <w:r w:rsidR="0056299D">
        <w:rPr>
          <w:rFonts w:ascii="Times New Roman" w:hAnsi="Times New Roman" w:cs="Times New Roman"/>
          <w:sz w:val="20"/>
          <w:szCs w:val="20"/>
          <w:lang w:eastAsia="en-US"/>
        </w:rPr>
        <w:lastRenderedPageBreak/>
        <w:t xml:space="preserve">only monitors one LBT unit for PDCCH reception, the possibility to schedule UE becomes less. On the other hand, UE can be configured to monitor multiple LBT units. In such case, </w:t>
      </w:r>
      <w:r w:rsidR="00107197">
        <w:rPr>
          <w:rFonts w:ascii="Times New Roman" w:hAnsi="Times New Roman" w:cs="Times New Roman"/>
          <w:sz w:val="20"/>
          <w:szCs w:val="20"/>
          <w:lang w:eastAsia="en-US"/>
        </w:rPr>
        <w:t>the num</w:t>
      </w:r>
      <w:r w:rsidR="007A7495">
        <w:rPr>
          <w:rFonts w:ascii="Times New Roman" w:hAnsi="Times New Roman" w:cs="Times New Roman"/>
          <w:sz w:val="20"/>
          <w:szCs w:val="20"/>
          <w:lang w:eastAsia="en-US"/>
        </w:rPr>
        <w:t>ber of BDs may</w:t>
      </w:r>
      <w:r w:rsidR="00107197">
        <w:rPr>
          <w:rFonts w:ascii="Times New Roman" w:hAnsi="Times New Roman" w:cs="Times New Roman"/>
          <w:sz w:val="20"/>
          <w:szCs w:val="20"/>
          <w:lang w:eastAsia="en-US"/>
        </w:rPr>
        <w:t xml:space="preserve"> be insufficient and </w:t>
      </w:r>
      <w:r w:rsidR="0056299D">
        <w:rPr>
          <w:rFonts w:ascii="Times New Roman" w:hAnsi="Times New Roman" w:cs="Times New Roman"/>
          <w:sz w:val="20"/>
          <w:szCs w:val="20"/>
          <w:lang w:eastAsia="en-US"/>
        </w:rPr>
        <w:t xml:space="preserve">UE power consumption may be wasted if only a subset of LBT units monitored by the UE are successfully acquired by the gNB. </w:t>
      </w:r>
      <w:r w:rsidR="00D661B0">
        <w:rPr>
          <w:rFonts w:ascii="Times New Roman" w:hAnsi="Times New Roman" w:cs="Times New Roman"/>
          <w:sz w:val="20"/>
          <w:szCs w:val="20"/>
          <w:lang w:eastAsia="en-US"/>
        </w:rPr>
        <w:t xml:space="preserve"> </w:t>
      </w:r>
      <w:r w:rsidR="00750580">
        <w:rPr>
          <w:rFonts w:ascii="Times New Roman" w:hAnsi="Times New Roman" w:cs="Times New Roman"/>
          <w:sz w:val="20"/>
          <w:szCs w:val="20"/>
          <w:lang w:eastAsia="en-US"/>
        </w:rPr>
        <w:t xml:space="preserve"> </w:t>
      </w:r>
    </w:p>
    <w:p w14:paraId="30ED559D" w14:textId="4A438126" w:rsidR="00362DE3" w:rsidRDefault="0056299D" w:rsidP="009B19F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107197">
        <w:rPr>
          <w:rFonts w:ascii="Times New Roman" w:hAnsi="Times New Roman" w:cs="Times New Roman"/>
          <w:b/>
          <w:sz w:val="20"/>
          <w:szCs w:val="20"/>
          <w:lang w:eastAsia="en-US"/>
        </w:rPr>
        <w:t>3</w:t>
      </w:r>
      <w:r>
        <w:rPr>
          <w:rFonts w:ascii="Times New Roman" w:hAnsi="Times New Roman" w:cs="Times New Roman"/>
          <w:b/>
          <w:sz w:val="20"/>
          <w:szCs w:val="20"/>
          <w:lang w:eastAsia="en-US"/>
        </w:rPr>
        <w:t>: Method to allow UE to skip some CORESET monitoring based on the LBT outcome should be studied</w:t>
      </w:r>
      <w:r>
        <w:rPr>
          <w:rFonts w:ascii="Times New Roman" w:hAnsi="Times New Roman" w:cs="Times New Roman"/>
          <w:sz w:val="20"/>
          <w:szCs w:val="20"/>
          <w:lang w:eastAsia="en-US"/>
        </w:rPr>
        <w:t xml:space="preserve">. </w:t>
      </w:r>
    </w:p>
    <w:bookmarkEnd w:id="2"/>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06253D12" w14:textId="1D136549" w:rsidR="003408A5" w:rsidRDefault="003408A5" w:rsidP="003408A5">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1: Both carrier aggregation and single carrier wideband operations should be supported in NR-U.</w:t>
      </w:r>
    </w:p>
    <w:p w14:paraId="0C217585" w14:textId="462B3B2B" w:rsidR="004D18D8" w:rsidRPr="00C43C3B" w:rsidRDefault="004D18D8" w:rsidP="003408A5">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2: gNB should be allowed to prepare </w:t>
      </w:r>
      <w:r w:rsidRPr="006523F3">
        <w:rPr>
          <w:rFonts w:ascii="Times New Roman" w:hAnsi="Times New Roman" w:cs="Times New Roman"/>
          <w:b/>
          <w:sz w:val="20"/>
          <w:szCs w:val="20"/>
          <w:lang w:eastAsia="en-US"/>
        </w:rPr>
        <w:t>the PDCCH/PDSCH</w:t>
      </w:r>
      <w:r>
        <w:rPr>
          <w:rFonts w:ascii="Times New Roman" w:hAnsi="Times New Roman" w:cs="Times New Roman"/>
          <w:b/>
          <w:sz w:val="20"/>
          <w:szCs w:val="20"/>
          <w:lang w:eastAsia="en-US"/>
        </w:rPr>
        <w:t xml:space="preserve"> before knowing the LBT outcome even for single wideband carrier operation.</w:t>
      </w:r>
    </w:p>
    <w:p w14:paraId="580EF8EB" w14:textId="5FC91EBC" w:rsidR="003408A5" w:rsidRDefault="003408A5" w:rsidP="003408A5">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 xml:space="preserve">Proposal </w:t>
      </w:r>
      <w:r w:rsidR="004D18D8">
        <w:rPr>
          <w:rFonts w:ascii="Times New Roman" w:hAnsi="Times New Roman" w:cs="Times New Roman"/>
          <w:b/>
          <w:sz w:val="20"/>
          <w:szCs w:val="20"/>
          <w:lang w:eastAsia="en-US"/>
        </w:rPr>
        <w:t>3</w:t>
      </w:r>
      <w:r>
        <w:rPr>
          <w:rFonts w:ascii="Times New Roman" w:hAnsi="Times New Roman" w:cs="Times New Roman"/>
          <w:b/>
          <w:sz w:val="20"/>
          <w:szCs w:val="20"/>
          <w:lang w:eastAsia="en-US"/>
        </w:rPr>
        <w:t>: Method to allow UE to skip some CORESET monitoring based on the LBT outcome should be studied</w:t>
      </w:r>
      <w:r>
        <w:rPr>
          <w:rFonts w:ascii="Times New Roman" w:hAnsi="Times New Roman" w:cs="Times New Roman"/>
          <w:sz w:val="20"/>
          <w:szCs w:val="20"/>
          <w:lang w:eastAsia="en-US"/>
        </w:rPr>
        <w:t xml:space="preserve">. </w:t>
      </w:r>
    </w:p>
    <w:p w14:paraId="31B16C63" w14:textId="3BE10729"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59C7A6" w14:textId="77777777" w:rsidR="00C317A7" w:rsidRDefault="00C317A7">
      <w:r>
        <w:separator/>
      </w:r>
    </w:p>
  </w:endnote>
  <w:endnote w:type="continuationSeparator" w:id="0">
    <w:p w14:paraId="22524809" w14:textId="77777777" w:rsidR="00C317A7" w:rsidRDefault="00C317A7">
      <w:r>
        <w:continuationSeparator/>
      </w:r>
    </w:p>
  </w:endnote>
  <w:endnote w:type="continuationNotice" w:id="1">
    <w:p w14:paraId="7434F6DA" w14:textId="77777777" w:rsidR="00C317A7" w:rsidRDefault="00C31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C9DDEF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14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147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B3EB9" w14:textId="77777777" w:rsidR="00C317A7" w:rsidRDefault="00C317A7">
      <w:r>
        <w:separator/>
      </w:r>
    </w:p>
  </w:footnote>
  <w:footnote w:type="continuationSeparator" w:id="0">
    <w:p w14:paraId="753AA99B" w14:textId="77777777" w:rsidR="00C317A7" w:rsidRDefault="00C317A7">
      <w:r>
        <w:continuationSeparator/>
      </w:r>
    </w:p>
  </w:footnote>
  <w:footnote w:type="continuationNotice" w:id="1">
    <w:p w14:paraId="44D0EEE2" w14:textId="77777777" w:rsidR="00C317A7" w:rsidRDefault="00C317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6"/>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9"/>
  </w:num>
  <w:num w:numId="32">
    <w:abstractNumId w:val="6"/>
  </w:num>
  <w:num w:numId="33">
    <w:abstractNumId w:val="7"/>
  </w:num>
  <w:num w:numId="34">
    <w:abstractNumId w:val="28"/>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 w:numId="41">
    <w:abstractNumId w:val="13"/>
  </w:num>
  <w:num w:numId="42">
    <w:abstractNumId w:val="13"/>
  </w:num>
  <w:num w:numId="43">
    <w:abstractNumId w:val="13"/>
  </w:num>
  <w:num w:numId="44">
    <w:abstractNumId w:val="25"/>
  </w:num>
  <w:num w:numId="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9C"/>
    <w:rsid w:val="00027939"/>
    <w:rsid w:val="000302D0"/>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165A"/>
    <w:rsid w:val="000C2E19"/>
    <w:rsid w:val="000C302A"/>
    <w:rsid w:val="000C3084"/>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ED0"/>
    <w:rsid w:val="00137F0B"/>
    <w:rsid w:val="001406B8"/>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DA8"/>
    <w:rsid w:val="00215423"/>
    <w:rsid w:val="002158FA"/>
    <w:rsid w:val="00216564"/>
    <w:rsid w:val="00216EB1"/>
    <w:rsid w:val="002202E1"/>
    <w:rsid w:val="00220600"/>
    <w:rsid w:val="00221997"/>
    <w:rsid w:val="002224DB"/>
    <w:rsid w:val="00222DEF"/>
    <w:rsid w:val="00223FCB"/>
    <w:rsid w:val="002252C3"/>
    <w:rsid w:val="00225C54"/>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5858"/>
    <w:rsid w:val="00335A88"/>
    <w:rsid w:val="0033621A"/>
    <w:rsid w:val="00336BDA"/>
    <w:rsid w:val="0034033C"/>
    <w:rsid w:val="003408A5"/>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E2C"/>
    <w:rsid w:val="003E10E7"/>
    <w:rsid w:val="003E15FA"/>
    <w:rsid w:val="003E3CA5"/>
    <w:rsid w:val="003E45F5"/>
    <w:rsid w:val="003E4EAD"/>
    <w:rsid w:val="003E55E4"/>
    <w:rsid w:val="003E5613"/>
    <w:rsid w:val="003E6588"/>
    <w:rsid w:val="003E74E3"/>
    <w:rsid w:val="003E75BA"/>
    <w:rsid w:val="003F05C7"/>
    <w:rsid w:val="003F1D11"/>
    <w:rsid w:val="003F1D35"/>
    <w:rsid w:val="003F2CD4"/>
    <w:rsid w:val="003F38B8"/>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ACB"/>
    <w:rsid w:val="004B7C0C"/>
    <w:rsid w:val="004C01C8"/>
    <w:rsid w:val="004C2328"/>
    <w:rsid w:val="004C3898"/>
    <w:rsid w:val="004C54C2"/>
    <w:rsid w:val="004C6EDD"/>
    <w:rsid w:val="004D18D8"/>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31534"/>
    <w:rsid w:val="00531CAC"/>
    <w:rsid w:val="00531F1D"/>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36E8"/>
    <w:rsid w:val="00572505"/>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B35D7"/>
    <w:rsid w:val="005B392A"/>
    <w:rsid w:val="005B3AA3"/>
    <w:rsid w:val="005B41BD"/>
    <w:rsid w:val="005B4E16"/>
    <w:rsid w:val="005B6F83"/>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3F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753"/>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A7495"/>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765F"/>
    <w:rsid w:val="008376AC"/>
    <w:rsid w:val="0084116C"/>
    <w:rsid w:val="00841CB3"/>
    <w:rsid w:val="008444E8"/>
    <w:rsid w:val="00844E80"/>
    <w:rsid w:val="00846834"/>
    <w:rsid w:val="00846FE7"/>
    <w:rsid w:val="00847403"/>
    <w:rsid w:val="00847FC4"/>
    <w:rsid w:val="008504A2"/>
    <w:rsid w:val="00850CEC"/>
    <w:rsid w:val="00850E9E"/>
    <w:rsid w:val="0085247B"/>
    <w:rsid w:val="00854B3A"/>
    <w:rsid w:val="00856911"/>
    <w:rsid w:val="00860458"/>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25DF"/>
    <w:rsid w:val="008E3445"/>
    <w:rsid w:val="008E6DB3"/>
    <w:rsid w:val="008E76FD"/>
    <w:rsid w:val="008F0B25"/>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68A"/>
    <w:rsid w:val="00AC49FB"/>
    <w:rsid w:val="00AC5A10"/>
    <w:rsid w:val="00AC6D53"/>
    <w:rsid w:val="00AD0348"/>
    <w:rsid w:val="00AD0AA3"/>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3B6"/>
    <w:rsid w:val="00AF5CB5"/>
    <w:rsid w:val="00B0035B"/>
    <w:rsid w:val="00B00379"/>
    <w:rsid w:val="00B006FE"/>
    <w:rsid w:val="00B007CB"/>
    <w:rsid w:val="00B010BF"/>
    <w:rsid w:val="00B02AA9"/>
    <w:rsid w:val="00B02FA3"/>
    <w:rsid w:val="00B03C4C"/>
    <w:rsid w:val="00B05084"/>
    <w:rsid w:val="00B05BA5"/>
    <w:rsid w:val="00B0611B"/>
    <w:rsid w:val="00B10B32"/>
    <w:rsid w:val="00B136CA"/>
    <w:rsid w:val="00B157F9"/>
    <w:rsid w:val="00B167F1"/>
    <w:rsid w:val="00B20256"/>
    <w:rsid w:val="00B20D09"/>
    <w:rsid w:val="00B211B2"/>
    <w:rsid w:val="00B21BE8"/>
    <w:rsid w:val="00B2763F"/>
    <w:rsid w:val="00B27AAC"/>
    <w:rsid w:val="00B30929"/>
    <w:rsid w:val="00B31239"/>
    <w:rsid w:val="00B34AC3"/>
    <w:rsid w:val="00B372AA"/>
    <w:rsid w:val="00B40445"/>
    <w:rsid w:val="00B40ECB"/>
    <w:rsid w:val="00B413D6"/>
    <w:rsid w:val="00B41888"/>
    <w:rsid w:val="00B41DF0"/>
    <w:rsid w:val="00B425F8"/>
    <w:rsid w:val="00B42BDB"/>
    <w:rsid w:val="00B43407"/>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52AA"/>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C762C"/>
    <w:rsid w:val="00BD48AC"/>
    <w:rsid w:val="00BD5F1A"/>
    <w:rsid w:val="00BE00AA"/>
    <w:rsid w:val="00BE0792"/>
    <w:rsid w:val="00BE1234"/>
    <w:rsid w:val="00BE2FA6"/>
    <w:rsid w:val="00BE32F5"/>
    <w:rsid w:val="00BE333F"/>
    <w:rsid w:val="00BE7406"/>
    <w:rsid w:val="00BE7603"/>
    <w:rsid w:val="00BF058E"/>
    <w:rsid w:val="00BF0B1D"/>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9CB"/>
    <w:rsid w:val="00C75D2F"/>
    <w:rsid w:val="00C767BE"/>
    <w:rsid w:val="00C76963"/>
    <w:rsid w:val="00C76E3C"/>
    <w:rsid w:val="00C76E76"/>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61FB"/>
    <w:rsid w:val="00CA6CFD"/>
    <w:rsid w:val="00CA7170"/>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E032F"/>
    <w:rsid w:val="00CE0424"/>
    <w:rsid w:val="00CE077B"/>
    <w:rsid w:val="00CE2300"/>
    <w:rsid w:val="00CE3DF2"/>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1F71"/>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21E1"/>
    <w:rsid w:val="00DC2396"/>
    <w:rsid w:val="00DC2D36"/>
    <w:rsid w:val="00DC33E4"/>
    <w:rsid w:val="00DC3DD8"/>
    <w:rsid w:val="00DC53EF"/>
    <w:rsid w:val="00DC6D71"/>
    <w:rsid w:val="00DC7FEA"/>
    <w:rsid w:val="00DD1F9F"/>
    <w:rsid w:val="00DD7867"/>
    <w:rsid w:val="00DE3A33"/>
    <w:rsid w:val="00DE5608"/>
    <w:rsid w:val="00DE58D0"/>
    <w:rsid w:val="00DE654F"/>
    <w:rsid w:val="00DF0B6E"/>
    <w:rsid w:val="00DF15E0"/>
    <w:rsid w:val="00DF20A7"/>
    <w:rsid w:val="00DF37A0"/>
    <w:rsid w:val="00DF5C56"/>
    <w:rsid w:val="00E008FB"/>
    <w:rsid w:val="00E009BE"/>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2EFC"/>
    <w:rsid w:val="00E758EC"/>
    <w:rsid w:val="00E76569"/>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20A9"/>
    <w:rsid w:val="00F03E8C"/>
    <w:rsid w:val="00F0528D"/>
    <w:rsid w:val="00F06C67"/>
    <w:rsid w:val="00F06DFD"/>
    <w:rsid w:val="00F071D1"/>
    <w:rsid w:val="00F07533"/>
    <w:rsid w:val="00F100FF"/>
    <w:rsid w:val="00F10629"/>
    <w:rsid w:val="00F15FA5"/>
    <w:rsid w:val="00F1625B"/>
    <w:rsid w:val="00F209B7"/>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6734"/>
    <w:rsid w:val="00F56AB5"/>
    <w:rsid w:val="00F607C5"/>
    <w:rsid w:val="00F60931"/>
    <w:rsid w:val="00F60DEA"/>
    <w:rsid w:val="00F61E9C"/>
    <w:rsid w:val="00F62119"/>
    <w:rsid w:val="00F6302A"/>
    <w:rsid w:val="00F64295"/>
    <w:rsid w:val="00F64C2B"/>
    <w:rsid w:val="00F651BE"/>
    <w:rsid w:val="00F65DAC"/>
    <w:rsid w:val="00F668D2"/>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2583"/>
    <w:rsid w:val="00FB3D52"/>
    <w:rsid w:val="00FB46E6"/>
    <w:rsid w:val="00FB4C80"/>
    <w:rsid w:val="00FB6A6A"/>
    <w:rsid w:val="00FB6ACF"/>
    <w:rsid w:val="00FC0206"/>
    <w:rsid w:val="00FC076D"/>
    <w:rsid w:val="00FC4767"/>
    <w:rsid w:val="00FC4AD0"/>
    <w:rsid w:val="00FC7429"/>
    <w:rsid w:val="00FD07F6"/>
    <w:rsid w:val="00FD14F7"/>
    <w:rsid w:val="00FD1D12"/>
    <w:rsid w:val="00FD1EC8"/>
    <w:rsid w:val="00FD20E5"/>
    <w:rsid w:val="00FD21A9"/>
    <w:rsid w:val="00FD3FB3"/>
    <w:rsid w:val="00FD434C"/>
    <w:rsid w:val="00FD47ED"/>
    <w:rsid w:val="00FD74DB"/>
    <w:rsid w:val="00FD7660"/>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47F"/>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A14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47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4"/>
      </w:numPr>
      <w:spacing w:after="0"/>
    </w:pPr>
    <w:rPr>
      <w:szCs w:val="24"/>
    </w:rPr>
  </w:style>
  <w:style w:type="paragraph" w:customStyle="1" w:styleId="bullet2">
    <w:name w:val="bullet2"/>
    <w:basedOn w:val="text"/>
    <w:link w:val="bullet2Char"/>
    <w:qFormat/>
    <w:rsid w:val="00305D11"/>
    <w:pPr>
      <w:numPr>
        <w:ilvl w:val="1"/>
        <w:numId w:val="44"/>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44"/>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44"/>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7789c8df-cd92-43c1-8a83-195dbc0f0a0a"/>
    <ds:schemaRef ds:uri="http://purl.org/dc/terms/"/>
    <ds:schemaRef ds:uri="http://schemas.microsoft.com/sharepoint/v4"/>
    <ds:schemaRef ds:uri="http://schemas.openxmlformats.org/package/2006/metadata/core-properties"/>
    <ds:schemaRef ds:uri="08b2df90-05d3-4030-90d4-c9feeb4a1cd9"/>
    <ds:schemaRef ds:uri="http://www.w3.org/XML/1998/namespace"/>
  </ds:schemaRefs>
</ds:datastoreItem>
</file>

<file path=customXml/itemProps6.xml><?xml version="1.0" encoding="utf-8"?>
<ds:datastoreItem xmlns:ds="http://schemas.openxmlformats.org/officeDocument/2006/customXml" ds:itemID="{E36D5CEC-2AAA-4970-96A1-271B1B65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2</cp:revision>
  <cp:lastPrinted>2008-01-31T06:09:00Z</cp:lastPrinted>
  <dcterms:created xsi:type="dcterms:W3CDTF">2018-08-10T07:24:00Z</dcterms:created>
  <dcterms:modified xsi:type="dcterms:W3CDTF">2018-08-10T07:24:00Z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