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11A0A4E5"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E01F3E">
        <w:rPr>
          <w:rFonts w:cs="Arial"/>
          <w:bCs/>
          <w:sz w:val="20"/>
          <w:lang w:eastAsia="ja-JP"/>
        </w:rPr>
        <w:t>3</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254F65" w:rsidRPr="00254F65">
        <w:rPr>
          <w:rFonts w:cs="Arial"/>
          <w:bCs/>
          <w:sz w:val="20"/>
          <w:lang w:eastAsia="ja-JP"/>
        </w:rPr>
        <w:t>R1-1808872</w:t>
      </w:r>
    </w:p>
    <w:p w14:paraId="1B7D766E" w14:textId="54356381" w:rsidR="003B3942" w:rsidRPr="003B3942" w:rsidRDefault="00A10A1E" w:rsidP="003B3942">
      <w:pPr>
        <w:pStyle w:val="TdocHeader2"/>
        <w:jc w:val="left"/>
        <w:rPr>
          <w:rFonts w:eastAsia="SimSun"/>
          <w:lang w:val="en-US" w:eastAsia="zh-CN"/>
        </w:rPr>
      </w:pPr>
      <w:r w:rsidRPr="00A10A1E">
        <w:rPr>
          <w:rFonts w:eastAsia="ＭＳ 明朝" w:cs="Arial"/>
          <w:bCs/>
          <w:sz w:val="20"/>
          <w:lang w:val="en-US" w:eastAsia="ja-JP"/>
        </w:rPr>
        <w:t>Gothenburg, Sweden, August 20th – 24th, 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B39D9CA"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2871" w:rsidRPr="009E2871">
        <w:rPr>
          <w:rFonts w:eastAsiaTheme="minorEastAsia"/>
          <w:b w:val="0"/>
          <w:sz w:val="20"/>
          <w:lang w:eastAsia="ja-JP"/>
        </w:rPr>
        <w:t xml:space="preserve">Maintenance for NR-LTE co-existence </w:t>
      </w:r>
    </w:p>
    <w:p w14:paraId="4F6A3FAC" w14:textId="58113522"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9E2871">
        <w:rPr>
          <w:rFonts w:ascii="Arial" w:eastAsia="SimSun" w:hAnsi="Arial"/>
          <w:lang w:eastAsia="zh-CN"/>
        </w:rPr>
        <w:t>4</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728C1DD" w14:textId="25634D29" w:rsidR="009034C9" w:rsidRPr="009034C9" w:rsidRDefault="003659B5" w:rsidP="00F653F7">
      <w:pPr>
        <w:rPr>
          <w:rFonts w:eastAsia="SimSun" w:cs="Arial"/>
          <w:lang w:eastAsia="zh-CN"/>
        </w:rPr>
      </w:pPr>
      <w:r>
        <w:rPr>
          <w:rFonts w:eastAsia="SimSun" w:cs="Arial"/>
          <w:lang w:eastAsia="zh-CN"/>
        </w:rPr>
        <w:t xml:space="preserve">In </w:t>
      </w:r>
      <w:r w:rsidRPr="003659B5">
        <w:rPr>
          <w:rFonts w:eastAsia="SimSun" w:cs="Arial"/>
          <w:lang w:eastAsia="zh-CN"/>
        </w:rPr>
        <w:t>[93-NR-01]</w:t>
      </w:r>
      <w:r>
        <w:rPr>
          <w:rFonts w:eastAsia="SimSun" w:cs="Arial"/>
          <w:lang w:eastAsia="zh-CN"/>
        </w:rPr>
        <w:t xml:space="preserve">, LS response </w:t>
      </w:r>
      <w:r w:rsidR="00225D3E">
        <w:rPr>
          <w:rFonts w:eastAsia="SimSun" w:cs="Arial"/>
          <w:lang w:eastAsia="zh-CN"/>
        </w:rPr>
        <w:t xml:space="preserve">on </w:t>
      </w:r>
      <w:r w:rsidRPr="003659B5">
        <w:rPr>
          <w:rFonts w:eastAsia="SimSun" w:cs="Arial"/>
          <w:lang w:eastAsia="zh-CN"/>
        </w:rPr>
        <w:t>RAN4 agreement on intraband EN-DC A-MPR</w:t>
      </w:r>
      <w:r w:rsidR="00225D3E">
        <w:rPr>
          <w:rFonts w:eastAsia="SimSun" w:cs="Arial"/>
          <w:lang w:eastAsia="zh-CN"/>
        </w:rPr>
        <w:t xml:space="preserve"> was </w:t>
      </w:r>
      <w:r w:rsidR="002C5971">
        <w:rPr>
          <w:rFonts w:eastAsia="SimSun" w:cs="Arial"/>
          <w:lang w:eastAsia="zh-CN"/>
        </w:rPr>
        <w:t xml:space="preserve">discussed and corresponding summary[1] and LS[2] were agreed. This document </w:t>
      </w:r>
      <w:r w:rsidR="00A34FDD">
        <w:rPr>
          <w:rFonts w:eastAsia="SimSun" w:cs="Arial"/>
          <w:lang w:eastAsia="zh-CN"/>
        </w:rPr>
        <w:t>discusses</w:t>
      </w:r>
      <w:r w:rsidR="002C5971">
        <w:rPr>
          <w:rFonts w:eastAsia="SimSun" w:cs="Arial"/>
          <w:lang w:eastAsia="zh-CN"/>
        </w:rPr>
        <w:t xml:space="preserve"> topics identified in th</w:t>
      </w:r>
      <w:r w:rsidR="004D0459">
        <w:rPr>
          <w:rFonts w:eastAsia="SimSun" w:cs="Arial"/>
          <w:lang w:eastAsia="zh-CN"/>
        </w:rPr>
        <w:t>e</w:t>
      </w:r>
      <w:r w:rsidR="002C5971">
        <w:rPr>
          <w:rFonts w:eastAsia="SimSun" w:cs="Arial"/>
          <w:lang w:eastAsia="zh-CN"/>
        </w:rPr>
        <w:t xml:space="preserve"> email discussion.</w:t>
      </w:r>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5FDA9420" w14:textId="0AE11D16" w:rsidR="00CF1C82" w:rsidRPr="00BF3AA7" w:rsidRDefault="00BA4E5D" w:rsidP="00CF1C82">
      <w:pPr>
        <w:rPr>
          <w:b/>
          <w:u w:val="single"/>
          <w:lang w:eastAsia="ja-JP"/>
        </w:rPr>
      </w:pPr>
      <w:r>
        <w:rPr>
          <w:b/>
          <w:u w:val="single"/>
          <w:lang w:eastAsia="ja-JP"/>
        </w:rPr>
        <w:t>MPR calculation of LTE</w:t>
      </w:r>
      <w:r w:rsidR="002B5A41">
        <w:rPr>
          <w:b/>
          <w:u w:val="single"/>
          <w:lang w:eastAsia="ja-JP"/>
        </w:rPr>
        <w:t xml:space="preserve"> </w:t>
      </w:r>
    </w:p>
    <w:p w14:paraId="0A659F9C" w14:textId="5EDCCA04" w:rsidR="00497EFA" w:rsidRDefault="00497EFA" w:rsidP="00F27F3F">
      <w:pPr>
        <w:rPr>
          <w:lang w:eastAsia="ja-JP"/>
        </w:rPr>
      </w:pPr>
      <w:r>
        <w:rPr>
          <w:rFonts w:hint="eastAsia"/>
          <w:lang w:eastAsia="ja-JP"/>
        </w:rPr>
        <w:t xml:space="preserve">According to LS </w:t>
      </w:r>
      <w:r>
        <w:rPr>
          <w:lang w:eastAsia="ja-JP"/>
        </w:rPr>
        <w:t xml:space="preserve">discussion [1][2], at least in the following cases, </w:t>
      </w:r>
      <w:r w:rsidRPr="00497EFA">
        <w:rPr>
          <w:lang w:eastAsia="ja-JP"/>
        </w:rPr>
        <w:t>the calculation of transmission power for LTE cannot take into account both the presence and RB allocation(s) of simultaneous NR transmission(s), at least in the following cases:</w:t>
      </w:r>
    </w:p>
    <w:p w14:paraId="21820571" w14:textId="77777777" w:rsidR="00497EFA" w:rsidRDefault="00497EFA" w:rsidP="00497EFA">
      <w:pPr>
        <w:pStyle w:val="aff3"/>
        <w:numPr>
          <w:ilvl w:val="0"/>
          <w:numId w:val="30"/>
        </w:numPr>
        <w:overflowPunct w:val="0"/>
        <w:autoSpaceDE w:val="0"/>
        <w:autoSpaceDN w:val="0"/>
        <w:adjustRightInd w:val="0"/>
        <w:ind w:leftChars="0"/>
        <w:contextualSpacing/>
        <w:rPr>
          <w:szCs w:val="22"/>
        </w:rPr>
      </w:pPr>
      <w:r>
        <w:rPr>
          <w:szCs w:val="22"/>
        </w:rPr>
        <w:t>when the NR grant is less than 4ms in advance</w:t>
      </w:r>
    </w:p>
    <w:p w14:paraId="14179240" w14:textId="77777777" w:rsidR="00497EFA" w:rsidRDefault="00497EFA" w:rsidP="00497EFA">
      <w:pPr>
        <w:pStyle w:val="aff3"/>
        <w:numPr>
          <w:ilvl w:val="0"/>
          <w:numId w:val="30"/>
        </w:numPr>
        <w:overflowPunct w:val="0"/>
        <w:autoSpaceDE w:val="0"/>
        <w:autoSpaceDN w:val="0"/>
        <w:adjustRightInd w:val="0"/>
        <w:ind w:leftChars="0"/>
        <w:contextualSpacing/>
        <w:rPr>
          <w:szCs w:val="22"/>
        </w:rPr>
      </w:pPr>
      <w:r>
        <w:rPr>
          <w:szCs w:val="22"/>
        </w:rPr>
        <w:t>when the overlapping NR transmission incudes HARQ ACK/NAK corresponding to DL grant(s) less than 4ms in advance</w:t>
      </w:r>
    </w:p>
    <w:p w14:paraId="67525EB0" w14:textId="77777777" w:rsidR="00497EFA" w:rsidRDefault="00497EFA" w:rsidP="00497EFA">
      <w:pPr>
        <w:pStyle w:val="aff3"/>
        <w:numPr>
          <w:ilvl w:val="0"/>
          <w:numId w:val="30"/>
        </w:numPr>
        <w:overflowPunct w:val="0"/>
        <w:autoSpaceDE w:val="0"/>
        <w:autoSpaceDN w:val="0"/>
        <w:adjustRightInd w:val="0"/>
        <w:ind w:leftChars="0"/>
        <w:contextualSpacing/>
        <w:rPr>
          <w:szCs w:val="22"/>
        </w:rPr>
      </w:pPr>
      <w:bookmarkStart w:id="0" w:name="_Hlk519504583"/>
      <w:r>
        <w:rPr>
          <w:szCs w:val="22"/>
        </w:rPr>
        <w:t>when either NR uses PUSCH mapping Type B or LTE and NR use different numerologies</w:t>
      </w:r>
      <w:bookmarkEnd w:id="0"/>
      <w:r>
        <w:rPr>
          <w:szCs w:val="22"/>
        </w:rPr>
        <w:t>, or both, so multiple NR transmissions overlap with a single LTE subframe and those NR transmissions cannot be scheduled in the same DL control monitoring occasion 4ms earlier (in which case, in order to meet the LTE 4ms processing time, some NR grants may have to be even more than 4ms in advance).</w:t>
      </w:r>
    </w:p>
    <w:p w14:paraId="573EF30A" w14:textId="7E70874A" w:rsidR="00497EFA" w:rsidRDefault="00497EFA" w:rsidP="00F27F3F">
      <w:pPr>
        <w:rPr>
          <w:lang w:eastAsia="ja-JP"/>
        </w:rPr>
      </w:pPr>
      <w:r>
        <w:rPr>
          <w:rFonts w:hint="eastAsia"/>
          <w:lang w:eastAsia="ja-JP"/>
        </w:rPr>
        <w:t xml:space="preserve">Therefore, </w:t>
      </w:r>
      <w:bookmarkStart w:id="1" w:name="_GoBack"/>
      <w:bookmarkEnd w:id="1"/>
      <w:r>
        <w:rPr>
          <w:lang w:eastAsia="ja-JP"/>
        </w:rPr>
        <w:t>what LTE assumption on MPR needs to be clarified</w:t>
      </w:r>
      <w:r w:rsidR="0055731A">
        <w:rPr>
          <w:lang w:eastAsia="ja-JP"/>
        </w:rPr>
        <w:t xml:space="preserve"> when </w:t>
      </w:r>
      <w:r w:rsidR="0055731A" w:rsidRPr="00497EFA">
        <w:rPr>
          <w:lang w:eastAsia="ja-JP"/>
        </w:rPr>
        <w:t>the calculation of transmission power for LTE cannot take into account both the presence and RB allocation(s) of simultaneous NR transmission(s)</w:t>
      </w:r>
      <w:r>
        <w:rPr>
          <w:lang w:eastAsia="ja-JP"/>
        </w:rPr>
        <w:t>. We identified following options.</w:t>
      </w:r>
    </w:p>
    <w:p w14:paraId="21043C9B" w14:textId="3E031918" w:rsidR="00497EFA" w:rsidRDefault="00497EFA" w:rsidP="006979C6">
      <w:pPr>
        <w:ind w:leftChars="200" w:left="400"/>
        <w:rPr>
          <w:lang w:eastAsia="ja-JP"/>
        </w:rPr>
      </w:pPr>
      <w:r>
        <w:rPr>
          <w:lang w:eastAsia="ja-JP"/>
        </w:rPr>
        <w:t>Option 1: LTE assume</w:t>
      </w:r>
      <w:r w:rsidR="0047561D">
        <w:rPr>
          <w:lang w:eastAsia="ja-JP"/>
        </w:rPr>
        <w:t>s</w:t>
      </w:r>
      <w:r>
        <w:rPr>
          <w:lang w:eastAsia="ja-JP"/>
        </w:rPr>
        <w:t xml:space="preserve"> no transmissi</w:t>
      </w:r>
      <w:r w:rsidR="00F1567D">
        <w:rPr>
          <w:lang w:eastAsia="ja-JP"/>
        </w:rPr>
        <w:t xml:space="preserve">on of NR when to calculate MPR of LTE transmission. NR transmission is allowed within the remaining power and within to satisfy </w:t>
      </w:r>
      <w:r w:rsidR="00F1567D" w:rsidRPr="00F1567D">
        <w:rPr>
          <w:lang w:eastAsia="ja-JP"/>
        </w:rPr>
        <w:t>emission requirements</w:t>
      </w:r>
      <w:r w:rsidR="00F1567D">
        <w:rPr>
          <w:lang w:eastAsia="ja-JP"/>
        </w:rPr>
        <w:t>.</w:t>
      </w:r>
    </w:p>
    <w:p w14:paraId="576A7E2B" w14:textId="01DFCB24" w:rsidR="00F1567D" w:rsidRDefault="00F1567D" w:rsidP="006979C6">
      <w:pPr>
        <w:ind w:leftChars="200" w:left="400"/>
        <w:rPr>
          <w:lang w:eastAsia="ja-JP"/>
        </w:rPr>
      </w:pPr>
      <w:r>
        <w:rPr>
          <w:lang w:eastAsia="ja-JP"/>
        </w:rPr>
        <w:t>Option 2: LTE assumes the transmission of NR when to calculate MPR of LTE transmission.</w:t>
      </w:r>
      <w:r w:rsidR="006979C6">
        <w:rPr>
          <w:lang w:eastAsia="ja-JP"/>
        </w:rPr>
        <w:t xml:space="preserve"> For the calculation of LTE MPR, equal PSD between NR and LTE are assumed</w:t>
      </w:r>
      <w:r w:rsidR="00251A8E">
        <w:rPr>
          <w:lang w:eastAsia="ja-JP"/>
        </w:rPr>
        <w:t xml:space="preserve">. Certain (a kind of virtual) </w:t>
      </w:r>
      <w:r w:rsidR="006979C6">
        <w:rPr>
          <w:lang w:eastAsia="ja-JP"/>
        </w:rPr>
        <w:t>resource allocation of NR is</w:t>
      </w:r>
      <w:r w:rsidR="00251A8E">
        <w:rPr>
          <w:lang w:eastAsia="ja-JP"/>
        </w:rPr>
        <w:t xml:space="preserve"> assumed. For example,</w:t>
      </w:r>
      <w:r w:rsidR="006979C6">
        <w:rPr>
          <w:lang w:eastAsia="ja-JP"/>
        </w:rPr>
        <w:t xml:space="preserve"> mirrored </w:t>
      </w:r>
      <w:r w:rsidR="0047561D">
        <w:rPr>
          <w:lang w:eastAsia="ja-JP"/>
        </w:rPr>
        <w:t xml:space="preserve">NR transmission related to </w:t>
      </w:r>
      <w:r w:rsidR="006979C6">
        <w:rPr>
          <w:lang w:eastAsia="ja-JP"/>
        </w:rPr>
        <w:t>the centre frequency.</w:t>
      </w:r>
    </w:p>
    <w:p w14:paraId="5F618A1A" w14:textId="0180E798" w:rsidR="006979C6" w:rsidRDefault="006979C6" w:rsidP="006979C6">
      <w:pPr>
        <w:ind w:leftChars="200" w:left="400"/>
        <w:rPr>
          <w:lang w:eastAsia="ja-JP"/>
        </w:rPr>
      </w:pPr>
      <w:r>
        <w:rPr>
          <w:lang w:eastAsia="ja-JP"/>
        </w:rPr>
        <w:t>Option 3: LTE assumes the transmission of NR when to calculate MPR of LTE transmission. For the calculation of LTE MPR, the maximum MPR value is assumed</w:t>
      </w:r>
      <w:r w:rsidR="00323C80">
        <w:rPr>
          <w:lang w:eastAsia="ja-JP"/>
        </w:rPr>
        <w:t xml:space="preserve"> when LTE and NR transmission power is same</w:t>
      </w:r>
      <w:r>
        <w:rPr>
          <w:lang w:eastAsia="ja-JP"/>
        </w:rPr>
        <w:t>.</w:t>
      </w:r>
    </w:p>
    <w:p w14:paraId="7038AAE8" w14:textId="1D5FAB98" w:rsidR="006979C6" w:rsidRDefault="006979C6" w:rsidP="006979C6">
      <w:pPr>
        <w:rPr>
          <w:lang w:eastAsia="ja-JP"/>
        </w:rPr>
      </w:pPr>
      <w:r>
        <w:rPr>
          <w:rFonts w:hint="eastAsia"/>
          <w:lang w:eastAsia="ja-JP"/>
        </w:rPr>
        <w:t xml:space="preserve">We think option 1 is ideal for LTE transmission perspective but NR transmission is always too </w:t>
      </w:r>
      <w:r>
        <w:rPr>
          <w:lang w:eastAsia="ja-JP"/>
        </w:rPr>
        <w:t>pessimistic</w:t>
      </w:r>
      <w:r>
        <w:rPr>
          <w:rFonts w:hint="eastAsia"/>
          <w:lang w:eastAsia="ja-JP"/>
        </w:rPr>
        <w:t>.</w:t>
      </w:r>
      <w:r>
        <w:rPr>
          <w:lang w:eastAsia="ja-JP"/>
        </w:rPr>
        <w:t xml:space="preserve"> Option 1 may be more in-line with past agreement that LTE transmission is always prioritized. On option 2, the equal PSD between LTE and NR may be RAN4 assumption but what resource allocation is assumed for NR </w:t>
      </w:r>
      <w:r w:rsidR="008C5DC5">
        <w:rPr>
          <w:lang w:eastAsia="ja-JP"/>
        </w:rPr>
        <w:t>needs to be clarified</w:t>
      </w:r>
      <w:r>
        <w:rPr>
          <w:lang w:eastAsia="ja-JP"/>
        </w:rPr>
        <w:t xml:space="preserve">. </w:t>
      </w:r>
      <w:r w:rsidR="008C5DC5">
        <w:rPr>
          <w:lang w:eastAsia="ja-JP"/>
        </w:rPr>
        <w:t>Although one option of mirrored NR transmission is described, t</w:t>
      </w:r>
      <w:r>
        <w:rPr>
          <w:lang w:eastAsia="ja-JP"/>
        </w:rPr>
        <w:t xml:space="preserve">here can be other option of NR assignment assumption for MPR calculation. On option 3, </w:t>
      </w:r>
      <w:r w:rsidR="008C5DC5">
        <w:rPr>
          <w:lang w:eastAsia="ja-JP"/>
        </w:rPr>
        <w:t>more power is available</w:t>
      </w:r>
      <w:r>
        <w:rPr>
          <w:lang w:eastAsia="ja-JP"/>
        </w:rPr>
        <w:t xml:space="preserve"> for NR but too pessimistic for LTE transmission. In general, to have no or less impact on LTE coverage is desirable from EN-DC operation</w:t>
      </w:r>
      <w:r w:rsidR="0017708B">
        <w:rPr>
          <w:lang w:eastAsia="ja-JP"/>
        </w:rPr>
        <w:t xml:space="preserve"> but this option </w:t>
      </w:r>
      <w:r w:rsidR="00D95B64">
        <w:rPr>
          <w:lang w:eastAsia="ja-JP"/>
        </w:rPr>
        <w:t xml:space="preserve">3 </w:t>
      </w:r>
      <w:r w:rsidR="0017708B">
        <w:rPr>
          <w:lang w:eastAsia="ja-JP"/>
        </w:rPr>
        <w:t>minimize</w:t>
      </w:r>
      <w:r w:rsidR="00D95B64">
        <w:rPr>
          <w:lang w:eastAsia="ja-JP"/>
        </w:rPr>
        <w:t>s</w:t>
      </w:r>
      <w:r w:rsidR="0017708B">
        <w:rPr>
          <w:lang w:eastAsia="ja-JP"/>
        </w:rPr>
        <w:t xml:space="preserve"> the coverage of LTE among three options.</w:t>
      </w:r>
      <w:r w:rsidR="008E4107">
        <w:rPr>
          <w:lang w:eastAsia="ja-JP"/>
        </w:rPr>
        <w:t xml:space="preserve"> Therefore, either of among options are not ideal from either LTE or NR perspective.</w:t>
      </w:r>
    </w:p>
    <w:p w14:paraId="41AB1D64" w14:textId="7674E4DB" w:rsidR="008E4107" w:rsidRDefault="008E4107" w:rsidP="006979C6">
      <w:pPr>
        <w:rPr>
          <w:lang w:eastAsia="ja-JP"/>
        </w:rPr>
      </w:pPr>
      <w:r>
        <w:rPr>
          <w:lang w:eastAsia="ja-JP"/>
        </w:rPr>
        <w:t xml:space="preserve">Ideal solution </w:t>
      </w:r>
      <w:r w:rsidR="00302B51">
        <w:rPr>
          <w:lang w:eastAsia="ja-JP"/>
        </w:rPr>
        <w:t>may be</w:t>
      </w:r>
      <w:r>
        <w:rPr>
          <w:lang w:eastAsia="ja-JP"/>
        </w:rPr>
        <w:t xml:space="preserve"> LTE DCI contains a flag on </w:t>
      </w:r>
      <w:r w:rsidRPr="008E4107">
        <w:rPr>
          <w:lang w:eastAsia="ja-JP"/>
        </w:rPr>
        <w:t>the presence and RB allocation(s)</w:t>
      </w:r>
      <w:r>
        <w:rPr>
          <w:lang w:eastAsia="ja-JP"/>
        </w:rPr>
        <w:t xml:space="preserve"> or a flag </w:t>
      </w:r>
      <w:r w:rsidR="00302B51">
        <w:rPr>
          <w:lang w:eastAsia="ja-JP"/>
        </w:rPr>
        <w:t>to indicate</w:t>
      </w:r>
      <w:r>
        <w:rPr>
          <w:lang w:eastAsia="ja-JP"/>
        </w:rPr>
        <w:t xml:space="preserve"> either option 1 or option 3</w:t>
      </w:r>
      <w:r w:rsidR="00302B51">
        <w:rPr>
          <w:lang w:eastAsia="ja-JP"/>
        </w:rPr>
        <w:t xml:space="preserve"> in the subframe of LTE transmission</w:t>
      </w:r>
      <w:r>
        <w:rPr>
          <w:lang w:eastAsia="ja-JP"/>
        </w:rPr>
        <w:t>. But this requires LTE specification modification and not reasonable at current CR phase discussion.</w:t>
      </w:r>
    </w:p>
    <w:p w14:paraId="78416129" w14:textId="2F46BA50" w:rsidR="00D70797" w:rsidRDefault="00D70797" w:rsidP="006979C6">
      <w:pPr>
        <w:rPr>
          <w:lang w:eastAsia="ja-JP"/>
        </w:rPr>
      </w:pPr>
      <w:r>
        <w:rPr>
          <w:lang w:eastAsia="ja-JP"/>
        </w:rPr>
        <w:t xml:space="preserve">For the cell planning, if LTE coverage is based on no repetition case, if at least certain subframes are option 1 assumption, the coverage of LTE is not reduced. </w:t>
      </w:r>
      <w:r w:rsidR="00302B51">
        <w:rPr>
          <w:lang w:eastAsia="ja-JP"/>
        </w:rPr>
        <w:t xml:space="preserve">As LTE msg3, where the transmission detection is required before </w:t>
      </w:r>
      <w:r w:rsidR="00302B51">
        <w:rPr>
          <w:lang w:eastAsia="ja-JP"/>
        </w:rPr>
        <w:lastRenderedPageBreak/>
        <w:t xml:space="preserve">HARQ retransmission, is usually coverage limit in LTE, at least one subframe assumes no NR transmission is important for LTE coverage. </w:t>
      </w:r>
      <w:r>
        <w:rPr>
          <w:lang w:eastAsia="ja-JP"/>
        </w:rPr>
        <w:t xml:space="preserve">In the other subframes, option 3 assumption can be applied. Such subframe pattern may be fixed in the spec or obtained from the other configuration. </w:t>
      </w:r>
      <w:r w:rsidR="00302B51">
        <w:rPr>
          <w:lang w:eastAsia="ja-JP"/>
        </w:rPr>
        <w:t>S</w:t>
      </w:r>
      <w:r>
        <w:rPr>
          <w:lang w:eastAsia="ja-JP"/>
        </w:rPr>
        <w:t>uch operation can be one of possible compromise between LTE and NR transmission.</w:t>
      </w:r>
    </w:p>
    <w:p w14:paraId="56B6C7BE" w14:textId="167F9950" w:rsidR="004F7704" w:rsidRDefault="004F7704" w:rsidP="00BB1C26">
      <w:pPr>
        <w:rPr>
          <w:lang w:eastAsia="ja-JP"/>
        </w:rPr>
      </w:pPr>
    </w:p>
    <w:p w14:paraId="2A8646F8" w14:textId="476661B5" w:rsidR="00A559A0" w:rsidRPr="00A559A0" w:rsidRDefault="00CD5C6C" w:rsidP="007D541D">
      <w:pPr>
        <w:rPr>
          <w:b/>
          <w:lang w:eastAsia="ja-JP"/>
        </w:rPr>
      </w:pPr>
      <w:r>
        <w:rPr>
          <w:b/>
          <w:lang w:eastAsia="ja-JP"/>
        </w:rPr>
        <w:t xml:space="preserve">Proposal 1: </w:t>
      </w:r>
      <w:r w:rsidR="00BB1C26">
        <w:rPr>
          <w:b/>
          <w:lang w:eastAsia="ja-JP"/>
        </w:rPr>
        <w:t xml:space="preserve">In certain subframes, </w:t>
      </w:r>
      <w:r w:rsidR="00BB1C26" w:rsidRPr="00BB1C26">
        <w:rPr>
          <w:b/>
          <w:lang w:eastAsia="ja-JP"/>
        </w:rPr>
        <w:t>LTE does not assume no transmission of NR when to calculate MPR of LTE transmission.</w:t>
      </w:r>
      <w:r w:rsidR="00BB1C26">
        <w:rPr>
          <w:b/>
          <w:lang w:eastAsia="ja-JP"/>
        </w:rPr>
        <w:t xml:space="preserve"> In the other subframes, </w:t>
      </w:r>
      <w:r w:rsidR="00BB1C26" w:rsidRPr="00BB1C26">
        <w:rPr>
          <w:b/>
          <w:lang w:eastAsia="ja-JP"/>
        </w:rPr>
        <w:t xml:space="preserve">LTE assumes the </w:t>
      </w:r>
      <w:r w:rsidR="00302B51">
        <w:rPr>
          <w:b/>
          <w:lang w:eastAsia="ja-JP"/>
        </w:rPr>
        <w:t xml:space="preserve">same power </w:t>
      </w:r>
      <w:r w:rsidR="00BB1C26" w:rsidRPr="00BB1C26">
        <w:rPr>
          <w:b/>
          <w:lang w:eastAsia="ja-JP"/>
        </w:rPr>
        <w:t xml:space="preserve">transmission of NR </w:t>
      </w:r>
      <w:r w:rsidR="00BB1C26">
        <w:rPr>
          <w:b/>
          <w:lang w:eastAsia="ja-JP"/>
        </w:rPr>
        <w:t xml:space="preserve">and maximum MPR </w:t>
      </w:r>
      <w:r w:rsidR="00BB1C26" w:rsidRPr="00BB1C26">
        <w:rPr>
          <w:b/>
          <w:lang w:eastAsia="ja-JP"/>
        </w:rPr>
        <w:t xml:space="preserve">when to calculate MPR of LTE transmission. </w:t>
      </w:r>
      <w:r w:rsidR="00BB1C26">
        <w:rPr>
          <w:b/>
          <w:lang w:eastAsia="ja-JP"/>
        </w:rPr>
        <w:t xml:space="preserve">In which subframes assume no </w:t>
      </w:r>
      <w:r w:rsidR="00302B51">
        <w:rPr>
          <w:b/>
          <w:lang w:eastAsia="ja-JP"/>
        </w:rPr>
        <w:t xml:space="preserve">NR </w:t>
      </w:r>
      <w:r w:rsidR="00BB1C26">
        <w:rPr>
          <w:b/>
          <w:lang w:eastAsia="ja-JP"/>
        </w:rPr>
        <w:t>transmission is fixed in the specification or obtained from the other configurations.</w:t>
      </w:r>
    </w:p>
    <w:p w14:paraId="4EB81CBA" w14:textId="3EA80CA1" w:rsidR="00FA19B3" w:rsidRDefault="00FA19B3" w:rsidP="007D541D">
      <w:pPr>
        <w:rPr>
          <w:b/>
          <w:lang w:eastAsia="ja-JP"/>
        </w:rPr>
      </w:pPr>
    </w:p>
    <w:p w14:paraId="544BEC91" w14:textId="00C229DD" w:rsidR="007B0242" w:rsidRPr="00BF3AA7" w:rsidRDefault="007B0242" w:rsidP="007B0242">
      <w:pPr>
        <w:rPr>
          <w:b/>
          <w:u w:val="single"/>
          <w:lang w:eastAsia="ja-JP"/>
        </w:rPr>
      </w:pPr>
      <w:r>
        <w:rPr>
          <w:b/>
          <w:u w:val="single"/>
          <w:lang w:eastAsia="ja-JP"/>
        </w:rPr>
        <w:t xml:space="preserve">Timing relation between NR and LTE in EN-DC </w:t>
      </w:r>
    </w:p>
    <w:p w14:paraId="251311FF" w14:textId="4D9A3FEF" w:rsidR="007B0242" w:rsidRDefault="007B0242" w:rsidP="007B0242">
      <w:pPr>
        <w:rPr>
          <w:lang w:eastAsia="ja-JP"/>
        </w:rPr>
      </w:pPr>
      <w:r>
        <w:rPr>
          <w:lang w:eastAsia="ja-JP"/>
        </w:rPr>
        <w:t>In the email discussion, it was identified that the timing relation between LTE and NR</w:t>
      </w:r>
      <w:r w:rsidR="002D58C6">
        <w:rPr>
          <w:lang w:eastAsia="ja-JP"/>
        </w:rPr>
        <w:t xml:space="preserve"> in EN-DC</w:t>
      </w:r>
      <w:r>
        <w:rPr>
          <w:lang w:eastAsia="ja-JP"/>
        </w:rPr>
        <w:t xml:space="preserve"> are </w:t>
      </w:r>
      <w:r w:rsidR="00CD44DF">
        <w:rPr>
          <w:lang w:eastAsia="ja-JP"/>
        </w:rPr>
        <w:t>not so clear</w:t>
      </w:r>
      <w:r w:rsidR="002D58C6">
        <w:rPr>
          <w:lang w:eastAsia="ja-JP"/>
        </w:rPr>
        <w:t>ly concluded</w:t>
      </w:r>
      <w:r w:rsidR="00CD44DF">
        <w:rPr>
          <w:lang w:eastAsia="ja-JP"/>
        </w:rPr>
        <w:t xml:space="preserve">. For </w:t>
      </w:r>
      <w:r w:rsidR="00CD44DF" w:rsidRPr="00CD44DF">
        <w:rPr>
          <w:lang w:eastAsia="ja-JP"/>
        </w:rPr>
        <w:t>intraband EN-DC</w:t>
      </w:r>
      <w:r w:rsidR="00CD44DF">
        <w:rPr>
          <w:lang w:eastAsia="ja-JP"/>
        </w:rPr>
        <w:t>, LTE and NR needs to be synchronized as asynchronous timing of LTE and NR in the same band makes the transmission very complex. For inter-band EN-DC, there can be a debate whether synchronous should be only supported to make power control simplified (although no impact on MPR) or asynchronous should be supported to have the network deployment flexible. In our view, at least EN-DC between FR1 and FR2 case, asynchronous timing relation between LTE and NR should be allowed.</w:t>
      </w:r>
      <w:r w:rsidR="00BE379F">
        <w:rPr>
          <w:lang w:eastAsia="ja-JP"/>
        </w:rPr>
        <w:t xml:space="preserve"> Here we assume the same definition of synchronous with LTE-LTE DC</w:t>
      </w:r>
      <w:r w:rsidR="002D58C6">
        <w:rPr>
          <w:lang w:eastAsia="ja-JP"/>
        </w:rPr>
        <w:t xml:space="preserve"> i.e. Rx time difference is up to 33 </w:t>
      </w:r>
      <w:r w:rsidR="002D58C6" w:rsidRPr="002D58C6">
        <w:rPr>
          <w:rFonts w:hint="eastAsia"/>
          <w:lang w:eastAsia="ja-JP"/>
        </w:rPr>
        <w:t>µ</w:t>
      </w:r>
      <w:r w:rsidR="002D58C6" w:rsidRPr="002D58C6">
        <w:rPr>
          <w:lang w:eastAsia="ja-JP"/>
        </w:rPr>
        <w:t>s</w:t>
      </w:r>
      <w:r w:rsidR="002D58C6">
        <w:rPr>
          <w:lang w:eastAsia="ja-JP"/>
        </w:rPr>
        <w:t xml:space="preserve"> and Tx time difference up to </w:t>
      </w:r>
      <w:r w:rsidR="002D58C6" w:rsidRPr="002D58C6">
        <w:rPr>
          <w:lang w:eastAsia="ja-JP"/>
        </w:rPr>
        <w:t>35.21µs</w:t>
      </w:r>
      <w:r w:rsidR="00BE379F">
        <w:rPr>
          <w:lang w:eastAsia="ja-JP"/>
        </w:rPr>
        <w:t>.</w:t>
      </w:r>
    </w:p>
    <w:p w14:paraId="7ECC191A" w14:textId="3DBF4401" w:rsidR="00711CD3" w:rsidRPr="00A559A0" w:rsidRDefault="00711CD3" w:rsidP="00711CD3">
      <w:pPr>
        <w:rPr>
          <w:b/>
          <w:lang w:eastAsia="ja-JP"/>
        </w:rPr>
      </w:pPr>
      <w:r>
        <w:rPr>
          <w:b/>
          <w:lang w:eastAsia="ja-JP"/>
        </w:rPr>
        <w:t xml:space="preserve">Proposal </w:t>
      </w:r>
      <w:r w:rsidR="00E910F1">
        <w:rPr>
          <w:b/>
          <w:lang w:eastAsia="ja-JP"/>
        </w:rPr>
        <w:t>2</w:t>
      </w:r>
      <w:r>
        <w:rPr>
          <w:b/>
          <w:lang w:eastAsia="ja-JP"/>
        </w:rPr>
        <w:t>: EN-DC between FR1 and FR2 are asynchronous timing relation. The other case of EN-DC is synchronous. Here, synchronous means same as LTE DC i.e. "i</w:t>
      </w:r>
      <w:r w:rsidRPr="00711CD3">
        <w:rPr>
          <w:b/>
          <w:lang w:eastAsia="ja-JP"/>
        </w:rPr>
        <w:t xml:space="preserve">n synchronous DC operation, the UE can cope with a maximum reception timing difference up to at least 33µs and maximum transmission timing difference up </w:t>
      </w:r>
      <w:r>
        <w:rPr>
          <w:b/>
          <w:lang w:eastAsia="ja-JP"/>
        </w:rPr>
        <w:t>to at least 35.21µs between CGs".</w:t>
      </w:r>
    </w:p>
    <w:p w14:paraId="18E270D6" w14:textId="77777777" w:rsidR="00711CD3" w:rsidRPr="00711CD3" w:rsidRDefault="00711CD3" w:rsidP="007B0242">
      <w:pPr>
        <w:rPr>
          <w:lang w:eastAsia="ja-JP"/>
        </w:rPr>
      </w:pPr>
    </w:p>
    <w:p w14:paraId="4FF943BF" w14:textId="70AD3EBE" w:rsidR="007B0242" w:rsidRDefault="007B0242" w:rsidP="007D541D">
      <w:pPr>
        <w:rPr>
          <w:b/>
          <w:lang w:eastAsia="ja-JP"/>
        </w:rPr>
      </w:pPr>
    </w:p>
    <w:p w14:paraId="414CF782" w14:textId="77777777" w:rsidR="007B0242" w:rsidRPr="007B0242" w:rsidRDefault="007B0242" w:rsidP="007D541D">
      <w:pPr>
        <w:rPr>
          <w:b/>
          <w:lang w:eastAsia="ja-JP"/>
        </w:rPr>
      </w:pPr>
    </w:p>
    <w:p w14:paraId="2DEBF49E" w14:textId="77777777" w:rsidR="007B0242" w:rsidRPr="00FA19B3" w:rsidRDefault="007B0242" w:rsidP="007D541D">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351F6D40" w:rsidR="00DE4942" w:rsidRDefault="00DE4942" w:rsidP="00F01F94">
      <w:pPr>
        <w:rPr>
          <w:rFonts w:eastAsia="SimSun" w:cs="Arial"/>
          <w:lang w:eastAsia="zh-CN"/>
        </w:rPr>
      </w:pPr>
      <w:r>
        <w:rPr>
          <w:rFonts w:eastAsia="SimSun" w:cs="Arial"/>
          <w:lang w:eastAsia="zh-CN"/>
        </w:rPr>
        <w:t xml:space="preserve">We discussed </w:t>
      </w:r>
      <w:r w:rsidR="00BB1C26" w:rsidRPr="00BB1C26">
        <w:rPr>
          <w:rFonts w:eastAsia="SimSun" w:cs="Arial"/>
          <w:lang w:eastAsia="zh-CN"/>
        </w:rPr>
        <w:t>MPR calculation of LTE</w:t>
      </w:r>
      <w:r w:rsidR="00BB1C26">
        <w:rPr>
          <w:rFonts w:eastAsia="SimSun" w:cs="Arial"/>
          <w:lang w:eastAsia="zh-CN"/>
        </w:rPr>
        <w:t>.</w:t>
      </w:r>
      <w:r w:rsidR="002557BC">
        <w:rPr>
          <w:rFonts w:eastAsia="SimSun" w:cs="Arial"/>
          <w:lang w:eastAsia="zh-CN"/>
        </w:rPr>
        <w:t xml:space="preserve"> </w:t>
      </w:r>
    </w:p>
    <w:p w14:paraId="125FC2D1" w14:textId="25930A01" w:rsidR="00C42B56" w:rsidRDefault="005C2D1B" w:rsidP="003F2751">
      <w:pPr>
        <w:rPr>
          <w:b/>
          <w:lang w:eastAsia="ja-JP"/>
        </w:rPr>
      </w:pPr>
      <w:r>
        <w:rPr>
          <w:b/>
          <w:lang w:eastAsia="ja-JP"/>
        </w:rPr>
        <w:t xml:space="preserve">Proposal 1: In certain subframes, </w:t>
      </w:r>
      <w:r w:rsidRPr="00BB1C26">
        <w:rPr>
          <w:b/>
          <w:lang w:eastAsia="ja-JP"/>
        </w:rPr>
        <w:t>LTE does not assume no transmission of NR when to calculate MPR of LTE transmission.</w:t>
      </w:r>
      <w:r>
        <w:rPr>
          <w:b/>
          <w:lang w:eastAsia="ja-JP"/>
        </w:rPr>
        <w:t xml:space="preserve"> In the other subframes, </w:t>
      </w:r>
      <w:r w:rsidRPr="00BB1C26">
        <w:rPr>
          <w:b/>
          <w:lang w:eastAsia="ja-JP"/>
        </w:rPr>
        <w:t xml:space="preserve">LTE assumes the transmission of NR </w:t>
      </w:r>
      <w:r>
        <w:rPr>
          <w:b/>
          <w:lang w:eastAsia="ja-JP"/>
        </w:rPr>
        <w:t xml:space="preserve">and maximum MPR </w:t>
      </w:r>
      <w:r w:rsidRPr="00BB1C26">
        <w:rPr>
          <w:b/>
          <w:lang w:eastAsia="ja-JP"/>
        </w:rPr>
        <w:t xml:space="preserve">when to calculate MPR of LTE transmission. </w:t>
      </w:r>
      <w:r>
        <w:rPr>
          <w:b/>
          <w:lang w:eastAsia="ja-JP"/>
        </w:rPr>
        <w:t>In which subframes assume no transmission of NR is fixed in the specification or obtained from the other configurations.</w:t>
      </w:r>
    </w:p>
    <w:p w14:paraId="6890EAAC" w14:textId="77777777" w:rsidR="00E910F1" w:rsidRPr="00A559A0" w:rsidRDefault="00E910F1" w:rsidP="00E910F1">
      <w:pPr>
        <w:rPr>
          <w:b/>
          <w:lang w:eastAsia="ja-JP"/>
        </w:rPr>
      </w:pPr>
      <w:r>
        <w:rPr>
          <w:b/>
          <w:lang w:eastAsia="ja-JP"/>
        </w:rPr>
        <w:t>Proposal 2: EN-DC between FR1 and FR2 are asynchronous timing relation. The other case of EN-DC is synchronous. Here, synchronous means same as LTE DC i.e. "i</w:t>
      </w:r>
      <w:r w:rsidRPr="00711CD3">
        <w:rPr>
          <w:b/>
          <w:lang w:eastAsia="ja-JP"/>
        </w:rPr>
        <w:t xml:space="preserve">n synchronous DC operation, the UE can cope with a maximum reception timing difference up to at least 33µs and maximum transmission timing difference up </w:t>
      </w:r>
      <w:r>
        <w:rPr>
          <w:b/>
          <w:lang w:eastAsia="ja-JP"/>
        </w:rPr>
        <w:t>to at least 35.21µs between CGs".</w:t>
      </w:r>
    </w:p>
    <w:p w14:paraId="7E47A4A8" w14:textId="3D76E623" w:rsidR="00D26389" w:rsidRDefault="00D26389" w:rsidP="003F2751">
      <w:pPr>
        <w:rPr>
          <w:b/>
          <w:lang w:eastAsia="ja-JP"/>
        </w:rPr>
      </w:pPr>
    </w:p>
    <w:p w14:paraId="68EAF48C" w14:textId="77777777" w:rsidR="00593AB3" w:rsidRDefault="00593AB3" w:rsidP="00593AB3">
      <w:pPr>
        <w:pStyle w:val="1"/>
        <w:numPr>
          <w:ilvl w:val="0"/>
          <w:numId w:val="0"/>
        </w:numPr>
        <w:rPr>
          <w:szCs w:val="36"/>
          <w:lang w:eastAsia="ja-JP"/>
        </w:rPr>
      </w:pPr>
      <w:r>
        <w:rPr>
          <w:szCs w:val="36"/>
          <w:lang w:eastAsia="ja-JP"/>
        </w:rPr>
        <w:t>Reference</w:t>
      </w:r>
    </w:p>
    <w:p w14:paraId="18B48FC7" w14:textId="1DCE1BB0" w:rsidR="00593AB3" w:rsidRDefault="00593AB3" w:rsidP="00593AB3">
      <w:pPr>
        <w:rPr>
          <w:lang w:eastAsia="ja-JP"/>
        </w:rPr>
      </w:pPr>
      <w:r>
        <w:rPr>
          <w:lang w:eastAsia="ja-JP"/>
        </w:rPr>
        <w:t>[1]</w:t>
      </w:r>
      <w:r>
        <w:rPr>
          <w:lang w:eastAsia="ja-JP"/>
        </w:rPr>
        <w:tab/>
      </w:r>
      <w:r>
        <w:rPr>
          <w:lang w:eastAsia="ja-JP"/>
        </w:rPr>
        <w:tab/>
      </w:r>
      <w:r w:rsidRPr="00593AB3">
        <w:rPr>
          <w:lang w:eastAsia="ja-JP"/>
        </w:rPr>
        <w:t>R1-1807973</w:t>
      </w:r>
      <w:r>
        <w:rPr>
          <w:lang w:eastAsia="ja-JP"/>
        </w:rPr>
        <w:t xml:space="preserve">, </w:t>
      </w:r>
      <w:r w:rsidRPr="00593AB3">
        <w:rPr>
          <w:lang w:eastAsia="ja-JP"/>
        </w:rPr>
        <w:t>Summary of email discussion [93-NR-01] LS on intra-band EN-DC MPR, A-MPR</w:t>
      </w:r>
      <w:r>
        <w:rPr>
          <w:lang w:eastAsia="ja-JP"/>
        </w:rPr>
        <w:t xml:space="preserve">, </w:t>
      </w:r>
      <w:r w:rsidRPr="00593AB3">
        <w:rPr>
          <w:lang w:eastAsia="ja-JP"/>
        </w:rPr>
        <w:t>Qualcomm Incorporated</w:t>
      </w:r>
    </w:p>
    <w:p w14:paraId="61FC94DD" w14:textId="61D326F5" w:rsidR="00593AB3" w:rsidRPr="00D273A5" w:rsidRDefault="00593AB3" w:rsidP="00593AB3">
      <w:pPr>
        <w:rPr>
          <w:lang w:eastAsia="ja-JP"/>
        </w:rPr>
      </w:pPr>
      <w:r>
        <w:rPr>
          <w:lang w:eastAsia="ja-JP"/>
        </w:rPr>
        <w:t>[2]</w:t>
      </w:r>
      <w:r>
        <w:rPr>
          <w:lang w:eastAsia="ja-JP"/>
        </w:rPr>
        <w:tab/>
      </w:r>
      <w:r>
        <w:rPr>
          <w:lang w:eastAsia="ja-JP"/>
        </w:rPr>
        <w:tab/>
      </w:r>
      <w:r w:rsidRPr="00593AB3">
        <w:rPr>
          <w:lang w:eastAsia="ja-JP"/>
        </w:rPr>
        <w:t>R1-1807974</w:t>
      </w:r>
      <w:r>
        <w:rPr>
          <w:lang w:eastAsia="ja-JP"/>
        </w:rPr>
        <w:t xml:space="preserve">, </w:t>
      </w:r>
      <w:r w:rsidRPr="00593AB3">
        <w:rPr>
          <w:lang w:eastAsia="ja-JP"/>
        </w:rPr>
        <w:t>Reply LS on RAN4 agreement on intraband EN-DC A-MPR</w:t>
      </w:r>
      <w:r>
        <w:rPr>
          <w:lang w:eastAsia="ja-JP"/>
        </w:rPr>
        <w:t xml:space="preserve">, </w:t>
      </w:r>
      <w:r w:rsidRPr="00593AB3">
        <w:rPr>
          <w:lang w:eastAsia="ja-JP"/>
        </w:rPr>
        <w:t>RAN1</w:t>
      </w:r>
    </w:p>
    <w:p w14:paraId="691B52C8" w14:textId="2D3E209B" w:rsidR="000D2A48" w:rsidRPr="00593AB3" w:rsidRDefault="000D2A48" w:rsidP="00D273A5">
      <w:pPr>
        <w:rPr>
          <w:lang w:eastAsia="ja-JP"/>
        </w:rPr>
      </w:pPr>
    </w:p>
    <w:sectPr w:rsidR="000D2A48" w:rsidRPr="00593AB3">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DC090" w14:textId="77777777" w:rsidR="00FC25F5" w:rsidRDefault="00FC25F5">
      <w:r>
        <w:separator/>
      </w:r>
    </w:p>
  </w:endnote>
  <w:endnote w:type="continuationSeparator" w:id="0">
    <w:p w14:paraId="6777759F" w14:textId="77777777" w:rsidR="00FC25F5" w:rsidRDefault="00FC25F5">
      <w:r>
        <w:continuationSeparator/>
      </w:r>
    </w:p>
  </w:endnote>
  <w:endnote w:type="continuationNotice" w:id="1">
    <w:p w14:paraId="25335A62" w14:textId="77777777" w:rsidR="00FC25F5" w:rsidRDefault="00FC2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05DCC24"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734F8">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6642A" w14:textId="77777777" w:rsidR="00FC25F5" w:rsidRDefault="00FC25F5">
      <w:r>
        <w:separator/>
      </w:r>
    </w:p>
  </w:footnote>
  <w:footnote w:type="continuationSeparator" w:id="0">
    <w:p w14:paraId="4DC26E2A" w14:textId="77777777" w:rsidR="00FC25F5" w:rsidRDefault="00FC25F5">
      <w:r>
        <w:continuationSeparator/>
      </w:r>
    </w:p>
  </w:footnote>
  <w:footnote w:type="continuationNotice" w:id="1">
    <w:p w14:paraId="73AEFC42" w14:textId="77777777" w:rsidR="00FC25F5" w:rsidRDefault="00FC25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6"/>
  </w:num>
  <w:num w:numId="4">
    <w:abstractNumId w:val="24"/>
  </w:num>
  <w:num w:numId="5">
    <w:abstractNumId w:val="18"/>
  </w:num>
  <w:num w:numId="6">
    <w:abstractNumId w:val="19"/>
  </w:num>
  <w:num w:numId="7">
    <w:abstractNumId w:val="17"/>
  </w:num>
  <w:num w:numId="8">
    <w:abstractNumId w:val="27"/>
  </w:num>
  <w:num w:numId="9">
    <w:abstractNumId w:val="23"/>
  </w:num>
  <w:num w:numId="10">
    <w:abstractNumId w:val="10"/>
  </w:num>
  <w:num w:numId="11">
    <w:abstractNumId w:val="15"/>
  </w:num>
  <w:num w:numId="12">
    <w:abstractNumId w:val="5"/>
  </w:num>
  <w:num w:numId="13">
    <w:abstractNumId w:val="7"/>
  </w:num>
  <w:num w:numId="14">
    <w:abstractNumId w:val="8"/>
  </w:num>
  <w:num w:numId="15">
    <w:abstractNumId w:val="11"/>
  </w:num>
  <w:num w:numId="16">
    <w:abstractNumId w:val="14"/>
  </w:num>
  <w:num w:numId="17">
    <w:abstractNumId w:val="2"/>
  </w:num>
  <w:num w:numId="18">
    <w:abstractNumId w:val="6"/>
  </w:num>
  <w:num w:numId="19">
    <w:abstractNumId w:val="2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3"/>
  </w:num>
  <w:num w:numId="22">
    <w:abstractNumId w:val="1"/>
  </w:num>
  <w:num w:numId="23">
    <w:abstractNumId w:val="9"/>
  </w:num>
  <w:num w:numId="24">
    <w:abstractNumId w:val="13"/>
  </w:num>
  <w:num w:numId="25">
    <w:abstractNumId w:val="25"/>
  </w:num>
  <w:num w:numId="26">
    <w:abstractNumId w:val="12"/>
  </w:num>
  <w:num w:numId="27">
    <w:abstractNumId w:val="4"/>
  </w:num>
  <w:num w:numId="28">
    <w:abstractNumId w:val="20"/>
  </w:num>
  <w:num w:numId="29">
    <w:abstractNumId w:val="3"/>
  </w:num>
  <w:num w:numId="3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194"/>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AD"/>
    <w:rsid w:val="00053C42"/>
    <w:rsid w:val="000540D4"/>
    <w:rsid w:val="0005467C"/>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A8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15C"/>
    <w:rsid w:val="000739F6"/>
    <w:rsid w:val="00074024"/>
    <w:rsid w:val="00075BB7"/>
    <w:rsid w:val="0007690F"/>
    <w:rsid w:val="00077F75"/>
    <w:rsid w:val="000803A0"/>
    <w:rsid w:val="0008051A"/>
    <w:rsid w:val="00080BF7"/>
    <w:rsid w:val="00081405"/>
    <w:rsid w:val="00083B28"/>
    <w:rsid w:val="00083C62"/>
    <w:rsid w:val="00084EF4"/>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08D"/>
    <w:rsid w:val="000D65DC"/>
    <w:rsid w:val="000D6E27"/>
    <w:rsid w:val="000D79F0"/>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5D3C"/>
    <w:rsid w:val="00106527"/>
    <w:rsid w:val="00106F60"/>
    <w:rsid w:val="00107088"/>
    <w:rsid w:val="00107D5D"/>
    <w:rsid w:val="00107F2F"/>
    <w:rsid w:val="0011037F"/>
    <w:rsid w:val="00110451"/>
    <w:rsid w:val="00110753"/>
    <w:rsid w:val="00110D5F"/>
    <w:rsid w:val="00111ECE"/>
    <w:rsid w:val="00112442"/>
    <w:rsid w:val="00113D82"/>
    <w:rsid w:val="00113FC0"/>
    <w:rsid w:val="001149BA"/>
    <w:rsid w:val="00114B5E"/>
    <w:rsid w:val="00114E80"/>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498F"/>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5F9A"/>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2F58"/>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5881"/>
    <w:rsid w:val="0017645C"/>
    <w:rsid w:val="00176909"/>
    <w:rsid w:val="00176C74"/>
    <w:rsid w:val="0017708B"/>
    <w:rsid w:val="00177951"/>
    <w:rsid w:val="0017796A"/>
    <w:rsid w:val="00177D5C"/>
    <w:rsid w:val="00177E50"/>
    <w:rsid w:val="00177F56"/>
    <w:rsid w:val="00180010"/>
    <w:rsid w:val="00180053"/>
    <w:rsid w:val="0018034C"/>
    <w:rsid w:val="00181E2B"/>
    <w:rsid w:val="001822B3"/>
    <w:rsid w:val="0018256D"/>
    <w:rsid w:val="0018259F"/>
    <w:rsid w:val="001827CC"/>
    <w:rsid w:val="00182A0D"/>
    <w:rsid w:val="00182E76"/>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B7E"/>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232"/>
    <w:rsid w:val="001A23B0"/>
    <w:rsid w:val="001A26B8"/>
    <w:rsid w:val="001A27EC"/>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D33"/>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7B9"/>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07F36"/>
    <w:rsid w:val="00210E5F"/>
    <w:rsid w:val="00210FF7"/>
    <w:rsid w:val="00212D25"/>
    <w:rsid w:val="0021365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5847"/>
    <w:rsid w:val="00225D3E"/>
    <w:rsid w:val="0022667B"/>
    <w:rsid w:val="00226787"/>
    <w:rsid w:val="00226D0C"/>
    <w:rsid w:val="00227035"/>
    <w:rsid w:val="00230070"/>
    <w:rsid w:val="0023094B"/>
    <w:rsid w:val="00230F0D"/>
    <w:rsid w:val="00231AF0"/>
    <w:rsid w:val="00233541"/>
    <w:rsid w:val="00233F0C"/>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54B"/>
    <w:rsid w:val="00241E1F"/>
    <w:rsid w:val="00242940"/>
    <w:rsid w:val="002436DF"/>
    <w:rsid w:val="00243AD9"/>
    <w:rsid w:val="00245839"/>
    <w:rsid w:val="00245E25"/>
    <w:rsid w:val="00245F97"/>
    <w:rsid w:val="002462CF"/>
    <w:rsid w:val="00246464"/>
    <w:rsid w:val="00246958"/>
    <w:rsid w:val="00246AA4"/>
    <w:rsid w:val="0024783E"/>
    <w:rsid w:val="0024790A"/>
    <w:rsid w:val="00247B93"/>
    <w:rsid w:val="00247C3A"/>
    <w:rsid w:val="00251467"/>
    <w:rsid w:val="002515B9"/>
    <w:rsid w:val="002519E5"/>
    <w:rsid w:val="00251A8E"/>
    <w:rsid w:val="00251B56"/>
    <w:rsid w:val="00252069"/>
    <w:rsid w:val="0025258A"/>
    <w:rsid w:val="00252C20"/>
    <w:rsid w:val="00253199"/>
    <w:rsid w:val="002534B1"/>
    <w:rsid w:val="002536ED"/>
    <w:rsid w:val="00253B10"/>
    <w:rsid w:val="002540DF"/>
    <w:rsid w:val="002541CB"/>
    <w:rsid w:val="00254F65"/>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1F4"/>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07E"/>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95E"/>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A41"/>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971"/>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8C6"/>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6C8"/>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2B51"/>
    <w:rsid w:val="00303142"/>
    <w:rsid w:val="003031EC"/>
    <w:rsid w:val="00303A58"/>
    <w:rsid w:val="00303CCD"/>
    <w:rsid w:val="003045FC"/>
    <w:rsid w:val="003046F4"/>
    <w:rsid w:val="00304C1C"/>
    <w:rsid w:val="00304E10"/>
    <w:rsid w:val="0030520F"/>
    <w:rsid w:val="0030530B"/>
    <w:rsid w:val="0030540E"/>
    <w:rsid w:val="0030583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3A17"/>
    <w:rsid w:val="00323C80"/>
    <w:rsid w:val="0032413E"/>
    <w:rsid w:val="00324D71"/>
    <w:rsid w:val="003254D9"/>
    <w:rsid w:val="00325773"/>
    <w:rsid w:val="00325C5E"/>
    <w:rsid w:val="003265CB"/>
    <w:rsid w:val="00326862"/>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17E"/>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9B5"/>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844"/>
    <w:rsid w:val="003979FE"/>
    <w:rsid w:val="00397C38"/>
    <w:rsid w:val="00397DE5"/>
    <w:rsid w:val="003A043F"/>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3F70"/>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5B7"/>
    <w:rsid w:val="003E7840"/>
    <w:rsid w:val="003E7B17"/>
    <w:rsid w:val="003F01E1"/>
    <w:rsid w:val="003F03A4"/>
    <w:rsid w:val="003F11ED"/>
    <w:rsid w:val="003F1C39"/>
    <w:rsid w:val="003F1C5C"/>
    <w:rsid w:val="003F23C5"/>
    <w:rsid w:val="003F272F"/>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D17"/>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1E5E"/>
    <w:rsid w:val="004429BF"/>
    <w:rsid w:val="00442BFF"/>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98"/>
    <w:rsid w:val="00452DFC"/>
    <w:rsid w:val="00453048"/>
    <w:rsid w:val="00453487"/>
    <w:rsid w:val="0045355C"/>
    <w:rsid w:val="0045387B"/>
    <w:rsid w:val="0045394B"/>
    <w:rsid w:val="00453E7E"/>
    <w:rsid w:val="00454111"/>
    <w:rsid w:val="0045583C"/>
    <w:rsid w:val="004558BC"/>
    <w:rsid w:val="004559D3"/>
    <w:rsid w:val="00455AFD"/>
    <w:rsid w:val="00456630"/>
    <w:rsid w:val="00456653"/>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561D"/>
    <w:rsid w:val="004768D1"/>
    <w:rsid w:val="0047719C"/>
    <w:rsid w:val="004771A6"/>
    <w:rsid w:val="004773B4"/>
    <w:rsid w:val="00480888"/>
    <w:rsid w:val="0048098F"/>
    <w:rsid w:val="004809EC"/>
    <w:rsid w:val="0048150E"/>
    <w:rsid w:val="00481980"/>
    <w:rsid w:val="00481BAE"/>
    <w:rsid w:val="004827F1"/>
    <w:rsid w:val="00482967"/>
    <w:rsid w:val="0048299E"/>
    <w:rsid w:val="00482F87"/>
    <w:rsid w:val="004833F8"/>
    <w:rsid w:val="00483CBA"/>
    <w:rsid w:val="00483F2C"/>
    <w:rsid w:val="00483FCE"/>
    <w:rsid w:val="00483FE1"/>
    <w:rsid w:val="004842E1"/>
    <w:rsid w:val="004846F9"/>
    <w:rsid w:val="00484A69"/>
    <w:rsid w:val="00484D5B"/>
    <w:rsid w:val="00484E57"/>
    <w:rsid w:val="00484ED4"/>
    <w:rsid w:val="00484FB2"/>
    <w:rsid w:val="004850B7"/>
    <w:rsid w:val="004856A5"/>
    <w:rsid w:val="00485CDE"/>
    <w:rsid w:val="004862CD"/>
    <w:rsid w:val="00486A50"/>
    <w:rsid w:val="00486E13"/>
    <w:rsid w:val="00486E6A"/>
    <w:rsid w:val="00490537"/>
    <w:rsid w:val="004908B6"/>
    <w:rsid w:val="0049183B"/>
    <w:rsid w:val="00491C0C"/>
    <w:rsid w:val="00491F76"/>
    <w:rsid w:val="00492071"/>
    <w:rsid w:val="0049256A"/>
    <w:rsid w:val="00492595"/>
    <w:rsid w:val="00492AF0"/>
    <w:rsid w:val="00492B79"/>
    <w:rsid w:val="00492C30"/>
    <w:rsid w:val="00493151"/>
    <w:rsid w:val="004932F4"/>
    <w:rsid w:val="00493991"/>
    <w:rsid w:val="004943E8"/>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97EFA"/>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459"/>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6D50"/>
    <w:rsid w:val="004F7704"/>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063"/>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1EA0"/>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31A"/>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1BA"/>
    <w:rsid w:val="0058730F"/>
    <w:rsid w:val="00587511"/>
    <w:rsid w:val="00587CED"/>
    <w:rsid w:val="00590185"/>
    <w:rsid w:val="00591F01"/>
    <w:rsid w:val="0059241B"/>
    <w:rsid w:val="0059248B"/>
    <w:rsid w:val="00592C6F"/>
    <w:rsid w:val="00593189"/>
    <w:rsid w:val="005932E3"/>
    <w:rsid w:val="00593A48"/>
    <w:rsid w:val="00593AB3"/>
    <w:rsid w:val="00593BCA"/>
    <w:rsid w:val="00593FD9"/>
    <w:rsid w:val="00594AF4"/>
    <w:rsid w:val="0059550E"/>
    <w:rsid w:val="0059575E"/>
    <w:rsid w:val="00595846"/>
    <w:rsid w:val="00595C58"/>
    <w:rsid w:val="00596108"/>
    <w:rsid w:val="00596126"/>
    <w:rsid w:val="005961E2"/>
    <w:rsid w:val="0059629C"/>
    <w:rsid w:val="00596481"/>
    <w:rsid w:val="005965FB"/>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BF8"/>
    <w:rsid w:val="005B6FF8"/>
    <w:rsid w:val="005B7553"/>
    <w:rsid w:val="005C0202"/>
    <w:rsid w:val="005C0624"/>
    <w:rsid w:val="005C0E13"/>
    <w:rsid w:val="005C12F9"/>
    <w:rsid w:val="005C1729"/>
    <w:rsid w:val="005C1F7B"/>
    <w:rsid w:val="005C23EF"/>
    <w:rsid w:val="005C2665"/>
    <w:rsid w:val="005C2D1B"/>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3EEB"/>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295"/>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6FD4"/>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756"/>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6DD3"/>
    <w:rsid w:val="0069734E"/>
    <w:rsid w:val="006976AD"/>
    <w:rsid w:val="006978C0"/>
    <w:rsid w:val="006979C6"/>
    <w:rsid w:val="00697EA8"/>
    <w:rsid w:val="006A06DF"/>
    <w:rsid w:val="006A08E6"/>
    <w:rsid w:val="006A0B90"/>
    <w:rsid w:val="006A28CF"/>
    <w:rsid w:val="006A2D4C"/>
    <w:rsid w:val="006A2E9B"/>
    <w:rsid w:val="006A3717"/>
    <w:rsid w:val="006A3BE4"/>
    <w:rsid w:val="006A4B1D"/>
    <w:rsid w:val="006A4C23"/>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190"/>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2E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DD"/>
    <w:rsid w:val="007117F4"/>
    <w:rsid w:val="00711CD3"/>
    <w:rsid w:val="0071213A"/>
    <w:rsid w:val="0071221F"/>
    <w:rsid w:val="0071246C"/>
    <w:rsid w:val="007130F8"/>
    <w:rsid w:val="00713844"/>
    <w:rsid w:val="00713D13"/>
    <w:rsid w:val="007144E3"/>
    <w:rsid w:val="007147FE"/>
    <w:rsid w:val="00714FAC"/>
    <w:rsid w:val="00715200"/>
    <w:rsid w:val="00715431"/>
    <w:rsid w:val="00715D4D"/>
    <w:rsid w:val="00716692"/>
    <w:rsid w:val="00717659"/>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0D9"/>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2C24"/>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DC4"/>
    <w:rsid w:val="007A2EE3"/>
    <w:rsid w:val="007A36B7"/>
    <w:rsid w:val="007A38AF"/>
    <w:rsid w:val="007A3A2C"/>
    <w:rsid w:val="007A3F36"/>
    <w:rsid w:val="007A4605"/>
    <w:rsid w:val="007A515F"/>
    <w:rsid w:val="007A5625"/>
    <w:rsid w:val="007A57C4"/>
    <w:rsid w:val="007A5893"/>
    <w:rsid w:val="007A5BBC"/>
    <w:rsid w:val="007A6230"/>
    <w:rsid w:val="007A7806"/>
    <w:rsid w:val="007B0242"/>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95A"/>
    <w:rsid w:val="007F53AC"/>
    <w:rsid w:val="007F5C52"/>
    <w:rsid w:val="007F65F4"/>
    <w:rsid w:val="007F6A09"/>
    <w:rsid w:val="007F72A2"/>
    <w:rsid w:val="007F75D1"/>
    <w:rsid w:val="007F7B35"/>
    <w:rsid w:val="008003FB"/>
    <w:rsid w:val="00800B54"/>
    <w:rsid w:val="00801411"/>
    <w:rsid w:val="008018BD"/>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300"/>
    <w:rsid w:val="0081664B"/>
    <w:rsid w:val="008166DF"/>
    <w:rsid w:val="0081697E"/>
    <w:rsid w:val="00817248"/>
    <w:rsid w:val="00817631"/>
    <w:rsid w:val="0081794C"/>
    <w:rsid w:val="00817953"/>
    <w:rsid w:val="00820966"/>
    <w:rsid w:val="00820B86"/>
    <w:rsid w:val="00820CD9"/>
    <w:rsid w:val="00820F43"/>
    <w:rsid w:val="0082121C"/>
    <w:rsid w:val="00821977"/>
    <w:rsid w:val="0082228A"/>
    <w:rsid w:val="0082243B"/>
    <w:rsid w:val="00822AB9"/>
    <w:rsid w:val="00822B7B"/>
    <w:rsid w:val="00822C35"/>
    <w:rsid w:val="0082376A"/>
    <w:rsid w:val="00824922"/>
    <w:rsid w:val="00824BC3"/>
    <w:rsid w:val="00824D83"/>
    <w:rsid w:val="00825265"/>
    <w:rsid w:val="00826C1D"/>
    <w:rsid w:val="00827093"/>
    <w:rsid w:val="00830118"/>
    <w:rsid w:val="008303E6"/>
    <w:rsid w:val="008308AE"/>
    <w:rsid w:val="00831704"/>
    <w:rsid w:val="00831BCC"/>
    <w:rsid w:val="00831F0D"/>
    <w:rsid w:val="008322F7"/>
    <w:rsid w:val="008328B8"/>
    <w:rsid w:val="00832B13"/>
    <w:rsid w:val="00832CC0"/>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3E06"/>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3E2"/>
    <w:rsid w:val="00863B7A"/>
    <w:rsid w:val="00863EA9"/>
    <w:rsid w:val="008648AC"/>
    <w:rsid w:val="00864D62"/>
    <w:rsid w:val="00865421"/>
    <w:rsid w:val="008654A5"/>
    <w:rsid w:val="0086589B"/>
    <w:rsid w:val="00865B62"/>
    <w:rsid w:val="00865D23"/>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ACE"/>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20F"/>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1E65"/>
    <w:rsid w:val="008B200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5DC5"/>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107"/>
    <w:rsid w:val="008E42C7"/>
    <w:rsid w:val="008E42E4"/>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0737E"/>
    <w:rsid w:val="00910A04"/>
    <w:rsid w:val="00910AB7"/>
    <w:rsid w:val="00910EBE"/>
    <w:rsid w:val="009128B1"/>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05F4"/>
    <w:rsid w:val="0098121A"/>
    <w:rsid w:val="00981415"/>
    <w:rsid w:val="0098320B"/>
    <w:rsid w:val="009833BF"/>
    <w:rsid w:val="0098349B"/>
    <w:rsid w:val="00983509"/>
    <w:rsid w:val="00983634"/>
    <w:rsid w:val="00984275"/>
    <w:rsid w:val="00984A43"/>
    <w:rsid w:val="00985437"/>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BDD"/>
    <w:rsid w:val="009C7C42"/>
    <w:rsid w:val="009C7D94"/>
    <w:rsid w:val="009D0794"/>
    <w:rsid w:val="009D173D"/>
    <w:rsid w:val="009D2843"/>
    <w:rsid w:val="009D3407"/>
    <w:rsid w:val="009D3719"/>
    <w:rsid w:val="009D3F2C"/>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871"/>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A1E"/>
    <w:rsid w:val="00A10D84"/>
    <w:rsid w:val="00A115BD"/>
    <w:rsid w:val="00A11FB6"/>
    <w:rsid w:val="00A120D0"/>
    <w:rsid w:val="00A1241B"/>
    <w:rsid w:val="00A12D4A"/>
    <w:rsid w:val="00A13190"/>
    <w:rsid w:val="00A139B6"/>
    <w:rsid w:val="00A13DAA"/>
    <w:rsid w:val="00A14719"/>
    <w:rsid w:val="00A14AC8"/>
    <w:rsid w:val="00A15DE0"/>
    <w:rsid w:val="00A15EE0"/>
    <w:rsid w:val="00A16061"/>
    <w:rsid w:val="00A165FE"/>
    <w:rsid w:val="00A16D74"/>
    <w:rsid w:val="00A1733B"/>
    <w:rsid w:val="00A209F2"/>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1E58"/>
    <w:rsid w:val="00A323DC"/>
    <w:rsid w:val="00A32E20"/>
    <w:rsid w:val="00A333EF"/>
    <w:rsid w:val="00A33C1C"/>
    <w:rsid w:val="00A3401C"/>
    <w:rsid w:val="00A341AF"/>
    <w:rsid w:val="00A34230"/>
    <w:rsid w:val="00A347F9"/>
    <w:rsid w:val="00A34FDD"/>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784"/>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3E7F"/>
    <w:rsid w:val="00A54222"/>
    <w:rsid w:val="00A5451F"/>
    <w:rsid w:val="00A5462B"/>
    <w:rsid w:val="00A55121"/>
    <w:rsid w:val="00A559A0"/>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0C7"/>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1B58"/>
    <w:rsid w:val="00B02772"/>
    <w:rsid w:val="00B02F57"/>
    <w:rsid w:val="00B03112"/>
    <w:rsid w:val="00B0328C"/>
    <w:rsid w:val="00B03424"/>
    <w:rsid w:val="00B036F7"/>
    <w:rsid w:val="00B043A3"/>
    <w:rsid w:val="00B049DD"/>
    <w:rsid w:val="00B04C1C"/>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CDA"/>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379"/>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505"/>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CD6"/>
    <w:rsid w:val="00BA3DD4"/>
    <w:rsid w:val="00BA3E6D"/>
    <w:rsid w:val="00BA4C5D"/>
    <w:rsid w:val="00BA4E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1C26"/>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D05"/>
    <w:rsid w:val="00BD7E45"/>
    <w:rsid w:val="00BE0239"/>
    <w:rsid w:val="00BE0595"/>
    <w:rsid w:val="00BE12C1"/>
    <w:rsid w:val="00BE2B0C"/>
    <w:rsid w:val="00BE30AC"/>
    <w:rsid w:val="00BE3255"/>
    <w:rsid w:val="00BE379F"/>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1087F"/>
    <w:rsid w:val="00C1093A"/>
    <w:rsid w:val="00C1139F"/>
    <w:rsid w:val="00C11713"/>
    <w:rsid w:val="00C1293B"/>
    <w:rsid w:val="00C13F0A"/>
    <w:rsid w:val="00C14704"/>
    <w:rsid w:val="00C15705"/>
    <w:rsid w:val="00C15E1A"/>
    <w:rsid w:val="00C15EDB"/>
    <w:rsid w:val="00C16682"/>
    <w:rsid w:val="00C16A31"/>
    <w:rsid w:val="00C16C5C"/>
    <w:rsid w:val="00C16CC6"/>
    <w:rsid w:val="00C16F49"/>
    <w:rsid w:val="00C17345"/>
    <w:rsid w:val="00C17826"/>
    <w:rsid w:val="00C17EF8"/>
    <w:rsid w:val="00C20614"/>
    <w:rsid w:val="00C20741"/>
    <w:rsid w:val="00C20965"/>
    <w:rsid w:val="00C21125"/>
    <w:rsid w:val="00C2144E"/>
    <w:rsid w:val="00C215C8"/>
    <w:rsid w:val="00C218AD"/>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B89"/>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925"/>
    <w:rsid w:val="00C37BD6"/>
    <w:rsid w:val="00C40A4E"/>
    <w:rsid w:val="00C40DC6"/>
    <w:rsid w:val="00C41072"/>
    <w:rsid w:val="00C41BD3"/>
    <w:rsid w:val="00C4204A"/>
    <w:rsid w:val="00C4267C"/>
    <w:rsid w:val="00C429BD"/>
    <w:rsid w:val="00C42B56"/>
    <w:rsid w:val="00C42F66"/>
    <w:rsid w:val="00C43982"/>
    <w:rsid w:val="00C4416F"/>
    <w:rsid w:val="00C46E37"/>
    <w:rsid w:val="00C474DE"/>
    <w:rsid w:val="00C477BC"/>
    <w:rsid w:val="00C47DAE"/>
    <w:rsid w:val="00C503C8"/>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5FF8"/>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224"/>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873"/>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7E7"/>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4DF"/>
    <w:rsid w:val="00CD4F79"/>
    <w:rsid w:val="00CD535C"/>
    <w:rsid w:val="00CD5C6C"/>
    <w:rsid w:val="00CD5EDC"/>
    <w:rsid w:val="00CD6191"/>
    <w:rsid w:val="00CD7FFC"/>
    <w:rsid w:val="00CE00C9"/>
    <w:rsid w:val="00CE08D4"/>
    <w:rsid w:val="00CE0DB7"/>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3E9"/>
    <w:rsid w:val="00CE5A0D"/>
    <w:rsid w:val="00CE5A2F"/>
    <w:rsid w:val="00CE608E"/>
    <w:rsid w:val="00CE6EAD"/>
    <w:rsid w:val="00CE734F"/>
    <w:rsid w:val="00CE7778"/>
    <w:rsid w:val="00CE7BDC"/>
    <w:rsid w:val="00CE7F3D"/>
    <w:rsid w:val="00CF0266"/>
    <w:rsid w:val="00CF1C82"/>
    <w:rsid w:val="00CF2D93"/>
    <w:rsid w:val="00CF33D8"/>
    <w:rsid w:val="00CF3A17"/>
    <w:rsid w:val="00CF40DF"/>
    <w:rsid w:val="00CF4706"/>
    <w:rsid w:val="00CF4EF7"/>
    <w:rsid w:val="00CF5536"/>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8EE"/>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6389"/>
    <w:rsid w:val="00D267FD"/>
    <w:rsid w:val="00D27138"/>
    <w:rsid w:val="00D271BF"/>
    <w:rsid w:val="00D273A5"/>
    <w:rsid w:val="00D273D2"/>
    <w:rsid w:val="00D276A2"/>
    <w:rsid w:val="00D276AC"/>
    <w:rsid w:val="00D27B0A"/>
    <w:rsid w:val="00D27E59"/>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6F45"/>
    <w:rsid w:val="00D67274"/>
    <w:rsid w:val="00D673C2"/>
    <w:rsid w:val="00D6773A"/>
    <w:rsid w:val="00D67E1F"/>
    <w:rsid w:val="00D70797"/>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0DEB"/>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B64"/>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5C9"/>
    <w:rsid w:val="00DA7DC6"/>
    <w:rsid w:val="00DB02BA"/>
    <w:rsid w:val="00DB1C8E"/>
    <w:rsid w:val="00DB20DB"/>
    <w:rsid w:val="00DB233C"/>
    <w:rsid w:val="00DB2AD0"/>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453"/>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2753"/>
    <w:rsid w:val="00DE2CF7"/>
    <w:rsid w:val="00DE35C1"/>
    <w:rsid w:val="00DE3A56"/>
    <w:rsid w:val="00DE3B5C"/>
    <w:rsid w:val="00DE4008"/>
    <w:rsid w:val="00DE4942"/>
    <w:rsid w:val="00DE4F6A"/>
    <w:rsid w:val="00DE51E4"/>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D04"/>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0F1"/>
    <w:rsid w:val="00E91573"/>
    <w:rsid w:val="00E91620"/>
    <w:rsid w:val="00E91B2D"/>
    <w:rsid w:val="00E9229C"/>
    <w:rsid w:val="00E92489"/>
    <w:rsid w:val="00E929E2"/>
    <w:rsid w:val="00E92A93"/>
    <w:rsid w:val="00E92C7B"/>
    <w:rsid w:val="00E92EA2"/>
    <w:rsid w:val="00E93A0C"/>
    <w:rsid w:val="00E93E61"/>
    <w:rsid w:val="00E9448E"/>
    <w:rsid w:val="00E951B9"/>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0C"/>
    <w:rsid w:val="00EB1B19"/>
    <w:rsid w:val="00EB1CB1"/>
    <w:rsid w:val="00EB20A2"/>
    <w:rsid w:val="00EB269A"/>
    <w:rsid w:val="00EB28EC"/>
    <w:rsid w:val="00EB3364"/>
    <w:rsid w:val="00EB3442"/>
    <w:rsid w:val="00EB3F2A"/>
    <w:rsid w:val="00EB43A0"/>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A42"/>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2B80"/>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645"/>
    <w:rsid w:val="00F079C3"/>
    <w:rsid w:val="00F10BC9"/>
    <w:rsid w:val="00F10CC9"/>
    <w:rsid w:val="00F10DDF"/>
    <w:rsid w:val="00F10F69"/>
    <w:rsid w:val="00F110EB"/>
    <w:rsid w:val="00F11324"/>
    <w:rsid w:val="00F11C8F"/>
    <w:rsid w:val="00F121F6"/>
    <w:rsid w:val="00F124C1"/>
    <w:rsid w:val="00F12A02"/>
    <w:rsid w:val="00F13A3F"/>
    <w:rsid w:val="00F14C76"/>
    <w:rsid w:val="00F1539E"/>
    <w:rsid w:val="00F1567D"/>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27F3F"/>
    <w:rsid w:val="00F30105"/>
    <w:rsid w:val="00F3019E"/>
    <w:rsid w:val="00F30209"/>
    <w:rsid w:val="00F305AB"/>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7FD"/>
    <w:rsid w:val="00F45EE0"/>
    <w:rsid w:val="00F46151"/>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4F8"/>
    <w:rsid w:val="00F73533"/>
    <w:rsid w:val="00F73AF4"/>
    <w:rsid w:val="00F748CE"/>
    <w:rsid w:val="00F74C1E"/>
    <w:rsid w:val="00F75C00"/>
    <w:rsid w:val="00F75FA1"/>
    <w:rsid w:val="00F77073"/>
    <w:rsid w:val="00F7767B"/>
    <w:rsid w:val="00F7791F"/>
    <w:rsid w:val="00F807A8"/>
    <w:rsid w:val="00F80EF6"/>
    <w:rsid w:val="00F81916"/>
    <w:rsid w:val="00F82144"/>
    <w:rsid w:val="00F8251D"/>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19B3"/>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5F5"/>
    <w:rsid w:val="00FC2627"/>
    <w:rsid w:val="00FC29CF"/>
    <w:rsid w:val="00FC2F14"/>
    <w:rsid w:val="00FC3BD6"/>
    <w:rsid w:val="00FC407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2C4"/>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Lista1,??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列出段落 (文字),Lista1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numbering" w:customStyle="1" w:styleId="StyleBulletedSymbolsymbolLeft025Hanging0252">
    <w:name w:val="Style Bulleted Symbol (symbol) Left:  0.25&quot; Hanging:  0.25&quot;2"/>
    <w:basedOn w:val="a2"/>
    <w:rsid w:val="00F27F3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9380113">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7916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421943">
      <w:bodyDiv w:val="1"/>
      <w:marLeft w:val="0"/>
      <w:marRight w:val="0"/>
      <w:marTop w:val="0"/>
      <w:marBottom w:val="0"/>
      <w:divBdr>
        <w:top w:val="none" w:sz="0" w:space="0" w:color="auto"/>
        <w:left w:val="none" w:sz="0" w:space="0" w:color="auto"/>
        <w:bottom w:val="none" w:sz="0" w:space="0" w:color="auto"/>
        <w:right w:val="none" w:sz="0" w:space="0" w:color="auto"/>
      </w:divBdr>
      <w:divsChild>
        <w:div w:id="631056006">
          <w:marLeft w:val="1800"/>
          <w:marRight w:val="0"/>
          <w:marTop w:val="86"/>
          <w:marBottom w:val="0"/>
          <w:divBdr>
            <w:top w:val="none" w:sz="0" w:space="0" w:color="auto"/>
            <w:left w:val="none" w:sz="0" w:space="0" w:color="auto"/>
            <w:bottom w:val="none" w:sz="0" w:space="0" w:color="auto"/>
            <w:right w:val="none" w:sz="0" w:space="0" w:color="auto"/>
          </w:divBdr>
        </w:div>
        <w:div w:id="653484087">
          <w:marLeft w:val="2520"/>
          <w:marRight w:val="0"/>
          <w:marTop w:val="77"/>
          <w:marBottom w:val="0"/>
          <w:divBdr>
            <w:top w:val="none" w:sz="0" w:space="0" w:color="auto"/>
            <w:left w:val="none" w:sz="0" w:space="0" w:color="auto"/>
            <w:bottom w:val="none" w:sz="0" w:space="0" w:color="auto"/>
            <w:right w:val="none" w:sz="0" w:space="0" w:color="auto"/>
          </w:divBdr>
        </w:div>
        <w:div w:id="660305422">
          <w:marLeft w:val="2520"/>
          <w:marRight w:val="0"/>
          <w:marTop w:val="77"/>
          <w:marBottom w:val="0"/>
          <w:divBdr>
            <w:top w:val="none" w:sz="0" w:space="0" w:color="auto"/>
            <w:left w:val="none" w:sz="0" w:space="0" w:color="auto"/>
            <w:bottom w:val="none" w:sz="0" w:space="0" w:color="auto"/>
            <w:right w:val="none" w:sz="0" w:space="0" w:color="auto"/>
          </w:divBdr>
        </w:div>
        <w:div w:id="478887988">
          <w:marLeft w:val="2520"/>
          <w:marRight w:val="0"/>
          <w:marTop w:val="77"/>
          <w:marBottom w:val="0"/>
          <w:divBdr>
            <w:top w:val="none" w:sz="0" w:space="0" w:color="auto"/>
            <w:left w:val="none" w:sz="0" w:space="0" w:color="auto"/>
            <w:bottom w:val="none" w:sz="0" w:space="0" w:color="auto"/>
            <w:right w:val="none" w:sz="0" w:space="0" w:color="auto"/>
          </w:divBdr>
        </w:div>
        <w:div w:id="114446789">
          <w:marLeft w:val="1800"/>
          <w:marRight w:val="0"/>
          <w:marTop w:val="86"/>
          <w:marBottom w:val="0"/>
          <w:divBdr>
            <w:top w:val="none" w:sz="0" w:space="0" w:color="auto"/>
            <w:left w:val="none" w:sz="0" w:space="0" w:color="auto"/>
            <w:bottom w:val="none" w:sz="0" w:space="0" w:color="auto"/>
            <w:right w:val="none" w:sz="0" w:space="0" w:color="auto"/>
          </w:divBdr>
        </w:div>
        <w:div w:id="948200697">
          <w:marLeft w:val="2520"/>
          <w:marRight w:val="0"/>
          <w:marTop w:val="7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297327">
      <w:bodyDiv w:val="1"/>
      <w:marLeft w:val="0"/>
      <w:marRight w:val="0"/>
      <w:marTop w:val="0"/>
      <w:marBottom w:val="0"/>
      <w:divBdr>
        <w:top w:val="none" w:sz="0" w:space="0" w:color="auto"/>
        <w:left w:val="none" w:sz="0" w:space="0" w:color="auto"/>
        <w:bottom w:val="none" w:sz="0" w:space="0" w:color="auto"/>
        <w:right w:val="none" w:sz="0" w:space="0" w:color="auto"/>
      </w:divBdr>
      <w:divsChild>
        <w:div w:id="205831776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494309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23136-83E6-4C5F-BD7A-91EB7667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Pages>
  <Words>968</Words>
  <Characters>5519</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17</cp:lastModifiedBy>
  <cp:revision>230</cp:revision>
  <cp:lastPrinted>2010-04-02T09:58:00Z</cp:lastPrinted>
  <dcterms:created xsi:type="dcterms:W3CDTF">2018-04-05T02:32:00Z</dcterms:created>
  <dcterms:modified xsi:type="dcterms:W3CDTF">2018-08-10T11:35:00Z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