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803C9B0" w14:textId="0FF969FF" w:rsidR="005D5660" w:rsidRPr="006D3026" w:rsidRDefault="005D5660" w:rsidP="006D3026">
      <w:pPr>
        <w:widowControl w:val="0"/>
        <w:tabs>
          <w:tab w:val="center" w:pos="4536"/>
          <w:tab w:val="right" w:pos="9072"/>
        </w:tabs>
        <w:autoSpaceDE/>
        <w:adjustRightInd/>
        <w:snapToGrid/>
        <w:spacing w:after="0"/>
        <w:jc w:val="left"/>
        <w:textAlignment w:val="baseline"/>
        <w:rPr>
          <w:rFonts w:ascii="Arial" w:hAnsi="Arial" w:cs="Arial"/>
          <w:b/>
          <w:bCs/>
          <w:sz w:val="24"/>
          <w:szCs w:val="20"/>
        </w:rPr>
      </w:pPr>
      <w:r w:rsidRPr="006D3026">
        <w:rPr>
          <w:rFonts w:ascii="Arial" w:hAnsi="Arial" w:cs="Arial"/>
          <w:b/>
          <w:bCs/>
          <w:sz w:val="24"/>
          <w:szCs w:val="20"/>
        </w:rPr>
        <w:t>3GPP TSG RAN WG1 Meeting #9</w:t>
      </w:r>
      <w:r w:rsidR="00BD39E4" w:rsidRPr="006D3026">
        <w:rPr>
          <w:rFonts w:ascii="Arial" w:hAnsi="Arial" w:cs="Arial"/>
          <w:b/>
          <w:bCs/>
          <w:sz w:val="24"/>
          <w:szCs w:val="20"/>
        </w:rPr>
        <w:t>4</w:t>
      </w:r>
      <w:r w:rsidRPr="006D3026">
        <w:rPr>
          <w:rFonts w:ascii="Arial" w:hAnsi="Arial" w:cs="Arial"/>
          <w:b/>
          <w:bCs/>
          <w:sz w:val="24"/>
          <w:szCs w:val="20"/>
        </w:rPr>
        <w:t>                           </w:t>
      </w:r>
      <w:r w:rsidRPr="006D3026">
        <w:rPr>
          <w:rFonts w:ascii="Arial" w:hAnsi="Arial" w:cs="Arial"/>
          <w:b/>
          <w:bCs/>
          <w:sz w:val="24"/>
          <w:szCs w:val="20"/>
        </w:rPr>
        <w:tab/>
        <w:t xml:space="preserve">                  </w:t>
      </w:r>
      <w:r w:rsidR="00771B14" w:rsidRPr="006D3026">
        <w:rPr>
          <w:rFonts w:ascii="Arial" w:hAnsi="Arial" w:cs="Arial"/>
          <w:b/>
          <w:bCs/>
          <w:sz w:val="24"/>
          <w:szCs w:val="20"/>
        </w:rPr>
        <w:t>R1-1808307</w:t>
      </w:r>
    </w:p>
    <w:p w14:paraId="145D10EC" w14:textId="6D8D7DDC" w:rsidR="005D5660" w:rsidRPr="006D3026" w:rsidRDefault="00BD39E4" w:rsidP="006D3026">
      <w:pPr>
        <w:widowControl w:val="0"/>
        <w:tabs>
          <w:tab w:val="center" w:pos="4536"/>
          <w:tab w:val="right" w:pos="9072"/>
        </w:tabs>
        <w:autoSpaceDE/>
        <w:adjustRightInd/>
        <w:snapToGrid/>
        <w:spacing w:after="0"/>
        <w:jc w:val="left"/>
        <w:textAlignment w:val="baseline"/>
        <w:rPr>
          <w:rFonts w:ascii="Arial" w:hAnsi="Arial" w:cs="Arial"/>
          <w:b/>
          <w:bCs/>
          <w:sz w:val="24"/>
          <w:szCs w:val="20"/>
        </w:rPr>
      </w:pPr>
      <w:r w:rsidRPr="006D3026">
        <w:rPr>
          <w:rFonts w:ascii="Arial" w:hAnsi="Arial" w:cs="Arial"/>
          <w:b/>
          <w:bCs/>
          <w:sz w:val="24"/>
          <w:szCs w:val="20"/>
        </w:rPr>
        <w:t>Gothenburg</w:t>
      </w:r>
      <w:r w:rsidR="005D5660" w:rsidRPr="006D3026">
        <w:rPr>
          <w:rFonts w:ascii="Arial" w:hAnsi="Arial" w:cs="Arial"/>
          <w:b/>
          <w:bCs/>
          <w:sz w:val="24"/>
          <w:szCs w:val="20"/>
        </w:rPr>
        <w:t xml:space="preserve">, </w:t>
      </w:r>
      <w:r w:rsidRPr="006D3026">
        <w:rPr>
          <w:rFonts w:ascii="Arial" w:hAnsi="Arial" w:cs="Arial"/>
          <w:b/>
          <w:bCs/>
          <w:sz w:val="24"/>
          <w:szCs w:val="20"/>
        </w:rPr>
        <w:t>Sweden</w:t>
      </w:r>
      <w:r w:rsidR="00E8756D" w:rsidRPr="006D3026">
        <w:rPr>
          <w:rFonts w:ascii="Arial" w:hAnsi="Arial" w:cs="Arial"/>
          <w:b/>
          <w:bCs/>
          <w:sz w:val="24"/>
          <w:szCs w:val="20"/>
        </w:rPr>
        <w:t xml:space="preserve">, </w:t>
      </w:r>
      <w:r w:rsidRPr="006D3026">
        <w:rPr>
          <w:rFonts w:ascii="Arial" w:hAnsi="Arial" w:cs="Arial"/>
          <w:b/>
          <w:bCs/>
          <w:sz w:val="24"/>
          <w:szCs w:val="20"/>
        </w:rPr>
        <w:t>20</w:t>
      </w:r>
      <w:r w:rsidR="005D5660" w:rsidRPr="006D3026">
        <w:rPr>
          <w:rFonts w:ascii="Arial" w:hAnsi="Arial" w:cs="Arial"/>
          <w:b/>
          <w:bCs/>
          <w:sz w:val="24"/>
          <w:szCs w:val="20"/>
        </w:rPr>
        <w:t xml:space="preserve">th </w:t>
      </w:r>
      <w:r w:rsidRPr="006D3026">
        <w:rPr>
          <w:rFonts w:ascii="Arial" w:hAnsi="Arial" w:cs="Arial"/>
          <w:b/>
          <w:bCs/>
          <w:sz w:val="24"/>
          <w:szCs w:val="20"/>
        </w:rPr>
        <w:t>August</w:t>
      </w:r>
      <w:r w:rsidR="005D5660" w:rsidRPr="006D3026">
        <w:rPr>
          <w:rFonts w:ascii="Arial" w:hAnsi="Arial" w:cs="Arial"/>
          <w:b/>
          <w:bCs/>
          <w:sz w:val="24"/>
          <w:szCs w:val="20"/>
        </w:rPr>
        <w:t xml:space="preserve"> – 2</w:t>
      </w:r>
      <w:r w:rsidRPr="006D3026">
        <w:rPr>
          <w:rFonts w:ascii="Arial" w:hAnsi="Arial" w:cs="Arial"/>
          <w:b/>
          <w:bCs/>
          <w:sz w:val="24"/>
          <w:szCs w:val="20"/>
        </w:rPr>
        <w:t>4</w:t>
      </w:r>
      <w:r w:rsidR="00E8756D" w:rsidRPr="006D3026">
        <w:rPr>
          <w:rFonts w:ascii="Arial" w:hAnsi="Arial" w:cs="Arial"/>
          <w:b/>
          <w:bCs/>
          <w:sz w:val="24"/>
          <w:szCs w:val="20"/>
        </w:rPr>
        <w:t>th</w:t>
      </w:r>
      <w:r w:rsidR="005D5660" w:rsidRPr="006D3026">
        <w:rPr>
          <w:rFonts w:ascii="Arial" w:hAnsi="Arial" w:cs="Arial"/>
          <w:b/>
          <w:bCs/>
          <w:sz w:val="24"/>
          <w:szCs w:val="20"/>
        </w:rPr>
        <w:t xml:space="preserve"> </w:t>
      </w:r>
      <w:r w:rsidRPr="006D3026">
        <w:rPr>
          <w:rFonts w:ascii="Arial" w:hAnsi="Arial" w:cs="Arial"/>
          <w:b/>
          <w:bCs/>
          <w:sz w:val="24"/>
          <w:szCs w:val="20"/>
        </w:rPr>
        <w:t>August</w:t>
      </w:r>
      <w:r w:rsidR="00E8756D" w:rsidRPr="006D3026">
        <w:rPr>
          <w:rFonts w:ascii="Arial" w:hAnsi="Arial" w:cs="Arial"/>
          <w:b/>
          <w:bCs/>
          <w:sz w:val="24"/>
          <w:szCs w:val="20"/>
        </w:rPr>
        <w:t xml:space="preserve"> 2018</w:t>
      </w:r>
    </w:p>
    <w:p w14:paraId="515EF91D" w14:textId="292D8024" w:rsidR="005D5660" w:rsidRDefault="005D5660" w:rsidP="006D3026">
      <w:pPr>
        <w:widowControl w:val="0"/>
        <w:tabs>
          <w:tab w:val="center" w:pos="4536"/>
          <w:tab w:val="right" w:pos="9072"/>
        </w:tabs>
        <w:autoSpaceDE/>
        <w:adjustRightInd/>
        <w:snapToGrid/>
        <w:spacing w:after="0"/>
        <w:jc w:val="left"/>
        <w:textAlignment w:val="baseline"/>
        <w:rPr>
          <w:rFonts w:ascii="Arial" w:hAnsi="Arial" w:cs="Arial"/>
          <w:b/>
          <w:bCs/>
          <w:sz w:val="24"/>
          <w:szCs w:val="20"/>
        </w:rPr>
      </w:pPr>
    </w:p>
    <w:p w14:paraId="0F66CFC4" w14:textId="77777777" w:rsidR="008D452D" w:rsidRPr="00802686" w:rsidRDefault="008D452D" w:rsidP="008D452D">
      <w:pPr>
        <w:spacing w:after="0"/>
        <w:ind w:left="1988" w:hanging="1988"/>
        <w:rPr>
          <w:rFonts w:ascii="Arial" w:hAnsi="Arial" w:cs="Arial"/>
          <w:b/>
          <w:sz w:val="24"/>
        </w:rPr>
      </w:pPr>
      <w:r w:rsidRPr="00802686">
        <w:rPr>
          <w:rFonts w:ascii="Arial" w:hAnsi="Arial" w:cs="Arial"/>
          <w:b/>
          <w:sz w:val="24"/>
        </w:rPr>
        <w:t>Source:</w:t>
      </w:r>
      <w:r w:rsidRPr="00802686">
        <w:rPr>
          <w:rFonts w:ascii="Arial" w:hAnsi="Arial" w:cs="Arial"/>
          <w:b/>
          <w:sz w:val="24"/>
        </w:rPr>
        <w:tab/>
      </w:r>
      <w:r>
        <w:rPr>
          <w:rFonts w:ascii="Arial" w:hAnsi="Arial" w:cs="Arial"/>
          <w:b/>
          <w:sz w:val="24"/>
        </w:rPr>
        <w:t>Fraunhofer HHI, Fraunhofer IIS</w:t>
      </w:r>
    </w:p>
    <w:p w14:paraId="763D4C0B" w14:textId="0D277271" w:rsidR="008D452D" w:rsidRDefault="008D452D" w:rsidP="008D452D">
      <w:pPr>
        <w:spacing w:after="0"/>
        <w:ind w:left="1988" w:hanging="1988"/>
        <w:rPr>
          <w:rFonts w:ascii="Arial" w:hAnsi="Arial" w:cs="Arial"/>
          <w:b/>
          <w:sz w:val="24"/>
        </w:rPr>
      </w:pPr>
      <w:r w:rsidRPr="00802686">
        <w:rPr>
          <w:rFonts w:ascii="Arial" w:hAnsi="Arial" w:cs="Arial"/>
          <w:b/>
          <w:sz w:val="24"/>
        </w:rPr>
        <w:t>Title:</w:t>
      </w:r>
      <w:r w:rsidRPr="00802686">
        <w:rPr>
          <w:rFonts w:ascii="Arial" w:hAnsi="Arial" w:cs="Arial"/>
          <w:b/>
          <w:sz w:val="24"/>
        </w:rPr>
        <w:tab/>
      </w:r>
      <w:r w:rsidRPr="009D7115">
        <w:rPr>
          <w:rFonts w:ascii="Arial" w:hAnsi="Arial" w:cs="Arial"/>
          <w:b/>
          <w:bCs/>
          <w:sz w:val="24"/>
          <w:szCs w:val="20"/>
        </w:rPr>
        <w:t xml:space="preserve">Sidelink Design for Unicast and </w:t>
      </w:r>
      <w:r>
        <w:rPr>
          <w:rFonts w:ascii="Arial" w:hAnsi="Arial" w:cs="Arial"/>
          <w:b/>
          <w:bCs/>
          <w:sz w:val="24"/>
          <w:szCs w:val="20"/>
        </w:rPr>
        <w:t>G</w:t>
      </w:r>
      <w:r w:rsidRPr="009D7115">
        <w:rPr>
          <w:rFonts w:ascii="Arial" w:hAnsi="Arial" w:cs="Arial"/>
          <w:b/>
          <w:bCs/>
          <w:sz w:val="24"/>
          <w:szCs w:val="20"/>
        </w:rPr>
        <w:t>roupcast</w:t>
      </w:r>
    </w:p>
    <w:p w14:paraId="289B4AE4" w14:textId="13183A17" w:rsidR="008D452D" w:rsidRPr="009F5E15" w:rsidRDefault="008D452D" w:rsidP="008D452D">
      <w:pPr>
        <w:spacing w:after="0"/>
        <w:ind w:left="1988" w:hanging="1988"/>
        <w:rPr>
          <w:rFonts w:ascii="Arial" w:hAnsi="Arial" w:cs="Arial"/>
          <w:b/>
          <w:sz w:val="24"/>
        </w:rPr>
      </w:pPr>
      <w:r w:rsidRPr="009F5E15">
        <w:rPr>
          <w:rFonts w:ascii="Arial" w:hAnsi="Arial" w:cs="Arial"/>
          <w:b/>
          <w:sz w:val="24"/>
        </w:rPr>
        <w:t>Agenda item:</w:t>
      </w:r>
      <w:r w:rsidRPr="009F5E15">
        <w:rPr>
          <w:rFonts w:ascii="Arial" w:hAnsi="Arial" w:cs="Arial"/>
          <w:b/>
          <w:sz w:val="24"/>
        </w:rPr>
        <w:tab/>
      </w:r>
      <w:r>
        <w:rPr>
          <w:rFonts w:ascii="Arial" w:hAnsi="Arial" w:cs="Arial"/>
          <w:b/>
          <w:sz w:val="24"/>
        </w:rPr>
        <w:t>7.2.4.1.1</w:t>
      </w:r>
    </w:p>
    <w:p w14:paraId="6894E145" w14:textId="72CA7910" w:rsidR="008D452D" w:rsidRDefault="008D452D" w:rsidP="008D452D">
      <w:pPr>
        <w:spacing w:after="0"/>
        <w:ind w:left="1988" w:hanging="1988"/>
        <w:rPr>
          <w:rFonts w:ascii="Arial" w:hAnsi="Arial" w:cs="Arial"/>
          <w:b/>
          <w:sz w:val="24"/>
        </w:rPr>
      </w:pPr>
      <w:r>
        <w:rPr>
          <w:rFonts w:ascii="Arial" w:hAnsi="Arial" w:cs="Arial"/>
          <w:b/>
          <w:sz w:val="24"/>
        </w:rPr>
        <w:t>Document for:</w:t>
      </w:r>
      <w:r>
        <w:rPr>
          <w:rFonts w:ascii="Arial" w:hAnsi="Arial" w:cs="Arial"/>
          <w:b/>
          <w:sz w:val="24"/>
        </w:rPr>
        <w:tab/>
        <w:t>Discussion and Decision</w:t>
      </w:r>
    </w:p>
    <w:p w14:paraId="5C934E0D" w14:textId="77777777" w:rsidR="008D452D" w:rsidRPr="009F5E15" w:rsidRDefault="008D452D" w:rsidP="008D452D">
      <w:pPr>
        <w:spacing w:after="0"/>
        <w:ind w:left="1988" w:hanging="1988"/>
        <w:rPr>
          <w:rFonts w:ascii="Arial" w:hAnsi="Arial" w:cs="Arial"/>
          <w:b/>
          <w:sz w:val="24"/>
        </w:rPr>
      </w:pPr>
    </w:p>
    <w:p w14:paraId="1CFC57CB" w14:textId="77777777" w:rsidR="005D5660" w:rsidRPr="008D452D" w:rsidRDefault="005D5660" w:rsidP="006D3026">
      <w:pPr>
        <w:pStyle w:val="berschrift1"/>
        <w:keepLines/>
        <w:numPr>
          <w:ilvl w:val="0"/>
          <w:numId w:val="1"/>
        </w:numPr>
        <w:pBdr>
          <w:top w:val="single" w:sz="12" w:space="3" w:color="auto"/>
        </w:pBdr>
        <w:overflowPunct w:val="0"/>
        <w:snapToGrid/>
        <w:spacing w:before="240" w:after="180"/>
        <w:jc w:val="left"/>
        <w:textAlignment w:val="baseline"/>
        <w:rPr>
          <w:rFonts w:ascii="Arial" w:hAnsi="Arial" w:cs="Arial"/>
          <w:b w:val="0"/>
          <w:bCs w:val="0"/>
          <w:sz w:val="36"/>
          <w:szCs w:val="36"/>
        </w:rPr>
      </w:pPr>
      <w:bookmarkStart w:id="0" w:name="_Ref124589705"/>
      <w:bookmarkStart w:id="1" w:name="_Ref129681862"/>
      <w:r w:rsidRPr="008D452D">
        <w:rPr>
          <w:rFonts w:ascii="Arial" w:hAnsi="Arial" w:cs="Arial"/>
          <w:b w:val="0"/>
          <w:bCs w:val="0"/>
          <w:sz w:val="36"/>
          <w:szCs w:val="36"/>
        </w:rPr>
        <w:t>Introduction</w:t>
      </w:r>
      <w:bookmarkEnd w:id="0"/>
      <w:bookmarkEnd w:id="1"/>
    </w:p>
    <w:p w14:paraId="73767BF1" w14:textId="77777777" w:rsidR="00C907AE" w:rsidRDefault="00C907AE" w:rsidP="00C907AE">
      <w:pPr>
        <w:pStyle w:val="3GPPNormalText"/>
      </w:pPr>
      <w:r>
        <w:t>T</w:t>
      </w:r>
      <w:r w:rsidRPr="00414EC4">
        <w:t xml:space="preserve">he </w:t>
      </w:r>
      <w:r>
        <w:t>study</w:t>
      </w:r>
      <w:r w:rsidRPr="00414EC4">
        <w:t xml:space="preserve"> item for </w:t>
      </w:r>
      <w:r>
        <w:t>NR V2X</w:t>
      </w:r>
      <w:r w:rsidRPr="00414EC4">
        <w:t xml:space="preserve"> was approved</w:t>
      </w:r>
      <w:r>
        <w:t xml:space="preserve"> [1] in RAN#80 and the objectives were identified:</w:t>
      </w:r>
    </w:p>
    <w:tbl>
      <w:tblPr>
        <w:tblStyle w:val="Tabellenraster"/>
        <w:tblW w:w="0" w:type="auto"/>
        <w:tblLook w:val="04A0" w:firstRow="1" w:lastRow="0" w:firstColumn="1" w:lastColumn="0" w:noHBand="0" w:noVBand="1"/>
      </w:tblPr>
      <w:tblGrid>
        <w:gridCol w:w="9307"/>
      </w:tblGrid>
      <w:tr w:rsidR="00C907AE" w14:paraId="2053FFE3" w14:textId="77777777" w:rsidTr="005D4BF1">
        <w:tc>
          <w:tcPr>
            <w:tcW w:w="9629" w:type="dxa"/>
          </w:tcPr>
          <w:p w14:paraId="237DC723" w14:textId="77777777" w:rsidR="00C907AE" w:rsidRDefault="00C907AE" w:rsidP="005D4BF1">
            <w:pPr>
              <w:pStyle w:val="3GPPNormalText"/>
            </w:pPr>
            <w:r>
              <w:t>This study item includes the following objectives, considering in-network coverage, out-of-network coverage, and partial network coverage:</w:t>
            </w:r>
          </w:p>
          <w:p w14:paraId="2B4D437C" w14:textId="77777777" w:rsidR="00C907AE" w:rsidRDefault="00C907AE" w:rsidP="005D4BF1">
            <w:pPr>
              <w:pStyle w:val="3GPPNormalText"/>
            </w:pPr>
          </w:p>
          <w:p w14:paraId="4E22C79C" w14:textId="77777777" w:rsidR="00C907AE" w:rsidRPr="00CC13D3" w:rsidRDefault="00C907AE" w:rsidP="005D4BF1">
            <w:pPr>
              <w:pStyle w:val="3GPPNormalText"/>
            </w:pPr>
            <w:r w:rsidRPr="00CC13D3">
              <w:t>1: Sidelink design [RAN1, RAN2]:</w:t>
            </w:r>
          </w:p>
          <w:p w14:paraId="2750842A" w14:textId="77777777" w:rsidR="00C907AE" w:rsidRDefault="00C907AE" w:rsidP="005D4BF1">
            <w:pPr>
              <w:pStyle w:val="3GPPNormalText"/>
            </w:pPr>
            <w:r>
              <w:t></w:t>
            </w:r>
            <w:r>
              <w:tab/>
              <w:t xml:space="preserve">Identify technical solutions for a NR sidelink design to meet the requirements of advanced V2X services, including </w:t>
            </w:r>
          </w:p>
          <w:p w14:paraId="56EB0697" w14:textId="77777777" w:rsidR="00C907AE" w:rsidRPr="00207D12" w:rsidRDefault="00C907AE" w:rsidP="005D4BF1">
            <w:pPr>
              <w:pStyle w:val="3GPPNormalText"/>
              <w:ind w:left="338"/>
              <w:rPr>
                <w:b/>
              </w:rPr>
            </w:pPr>
            <w:r w:rsidRPr="00207D12">
              <w:rPr>
                <w:b/>
              </w:rPr>
              <w:t>-</w:t>
            </w:r>
            <w:r w:rsidRPr="00207D12">
              <w:rPr>
                <w:b/>
              </w:rPr>
              <w:tab/>
              <w:t>Study the support of sidelink unicast, sidelink groupcast and sidelink broadcast</w:t>
            </w:r>
          </w:p>
          <w:p w14:paraId="1168A5B3" w14:textId="77777777" w:rsidR="00C907AE" w:rsidRDefault="00C907AE" w:rsidP="005D4BF1">
            <w:pPr>
              <w:pStyle w:val="3GPPNormalText"/>
              <w:ind w:left="338"/>
            </w:pPr>
            <w:r>
              <w:t>-</w:t>
            </w:r>
            <w:r>
              <w:tab/>
              <w:t>Study NR sidelink physical layer structures and procedure(s)</w:t>
            </w:r>
          </w:p>
          <w:p w14:paraId="76A98B82" w14:textId="77777777" w:rsidR="00C907AE" w:rsidRDefault="00C907AE" w:rsidP="005D4BF1">
            <w:pPr>
              <w:pStyle w:val="3GPPNormalText"/>
              <w:ind w:left="338"/>
            </w:pPr>
            <w:r>
              <w:t>-</w:t>
            </w:r>
            <w:r>
              <w:tab/>
              <w:t>Study sidelink synchronization mechanism</w:t>
            </w:r>
          </w:p>
          <w:p w14:paraId="6159DF01" w14:textId="77777777" w:rsidR="00C907AE" w:rsidRPr="00207D12" w:rsidRDefault="00C907AE" w:rsidP="005D4BF1">
            <w:pPr>
              <w:pStyle w:val="3GPPNormalText"/>
              <w:ind w:left="338"/>
            </w:pPr>
            <w:r w:rsidRPr="00207D12">
              <w:t>-</w:t>
            </w:r>
            <w:r w:rsidRPr="00207D12">
              <w:tab/>
              <w:t>Study sidelink resource allocation mechanism (also including objective 3)</w:t>
            </w:r>
          </w:p>
          <w:p w14:paraId="4FCD0F0A" w14:textId="77777777" w:rsidR="00C907AE" w:rsidRDefault="00C907AE" w:rsidP="005D4BF1">
            <w:pPr>
              <w:pStyle w:val="3GPPNormalText"/>
              <w:ind w:left="338"/>
            </w:pPr>
            <w:r>
              <w:t>-</w:t>
            </w:r>
            <w:r>
              <w:tab/>
              <w:t>Study sidelink L2/L3 protocols</w:t>
            </w:r>
          </w:p>
          <w:p w14:paraId="7657C601" w14:textId="6C83A042" w:rsidR="00C907AE" w:rsidRDefault="00C907AE" w:rsidP="005D4BF1">
            <w:pPr>
              <w:pStyle w:val="3GPPNormalText"/>
            </w:pPr>
            <w:r>
              <w:t>NOTE: Only the performance of advanced V2X use cases will be evaluated in the design of NR sidelink.</w:t>
            </w:r>
          </w:p>
        </w:tc>
      </w:tr>
    </w:tbl>
    <w:p w14:paraId="294D5105" w14:textId="77777777" w:rsidR="00E02AC9" w:rsidRDefault="00E02AC9" w:rsidP="00207D12"/>
    <w:p w14:paraId="533835A0" w14:textId="1F3BD22A" w:rsidR="00A370C7" w:rsidRDefault="003D2E1B" w:rsidP="00A370C7">
      <w:bookmarkStart w:id="2" w:name="_Ref129681832"/>
      <w:r>
        <w:t xml:space="preserve">The design of </w:t>
      </w:r>
      <w:r w:rsidR="00A370C7">
        <w:t xml:space="preserve">LTE V2X and D2D communications </w:t>
      </w:r>
      <w:r w:rsidR="003C3D28">
        <w:t xml:space="preserve">specifies </w:t>
      </w:r>
      <w:r w:rsidR="00A370C7">
        <w:t xml:space="preserve">only </w:t>
      </w:r>
      <w:r w:rsidR="00316B28">
        <w:t xml:space="preserve">a </w:t>
      </w:r>
      <w:r w:rsidR="00A370C7">
        <w:t xml:space="preserve">broadcast </w:t>
      </w:r>
      <w:r w:rsidR="00316B28">
        <w:t>mode of operation</w:t>
      </w:r>
      <w:r w:rsidR="00A370C7">
        <w:t xml:space="preserve">, which </w:t>
      </w:r>
      <w:r w:rsidR="00316B28">
        <w:t>caters to</w:t>
      </w:r>
      <w:r w:rsidR="00020D46">
        <w:t xml:space="preserve"> </w:t>
      </w:r>
      <w:r w:rsidR="00A370C7">
        <w:t>the most important use cases of sidelink communication</w:t>
      </w:r>
      <w:r w:rsidR="00316B28">
        <w:t>s</w:t>
      </w:r>
      <w:r w:rsidR="00A370C7">
        <w:t>.</w:t>
      </w:r>
      <w:r w:rsidR="00316B28">
        <w:t xml:space="preserve"> </w:t>
      </w:r>
      <w:r w:rsidR="00A370C7">
        <w:t xml:space="preserve">However, more enhanced use cases require unicast and multicast </w:t>
      </w:r>
      <w:r w:rsidR="00316B28">
        <w:t>support</w:t>
      </w:r>
      <w:r w:rsidR="00A370C7">
        <w:t>. An example of an advanced use case includes platooning, where the platoon leader transmits groupcast messages to the members of its platoon. The platoon leader has to ensure that all platoon members receive messages correctly, especially for mission critical communications, such as emergency break</w:t>
      </w:r>
      <w:r w:rsidR="0079131C">
        <w:t>ing</w:t>
      </w:r>
      <w:r w:rsidR="00A370C7">
        <w:t xml:space="preserve"> or steering command</w:t>
      </w:r>
      <w:r w:rsidR="0079131C">
        <w:t>s</w:t>
      </w:r>
      <w:r w:rsidR="00A370C7">
        <w:t>.</w:t>
      </w:r>
    </w:p>
    <w:p w14:paraId="2E6E0E4C" w14:textId="7996655E" w:rsidR="00A370C7" w:rsidRDefault="005F48B8" w:rsidP="00A370C7">
      <w:r>
        <w:t xml:space="preserve">Furthermore, </w:t>
      </w:r>
      <w:r w:rsidR="00A370C7">
        <w:t xml:space="preserve">exchanging sensor data or camera footage among vehicles requires unicast communication. </w:t>
      </w:r>
      <w:r>
        <w:t>W</w:t>
      </w:r>
      <w:r w:rsidR="00A370C7">
        <w:t>hen sharing video feeds between two vehicles, a spectrally efficient transmission is critical</w:t>
      </w:r>
      <w:r>
        <w:t>, else</w:t>
      </w:r>
      <w:r w:rsidR="00A370C7">
        <w:t xml:space="preserve"> bandwidth shortage would prevent reliable communication</w:t>
      </w:r>
      <w:r>
        <w:t>s</w:t>
      </w:r>
      <w:r w:rsidR="00A370C7">
        <w:t xml:space="preserve"> among the cars.</w:t>
      </w:r>
    </w:p>
    <w:p w14:paraId="7893D932" w14:textId="1C8F7953" w:rsidR="006941A4" w:rsidRDefault="00A370C7" w:rsidP="00654CA5">
      <w:pPr>
        <w:rPr>
          <w:lang w:eastAsia="zh-CN"/>
        </w:rPr>
      </w:pPr>
      <w:r>
        <w:t xml:space="preserve">Hence, </w:t>
      </w:r>
      <w:r w:rsidR="005F48B8">
        <w:t xml:space="preserve">methods </w:t>
      </w:r>
      <w:r>
        <w:t xml:space="preserve">to support unicast and groupcast for V2X in a spectrally efficient and yet reliable manner </w:t>
      </w:r>
      <w:r w:rsidR="005F48B8">
        <w:t xml:space="preserve">have </w:t>
      </w:r>
      <w:r>
        <w:t>to be studied.</w:t>
      </w:r>
    </w:p>
    <w:p w14:paraId="64872267" w14:textId="5FCD8D7E" w:rsidR="00BD39E4" w:rsidRPr="008D452D" w:rsidRDefault="0044527C" w:rsidP="008D452D">
      <w:pPr>
        <w:pStyle w:val="berschrift1"/>
        <w:keepLines/>
        <w:numPr>
          <w:ilvl w:val="0"/>
          <w:numId w:val="1"/>
        </w:numPr>
        <w:pBdr>
          <w:top w:val="single" w:sz="12" w:space="3" w:color="auto"/>
        </w:pBdr>
        <w:overflowPunct w:val="0"/>
        <w:snapToGrid/>
        <w:spacing w:before="240" w:after="180"/>
        <w:jc w:val="left"/>
        <w:textAlignment w:val="baseline"/>
        <w:rPr>
          <w:rFonts w:ascii="Arial" w:hAnsi="Arial"/>
          <w:b w:val="0"/>
          <w:bCs w:val="0"/>
          <w:sz w:val="36"/>
          <w:szCs w:val="20"/>
        </w:rPr>
      </w:pPr>
      <w:r w:rsidRPr="008D452D">
        <w:rPr>
          <w:rFonts w:ascii="Arial" w:hAnsi="Arial"/>
          <w:b w:val="0"/>
          <w:bCs w:val="0"/>
          <w:sz w:val="36"/>
          <w:szCs w:val="20"/>
        </w:rPr>
        <w:t>Challenges</w:t>
      </w:r>
      <w:r w:rsidR="005D5660" w:rsidRPr="008D452D">
        <w:rPr>
          <w:rFonts w:ascii="Arial" w:hAnsi="Arial"/>
          <w:b w:val="0"/>
          <w:bCs w:val="0"/>
          <w:sz w:val="36"/>
          <w:szCs w:val="20"/>
        </w:rPr>
        <w:t xml:space="preserve"> </w:t>
      </w:r>
      <w:r w:rsidR="005D5660" w:rsidRPr="008D452D">
        <w:rPr>
          <w:rFonts w:ascii="Arial" w:hAnsi="Arial" w:hint="eastAsia"/>
          <w:b w:val="0"/>
          <w:bCs w:val="0"/>
          <w:sz w:val="36"/>
          <w:szCs w:val="20"/>
        </w:rPr>
        <w:t xml:space="preserve">for </w:t>
      </w:r>
      <w:r w:rsidR="00960921" w:rsidRPr="008D452D">
        <w:rPr>
          <w:rFonts w:ascii="Arial" w:hAnsi="Arial"/>
          <w:b w:val="0"/>
          <w:bCs w:val="0"/>
          <w:sz w:val="36"/>
          <w:szCs w:val="20"/>
        </w:rPr>
        <w:t>S</w:t>
      </w:r>
      <w:r w:rsidR="00E02AC9" w:rsidRPr="008D452D">
        <w:rPr>
          <w:rFonts w:ascii="Arial" w:hAnsi="Arial"/>
          <w:b w:val="0"/>
          <w:bCs w:val="0"/>
          <w:sz w:val="36"/>
          <w:szCs w:val="20"/>
        </w:rPr>
        <w:t xml:space="preserve">upporting </w:t>
      </w:r>
      <w:r w:rsidR="00960921" w:rsidRPr="008D452D">
        <w:rPr>
          <w:rFonts w:ascii="Arial" w:hAnsi="Arial"/>
          <w:b w:val="0"/>
          <w:bCs w:val="0"/>
          <w:sz w:val="36"/>
          <w:szCs w:val="20"/>
        </w:rPr>
        <w:t>U</w:t>
      </w:r>
      <w:r w:rsidR="00E02AC9" w:rsidRPr="008D452D">
        <w:rPr>
          <w:rFonts w:ascii="Arial" w:hAnsi="Arial"/>
          <w:b w:val="0"/>
          <w:bCs w:val="0"/>
          <w:sz w:val="36"/>
          <w:szCs w:val="20"/>
        </w:rPr>
        <w:t xml:space="preserve">nicast and </w:t>
      </w:r>
      <w:r w:rsidR="00960921" w:rsidRPr="008D452D">
        <w:rPr>
          <w:rFonts w:ascii="Arial" w:hAnsi="Arial"/>
          <w:b w:val="0"/>
          <w:bCs w:val="0"/>
          <w:sz w:val="36"/>
          <w:szCs w:val="20"/>
        </w:rPr>
        <w:t>G</w:t>
      </w:r>
      <w:r w:rsidR="00E02AC9" w:rsidRPr="008D452D">
        <w:rPr>
          <w:rFonts w:ascii="Arial" w:hAnsi="Arial"/>
          <w:b w:val="0"/>
          <w:bCs w:val="0"/>
          <w:sz w:val="36"/>
          <w:szCs w:val="20"/>
        </w:rPr>
        <w:t xml:space="preserve">roupcast in </w:t>
      </w:r>
      <w:r w:rsidR="00064A13" w:rsidRPr="008D452D">
        <w:rPr>
          <w:rFonts w:ascii="Arial" w:hAnsi="Arial"/>
          <w:b w:val="0"/>
          <w:bCs w:val="0"/>
          <w:sz w:val="36"/>
          <w:szCs w:val="20"/>
        </w:rPr>
        <w:t>SL</w:t>
      </w:r>
      <w:bookmarkEnd w:id="2"/>
    </w:p>
    <w:p w14:paraId="7009D471" w14:textId="76B933ED" w:rsidR="00A370C7" w:rsidRDefault="000E5B89" w:rsidP="00A370C7">
      <w:pPr>
        <w:rPr>
          <w:lang w:val="en-GB" w:eastAsia="zh-CN"/>
        </w:rPr>
      </w:pPr>
      <w:r>
        <w:rPr>
          <w:lang w:val="en-GB" w:eastAsia="zh-CN"/>
        </w:rPr>
        <w:t xml:space="preserve">V2X </w:t>
      </w:r>
      <w:r w:rsidR="00A370C7">
        <w:rPr>
          <w:lang w:val="en-GB" w:eastAsia="zh-CN"/>
        </w:rPr>
        <w:t>unicast and groupcast communications introduce different challenges to the PHY layer</w:t>
      </w:r>
      <w:r>
        <w:rPr>
          <w:lang w:val="en-GB" w:eastAsia="zh-CN"/>
        </w:rPr>
        <w:t>, predominately at the Uu interface</w:t>
      </w:r>
      <w:r w:rsidR="00A370C7">
        <w:rPr>
          <w:lang w:val="en-GB" w:eastAsia="zh-CN"/>
        </w:rPr>
        <w:t xml:space="preserve">. Broadcast communications are based on best-effort service, whereas unicast communications, </w:t>
      </w:r>
      <w:r w:rsidR="00EE2D48">
        <w:rPr>
          <w:lang w:val="en-GB" w:eastAsia="zh-CN"/>
        </w:rPr>
        <w:t>on the other hand</w:t>
      </w:r>
      <w:r w:rsidR="00A370C7">
        <w:rPr>
          <w:lang w:val="en-GB" w:eastAsia="zh-CN"/>
        </w:rPr>
        <w:t>, require reliability as well as spectral efficiency. The blind-retransmission mechanism used in LTE V2X and D2D can achieve a certain degree of reliability but is spectrally inefficient since the transmissions are always repeated</w:t>
      </w:r>
      <w:r w:rsidR="00EE2D48">
        <w:rPr>
          <w:lang w:val="en-GB" w:eastAsia="zh-CN"/>
        </w:rPr>
        <w:t>,</w:t>
      </w:r>
      <w:r w:rsidR="00A370C7">
        <w:rPr>
          <w:lang w:val="en-GB" w:eastAsia="zh-CN"/>
        </w:rPr>
        <w:t xml:space="preserve"> though not needed.</w:t>
      </w:r>
    </w:p>
    <w:p w14:paraId="244BF84E" w14:textId="0E7AA149" w:rsidR="00981879" w:rsidRDefault="00981879" w:rsidP="00981879">
      <w:pPr>
        <w:keepNext/>
      </w:pPr>
      <w:r>
        <w:lastRenderedPageBreak/>
        <w:t>In V2X communication</w:t>
      </w:r>
      <w:r w:rsidR="00EE2D48">
        <w:t>s</w:t>
      </w:r>
      <w:r>
        <w:t xml:space="preserve">, the Downlink Control Information (DCI) message format 5A, sent from the BS to the UE, defines whether a packet </w:t>
      </w:r>
      <w:r w:rsidR="00EE2D48">
        <w:t xml:space="preserve">has </w:t>
      </w:r>
      <w:r>
        <w:t>to be retransmitted. This is indicated by the parameter “</w:t>
      </w:r>
      <w:r w:rsidRPr="00562BC6">
        <w:t>Time gap between initial transmission and retransmission</w:t>
      </w:r>
      <w:r>
        <w:t xml:space="preserve"> (</w:t>
      </w:r>
      <w:proofErr w:type="spellStart"/>
      <w:r w:rsidRPr="0049615E">
        <w:rPr>
          <w:i/>
        </w:rPr>
        <w:t>SF</w:t>
      </w:r>
      <w:r w:rsidRPr="0049615E">
        <w:rPr>
          <w:i/>
          <w:vertAlign w:val="subscript"/>
        </w:rPr>
        <w:t>gap</w:t>
      </w:r>
      <w:proofErr w:type="spellEnd"/>
      <w:r>
        <w:t>)”. This parameter is further broadcasted by the transmitting UE to all receiving UEs using the Sidelink Control Information (SCI) message.</w:t>
      </w:r>
    </w:p>
    <w:p w14:paraId="34DB6E29" w14:textId="62B03EFB" w:rsidR="00981879" w:rsidRDefault="00981879" w:rsidP="00981879">
      <w:pPr>
        <w:keepNext/>
      </w:pPr>
      <w:r>
        <w:t>The SCI contains another parameter called “</w:t>
      </w:r>
      <w:r w:rsidRPr="00C03C57">
        <w:t>Retransmission index</w:t>
      </w:r>
      <w:r>
        <w:t xml:space="preserve">” to indicate as to whether the transmission is the initial one or retransmitted one. If it is set to 0, it indicates that it is the initial transmission, and if it is set to 1, it is the retransmission of the initial transmission after the </w:t>
      </w:r>
      <w:proofErr w:type="spellStart"/>
      <w:r w:rsidRPr="00250337">
        <w:rPr>
          <w:i/>
        </w:rPr>
        <w:t>SF</w:t>
      </w:r>
      <w:r w:rsidRPr="00250337">
        <w:rPr>
          <w:i/>
          <w:vertAlign w:val="subscript"/>
        </w:rPr>
        <w:t>gap</w:t>
      </w:r>
      <w:proofErr w:type="spellEnd"/>
      <w:r>
        <w:t>. This is illustrated in Fig. 1.</w:t>
      </w:r>
    </w:p>
    <w:p w14:paraId="611DDEB4" w14:textId="77777777" w:rsidR="00981879" w:rsidRDefault="00981879" w:rsidP="00981879">
      <w:pPr>
        <w:keepNext/>
      </w:pPr>
    </w:p>
    <w:p w14:paraId="51F587FD" w14:textId="77777777" w:rsidR="00981879" w:rsidRDefault="00981879" w:rsidP="00981879">
      <w:pPr>
        <w:keepNext/>
        <w:jc w:val="center"/>
      </w:pPr>
      <w:r w:rsidRPr="00C6192E">
        <w:rPr>
          <w:noProof/>
        </w:rPr>
        <w:drawing>
          <wp:inline distT="0" distB="0" distL="0" distR="0" wp14:anchorId="6045C7A8" wp14:editId="700969B2">
            <wp:extent cx="4140200" cy="1198479"/>
            <wp:effectExtent l="0" t="0" r="0" b="190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140200" cy="1198479"/>
                    </a:xfrm>
                    <a:prstGeom prst="rect">
                      <a:avLst/>
                    </a:prstGeom>
                    <a:noFill/>
                    <a:ln>
                      <a:noFill/>
                    </a:ln>
                  </pic:spPr>
                </pic:pic>
              </a:graphicData>
            </a:graphic>
          </wp:inline>
        </w:drawing>
      </w:r>
    </w:p>
    <w:p w14:paraId="536EE4A1" w14:textId="77777777" w:rsidR="00981879" w:rsidRPr="007110DB" w:rsidRDefault="00981879" w:rsidP="00981879">
      <w:pPr>
        <w:keepNext/>
        <w:jc w:val="center"/>
        <w:rPr>
          <w:i/>
        </w:rPr>
      </w:pPr>
      <w:r w:rsidRPr="007110DB">
        <w:rPr>
          <w:i/>
        </w:rPr>
        <w:t>Figure 1: Illustration depicting the Initial Transmission and Retransmission</w:t>
      </w:r>
      <w:r>
        <w:rPr>
          <w:i/>
        </w:rPr>
        <w:t xml:space="preserve"> in V2X Broadcast Systems</w:t>
      </w:r>
    </w:p>
    <w:p w14:paraId="1E6D12D4" w14:textId="118A19A8" w:rsidR="00981879" w:rsidRDefault="00064A13" w:rsidP="00207D12">
      <w:pPr>
        <w:rPr>
          <w:lang w:eastAsia="zh-CN"/>
        </w:rPr>
      </w:pPr>
      <w:r>
        <w:rPr>
          <w:lang w:eastAsia="zh-CN"/>
        </w:rPr>
        <w:t xml:space="preserve">In </w:t>
      </w:r>
      <w:r w:rsidR="00D147AF">
        <w:rPr>
          <w:lang w:eastAsia="zh-CN"/>
        </w:rPr>
        <w:t xml:space="preserve">NR V2X </w:t>
      </w:r>
      <w:r>
        <w:rPr>
          <w:lang w:eastAsia="zh-CN"/>
        </w:rPr>
        <w:t xml:space="preserve">unicast as well as groupcast transmissions, the same reliability has to be achieved in a much more spectrally efficient manner. </w:t>
      </w:r>
    </w:p>
    <w:p w14:paraId="340CAC80" w14:textId="700BD359" w:rsidR="00B44682" w:rsidRPr="003D2E1B" w:rsidRDefault="00A370C7" w:rsidP="003D2E1B">
      <w:pPr>
        <w:rPr>
          <w:lang w:val="en-GB" w:eastAsia="zh-CN"/>
        </w:rPr>
      </w:pPr>
      <w:r w:rsidRPr="00F07CDE">
        <w:rPr>
          <w:b/>
          <w:lang w:eastAsia="zh-CN"/>
        </w:rPr>
        <w:t>Observation 1</w:t>
      </w:r>
      <w:r>
        <w:rPr>
          <w:b/>
          <w:lang w:eastAsia="zh-CN"/>
        </w:rPr>
        <w:t xml:space="preserve">: </w:t>
      </w:r>
      <w:r w:rsidRPr="00F07CDE">
        <w:rPr>
          <w:lang w:eastAsia="zh-CN"/>
        </w:rPr>
        <w:t xml:space="preserve">Existing blind retransmission mechanisms in V2X broadcast are not </w:t>
      </w:r>
      <w:r w:rsidR="00D147AF">
        <w:rPr>
          <w:lang w:eastAsia="zh-CN"/>
        </w:rPr>
        <w:t>spectrally efficient to support</w:t>
      </w:r>
      <w:r w:rsidRPr="00F07CDE">
        <w:rPr>
          <w:lang w:eastAsia="zh-CN"/>
        </w:rPr>
        <w:t xml:space="preserve"> </w:t>
      </w:r>
      <w:r w:rsidR="00D147AF">
        <w:rPr>
          <w:lang w:eastAsia="zh-CN"/>
        </w:rPr>
        <w:t>V2X</w:t>
      </w:r>
      <w:r w:rsidR="00D147AF" w:rsidRPr="00F07CDE">
        <w:rPr>
          <w:lang w:eastAsia="zh-CN"/>
        </w:rPr>
        <w:t xml:space="preserve"> </w:t>
      </w:r>
      <w:r w:rsidRPr="00F07CDE">
        <w:rPr>
          <w:lang w:eastAsia="zh-CN"/>
        </w:rPr>
        <w:t>unicast</w:t>
      </w:r>
      <w:r w:rsidR="00D147AF">
        <w:rPr>
          <w:lang w:eastAsia="zh-CN"/>
        </w:rPr>
        <w:t>.</w:t>
      </w:r>
    </w:p>
    <w:p w14:paraId="1A583C84" w14:textId="6141A0A6" w:rsidR="00714F26" w:rsidRPr="008D452D" w:rsidRDefault="00895D3C" w:rsidP="008D452D">
      <w:pPr>
        <w:pStyle w:val="berschrift1"/>
        <w:keepLines/>
        <w:numPr>
          <w:ilvl w:val="0"/>
          <w:numId w:val="1"/>
        </w:numPr>
        <w:pBdr>
          <w:top w:val="single" w:sz="12" w:space="3" w:color="auto"/>
        </w:pBdr>
        <w:overflowPunct w:val="0"/>
        <w:snapToGrid/>
        <w:spacing w:before="240" w:after="180"/>
        <w:jc w:val="left"/>
        <w:textAlignment w:val="baseline"/>
        <w:rPr>
          <w:rFonts w:ascii="Arial" w:hAnsi="Arial"/>
          <w:b w:val="0"/>
          <w:bCs w:val="0"/>
          <w:sz w:val="36"/>
          <w:szCs w:val="20"/>
        </w:rPr>
      </w:pPr>
      <w:r w:rsidRPr="008D452D">
        <w:rPr>
          <w:rFonts w:ascii="Arial" w:hAnsi="Arial"/>
          <w:b w:val="0"/>
          <w:bCs w:val="0"/>
          <w:sz w:val="36"/>
          <w:szCs w:val="20"/>
        </w:rPr>
        <w:t>Potential</w:t>
      </w:r>
      <w:r w:rsidR="00B44682" w:rsidRPr="008D452D">
        <w:rPr>
          <w:rFonts w:ascii="Arial" w:hAnsi="Arial"/>
          <w:b w:val="0"/>
          <w:bCs w:val="0"/>
          <w:sz w:val="36"/>
          <w:szCs w:val="20"/>
        </w:rPr>
        <w:t xml:space="preserve"> </w:t>
      </w:r>
      <w:r w:rsidR="00960921" w:rsidRPr="008D452D">
        <w:rPr>
          <w:rFonts w:ascii="Arial" w:hAnsi="Arial"/>
          <w:b w:val="0"/>
          <w:bCs w:val="0"/>
          <w:sz w:val="36"/>
          <w:szCs w:val="20"/>
        </w:rPr>
        <w:t>S</w:t>
      </w:r>
      <w:r w:rsidR="00B623AA" w:rsidRPr="008D452D">
        <w:rPr>
          <w:rFonts w:ascii="Arial" w:hAnsi="Arial"/>
          <w:b w:val="0"/>
          <w:bCs w:val="0"/>
          <w:sz w:val="36"/>
          <w:szCs w:val="20"/>
        </w:rPr>
        <w:t>olut</w:t>
      </w:r>
      <w:r w:rsidR="00714F26" w:rsidRPr="008D452D">
        <w:rPr>
          <w:rFonts w:ascii="Arial" w:hAnsi="Arial"/>
          <w:b w:val="0"/>
          <w:bCs w:val="0"/>
          <w:sz w:val="36"/>
          <w:szCs w:val="20"/>
        </w:rPr>
        <w:t xml:space="preserve">ions for </w:t>
      </w:r>
      <w:r w:rsidR="00960921" w:rsidRPr="008D452D">
        <w:rPr>
          <w:rFonts w:ascii="Arial" w:hAnsi="Arial"/>
          <w:b w:val="0"/>
          <w:bCs w:val="0"/>
          <w:sz w:val="36"/>
          <w:szCs w:val="20"/>
        </w:rPr>
        <w:t>U</w:t>
      </w:r>
      <w:r w:rsidR="00714F26" w:rsidRPr="008D452D">
        <w:rPr>
          <w:rFonts w:ascii="Arial" w:hAnsi="Arial"/>
          <w:b w:val="0"/>
          <w:bCs w:val="0"/>
          <w:sz w:val="36"/>
          <w:szCs w:val="20"/>
        </w:rPr>
        <w:t xml:space="preserve">nicast and </w:t>
      </w:r>
      <w:r w:rsidR="00960921" w:rsidRPr="008D452D">
        <w:rPr>
          <w:rFonts w:ascii="Arial" w:hAnsi="Arial"/>
          <w:b w:val="0"/>
          <w:bCs w:val="0"/>
          <w:sz w:val="36"/>
          <w:szCs w:val="20"/>
        </w:rPr>
        <w:t>G</w:t>
      </w:r>
      <w:r w:rsidR="00714F26" w:rsidRPr="008D452D">
        <w:rPr>
          <w:rFonts w:ascii="Arial" w:hAnsi="Arial"/>
          <w:b w:val="0"/>
          <w:bCs w:val="0"/>
          <w:sz w:val="36"/>
          <w:szCs w:val="20"/>
        </w:rPr>
        <w:t>r</w:t>
      </w:r>
      <w:r w:rsidR="00B44682" w:rsidRPr="008D452D">
        <w:rPr>
          <w:rFonts w:ascii="Arial" w:hAnsi="Arial"/>
          <w:b w:val="0"/>
          <w:bCs w:val="0"/>
          <w:sz w:val="36"/>
          <w:szCs w:val="20"/>
        </w:rPr>
        <w:t xml:space="preserve">oupcast </w:t>
      </w:r>
      <w:r w:rsidR="00960921" w:rsidRPr="008D452D">
        <w:rPr>
          <w:rFonts w:ascii="Arial" w:hAnsi="Arial"/>
          <w:b w:val="0"/>
          <w:bCs w:val="0"/>
          <w:sz w:val="36"/>
          <w:szCs w:val="20"/>
        </w:rPr>
        <w:t>S</w:t>
      </w:r>
      <w:r w:rsidR="00B44682" w:rsidRPr="008D452D">
        <w:rPr>
          <w:rFonts w:ascii="Arial" w:hAnsi="Arial"/>
          <w:b w:val="0"/>
          <w:bCs w:val="0"/>
          <w:sz w:val="36"/>
          <w:szCs w:val="20"/>
        </w:rPr>
        <w:t>upport in SL</w:t>
      </w:r>
    </w:p>
    <w:p w14:paraId="10F51E57" w14:textId="71DE56F6" w:rsidR="00D5424C" w:rsidRDefault="009E4E0C" w:rsidP="00207D12">
      <w:pPr>
        <w:rPr>
          <w:lang w:val="en-GB" w:eastAsia="zh-CN"/>
        </w:rPr>
      </w:pPr>
      <w:r>
        <w:rPr>
          <w:lang w:val="en-GB" w:eastAsia="zh-CN"/>
        </w:rPr>
        <w:t xml:space="preserve">In contrast to </w:t>
      </w:r>
      <w:r w:rsidR="00CF1490">
        <w:rPr>
          <w:lang w:val="en-GB" w:eastAsia="zh-CN"/>
        </w:rPr>
        <w:t xml:space="preserve">V2X </w:t>
      </w:r>
      <w:r>
        <w:rPr>
          <w:lang w:val="en-GB" w:eastAsia="zh-CN"/>
        </w:rPr>
        <w:t xml:space="preserve">broadcast, different challenges arise for </w:t>
      </w:r>
      <w:r w:rsidR="00CF1490">
        <w:rPr>
          <w:lang w:val="en-GB" w:eastAsia="zh-CN"/>
        </w:rPr>
        <w:t xml:space="preserve">V2X </w:t>
      </w:r>
      <w:r>
        <w:rPr>
          <w:lang w:val="en-GB" w:eastAsia="zh-CN"/>
        </w:rPr>
        <w:t>unicast and groupcast transmissions. Exploiting the knowledge of</w:t>
      </w:r>
      <w:r w:rsidR="006F0562">
        <w:rPr>
          <w:lang w:val="en-GB" w:eastAsia="zh-CN"/>
        </w:rPr>
        <w:t xml:space="preserve"> the </w:t>
      </w:r>
      <w:r w:rsidR="0011521A">
        <w:rPr>
          <w:lang w:val="en-GB" w:eastAsia="zh-CN"/>
        </w:rPr>
        <w:t>link</w:t>
      </w:r>
      <w:r w:rsidR="006F0562">
        <w:rPr>
          <w:lang w:val="en-GB" w:eastAsia="zh-CN"/>
        </w:rPr>
        <w:t xml:space="preserve"> conditions seen by</w:t>
      </w:r>
      <w:r>
        <w:rPr>
          <w:lang w:val="en-GB" w:eastAsia="zh-CN"/>
        </w:rPr>
        <w:t xml:space="preserve"> the intended receiver in </w:t>
      </w:r>
      <w:r w:rsidR="00CF1490">
        <w:rPr>
          <w:lang w:val="en-GB" w:eastAsia="zh-CN"/>
        </w:rPr>
        <w:t xml:space="preserve">V2X </w:t>
      </w:r>
      <w:r>
        <w:rPr>
          <w:lang w:val="en-GB" w:eastAsia="zh-CN"/>
        </w:rPr>
        <w:t xml:space="preserve">enables </w:t>
      </w:r>
      <w:r w:rsidR="0011521A">
        <w:rPr>
          <w:lang w:val="en-GB" w:eastAsia="zh-CN"/>
        </w:rPr>
        <w:t xml:space="preserve">the utilization of </w:t>
      </w:r>
      <w:r>
        <w:rPr>
          <w:lang w:val="en-GB" w:eastAsia="zh-CN"/>
        </w:rPr>
        <w:t>HARQ and link adaption mechanisms such as CQI reporting. This leads to greater spectral efficiency gains, as it is managed from the base station (along the Uu interface). Controlled SL communication</w:t>
      </w:r>
      <w:r w:rsidR="006F0562">
        <w:rPr>
          <w:lang w:val="en-GB" w:eastAsia="zh-CN"/>
        </w:rPr>
        <w:t>s</w:t>
      </w:r>
      <w:r>
        <w:rPr>
          <w:lang w:val="en-GB" w:eastAsia="zh-CN"/>
        </w:rPr>
        <w:t xml:space="preserve"> between</w:t>
      </w:r>
      <w:r w:rsidR="006F0562">
        <w:rPr>
          <w:lang w:val="en-GB" w:eastAsia="zh-CN"/>
        </w:rPr>
        <w:t xml:space="preserve"> a</w:t>
      </w:r>
      <w:r>
        <w:rPr>
          <w:lang w:val="en-GB" w:eastAsia="zh-CN"/>
        </w:rPr>
        <w:t xml:space="preserve"> receiver and </w:t>
      </w:r>
      <w:r w:rsidR="006F0562">
        <w:rPr>
          <w:lang w:val="en-GB" w:eastAsia="zh-CN"/>
        </w:rPr>
        <w:t xml:space="preserve">a </w:t>
      </w:r>
      <w:r>
        <w:rPr>
          <w:lang w:val="en-GB" w:eastAsia="zh-CN"/>
        </w:rPr>
        <w:t>transmitter also enable</w:t>
      </w:r>
      <w:r w:rsidR="004C3D39">
        <w:rPr>
          <w:lang w:val="en-GB" w:eastAsia="zh-CN"/>
        </w:rPr>
        <w:t>s</w:t>
      </w:r>
      <w:r>
        <w:rPr>
          <w:lang w:val="en-GB" w:eastAsia="zh-CN"/>
        </w:rPr>
        <w:t xml:space="preserve"> higher reliability. Th</w:t>
      </w:r>
      <w:r w:rsidR="00A30F8C">
        <w:rPr>
          <w:lang w:val="en-GB" w:eastAsia="zh-CN"/>
        </w:rPr>
        <w:t>e</w:t>
      </w:r>
      <w:r>
        <w:rPr>
          <w:lang w:val="en-GB" w:eastAsia="zh-CN"/>
        </w:rPr>
        <w:t>refore, it is possible for the transmitter to determine whether the intended</w:t>
      </w:r>
      <w:r w:rsidR="00CF1490">
        <w:rPr>
          <w:lang w:val="en-GB" w:eastAsia="zh-CN"/>
        </w:rPr>
        <w:t xml:space="preserve"> packet was received</w:t>
      </w:r>
      <w:r>
        <w:rPr>
          <w:lang w:val="en-GB" w:eastAsia="zh-CN"/>
        </w:rPr>
        <w:t xml:space="preserve"> correctly. </w:t>
      </w:r>
    </w:p>
    <w:p w14:paraId="4DD886DA" w14:textId="682B7B84" w:rsidR="0074251A" w:rsidRPr="008D452D" w:rsidRDefault="00B623AA" w:rsidP="008D452D">
      <w:pPr>
        <w:pStyle w:val="berschrift2"/>
        <w:keepLines/>
        <w:numPr>
          <w:ilvl w:val="1"/>
          <w:numId w:val="1"/>
        </w:numPr>
        <w:overflowPunct w:val="0"/>
        <w:snapToGrid/>
        <w:spacing w:before="180" w:after="180"/>
        <w:jc w:val="left"/>
        <w:textAlignment w:val="baseline"/>
        <w:rPr>
          <w:rFonts w:ascii="Arial" w:hAnsi="Arial"/>
          <w:b w:val="0"/>
          <w:bCs w:val="0"/>
          <w:sz w:val="32"/>
          <w:szCs w:val="20"/>
          <w:lang w:val="en-GB"/>
        </w:rPr>
      </w:pPr>
      <w:r w:rsidRPr="008D452D">
        <w:rPr>
          <w:rFonts w:ascii="Arial" w:hAnsi="Arial"/>
          <w:b w:val="0"/>
          <w:bCs w:val="0"/>
          <w:sz w:val="32"/>
          <w:szCs w:val="20"/>
          <w:lang w:val="en-GB"/>
        </w:rPr>
        <w:t>Link A</w:t>
      </w:r>
      <w:r w:rsidR="0074251A" w:rsidRPr="008D452D">
        <w:rPr>
          <w:rFonts w:ascii="Arial" w:hAnsi="Arial"/>
          <w:b w:val="0"/>
          <w:bCs w:val="0"/>
          <w:sz w:val="32"/>
          <w:szCs w:val="20"/>
          <w:lang w:val="en-GB"/>
        </w:rPr>
        <w:t>dap</w:t>
      </w:r>
      <w:r w:rsidRPr="008D452D">
        <w:rPr>
          <w:rFonts w:ascii="Arial" w:hAnsi="Arial"/>
          <w:b w:val="0"/>
          <w:bCs w:val="0"/>
          <w:sz w:val="32"/>
          <w:szCs w:val="20"/>
          <w:lang w:val="en-GB"/>
        </w:rPr>
        <w:t>ta</w:t>
      </w:r>
      <w:r w:rsidR="0074251A" w:rsidRPr="008D452D">
        <w:rPr>
          <w:rFonts w:ascii="Arial" w:hAnsi="Arial"/>
          <w:b w:val="0"/>
          <w:bCs w:val="0"/>
          <w:sz w:val="32"/>
          <w:szCs w:val="20"/>
          <w:lang w:val="en-GB"/>
        </w:rPr>
        <w:t>tion</w:t>
      </w:r>
    </w:p>
    <w:p w14:paraId="512F2095" w14:textId="77777777" w:rsidR="00895D3C" w:rsidRDefault="00895D3C" w:rsidP="000C5A1B">
      <w:pPr>
        <w:keepNext/>
        <w:jc w:val="center"/>
      </w:pPr>
      <w:r>
        <w:rPr>
          <w:noProof/>
        </w:rPr>
        <w:drawing>
          <wp:inline distT="0" distB="0" distL="0" distR="0" wp14:anchorId="18221673" wp14:editId="6EC3FC03">
            <wp:extent cx="1943100" cy="2362200"/>
            <wp:effectExtent l="0" t="0" r="0" b="0"/>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ink_adaption_SL.png"/>
                    <pic:cNvPicPr/>
                  </pic:nvPicPr>
                  <pic:blipFill>
                    <a:blip r:embed="rId7">
                      <a:extLst>
                        <a:ext uri="{28A0092B-C50C-407E-A947-70E740481C1C}">
                          <a14:useLocalDpi xmlns:a14="http://schemas.microsoft.com/office/drawing/2010/main" val="0"/>
                        </a:ext>
                      </a:extLst>
                    </a:blip>
                    <a:stretch>
                      <a:fillRect/>
                    </a:stretch>
                  </pic:blipFill>
                  <pic:spPr>
                    <a:xfrm>
                      <a:off x="0" y="0"/>
                      <a:ext cx="1943100" cy="2362200"/>
                    </a:xfrm>
                    <a:prstGeom prst="rect">
                      <a:avLst/>
                    </a:prstGeom>
                  </pic:spPr>
                </pic:pic>
              </a:graphicData>
            </a:graphic>
          </wp:inline>
        </w:drawing>
      </w:r>
    </w:p>
    <w:p w14:paraId="1284A761" w14:textId="6C9E19DB" w:rsidR="00B627EB" w:rsidRPr="006F0562" w:rsidRDefault="00895D3C" w:rsidP="000C5A1B">
      <w:pPr>
        <w:pStyle w:val="Beschriftung"/>
        <w:jc w:val="center"/>
        <w:rPr>
          <w:lang w:val="en-GB" w:eastAsia="zh-CN"/>
        </w:rPr>
      </w:pPr>
      <w:bookmarkStart w:id="3" w:name="_Ref521329183"/>
      <w:r w:rsidRPr="006F0562">
        <w:rPr>
          <w:iCs w:val="0"/>
          <w:color w:val="auto"/>
          <w:sz w:val="22"/>
          <w:szCs w:val="22"/>
        </w:rPr>
        <w:t xml:space="preserve">Figure </w:t>
      </w:r>
      <w:bookmarkEnd w:id="3"/>
      <w:r w:rsidR="00960921" w:rsidRPr="006F0562">
        <w:rPr>
          <w:color w:val="auto"/>
          <w:sz w:val="22"/>
          <w:szCs w:val="22"/>
        </w:rPr>
        <w:t>2</w:t>
      </w:r>
      <w:r w:rsidRPr="006F0562">
        <w:rPr>
          <w:iCs w:val="0"/>
          <w:color w:val="auto"/>
          <w:sz w:val="22"/>
          <w:szCs w:val="22"/>
        </w:rPr>
        <w:t xml:space="preserve">: Link adaption based on CQI reporting on </w:t>
      </w:r>
      <w:r w:rsidR="00763A1B" w:rsidRPr="006F0562">
        <w:rPr>
          <w:iCs w:val="0"/>
          <w:color w:val="auto"/>
          <w:sz w:val="22"/>
          <w:szCs w:val="22"/>
        </w:rPr>
        <w:t xml:space="preserve">the V2X </w:t>
      </w:r>
      <w:r w:rsidRPr="006F0562">
        <w:rPr>
          <w:iCs w:val="0"/>
          <w:color w:val="auto"/>
          <w:sz w:val="22"/>
          <w:szCs w:val="22"/>
        </w:rPr>
        <w:t>SL.</w:t>
      </w:r>
    </w:p>
    <w:p w14:paraId="147505FB" w14:textId="2ADDF5F1" w:rsidR="00B627EB" w:rsidRDefault="0011521A" w:rsidP="00207D12">
      <w:pPr>
        <w:rPr>
          <w:lang w:val="en-GB" w:eastAsia="zh-CN"/>
        </w:rPr>
      </w:pPr>
      <w:r>
        <w:rPr>
          <w:lang w:val="en-GB" w:eastAsia="zh-CN"/>
        </w:rPr>
        <w:lastRenderedPageBreak/>
        <w:t>L</w:t>
      </w:r>
      <w:r w:rsidR="00B577D6">
        <w:rPr>
          <w:lang w:val="en-GB" w:eastAsia="zh-CN"/>
        </w:rPr>
        <w:t>ink adaption can only be applied in a very limited manner</w:t>
      </w:r>
      <w:r>
        <w:rPr>
          <w:lang w:val="en-GB" w:eastAsia="zh-CN"/>
        </w:rPr>
        <w:t xml:space="preserve"> for broadcast transmissions</w:t>
      </w:r>
      <w:r w:rsidR="00B577D6">
        <w:rPr>
          <w:lang w:val="en-GB" w:eastAsia="zh-CN"/>
        </w:rPr>
        <w:t xml:space="preserve">, since the receiver with the worst channel determines parameters </w:t>
      </w:r>
      <w:r w:rsidR="00960921">
        <w:rPr>
          <w:lang w:val="en-GB" w:eastAsia="zh-CN"/>
        </w:rPr>
        <w:t xml:space="preserve">such </w:t>
      </w:r>
      <w:r w:rsidR="00B577D6">
        <w:rPr>
          <w:lang w:val="en-GB" w:eastAsia="zh-CN"/>
        </w:rPr>
        <w:t xml:space="preserve">as the transmit power and MCS. The specific problem for broadcast </w:t>
      </w:r>
      <w:r>
        <w:rPr>
          <w:lang w:val="en-GB" w:eastAsia="zh-CN"/>
        </w:rPr>
        <w:t>transmissions stems from</w:t>
      </w:r>
      <w:r w:rsidR="00B577D6">
        <w:rPr>
          <w:lang w:val="en-GB" w:eastAsia="zh-CN"/>
        </w:rPr>
        <w:t xml:space="preserve"> the fact that potential receivers are not a closed group. Hence, often it is unclear what the channel situation of potential receivers is</w:t>
      </w:r>
      <w:r>
        <w:rPr>
          <w:lang w:val="en-GB" w:eastAsia="zh-CN"/>
        </w:rPr>
        <w:t xml:space="preserve"> and </w:t>
      </w:r>
      <w:r w:rsidR="00FE7343">
        <w:rPr>
          <w:lang w:val="en-GB" w:eastAsia="zh-CN"/>
        </w:rPr>
        <w:t>the worst case is</w:t>
      </w:r>
      <w:r w:rsidR="00B577D6">
        <w:rPr>
          <w:lang w:val="en-GB" w:eastAsia="zh-CN"/>
        </w:rPr>
        <w:t xml:space="preserve"> </w:t>
      </w:r>
      <w:r>
        <w:rPr>
          <w:lang w:val="en-GB" w:eastAsia="zh-CN"/>
        </w:rPr>
        <w:t xml:space="preserve">always </w:t>
      </w:r>
      <w:r w:rsidR="00276B3A">
        <w:rPr>
          <w:lang w:val="en-GB" w:eastAsia="zh-CN"/>
        </w:rPr>
        <w:t>assumed</w:t>
      </w:r>
      <w:r w:rsidR="00B577D6">
        <w:rPr>
          <w:lang w:val="en-GB" w:eastAsia="zh-CN"/>
        </w:rPr>
        <w:t xml:space="preserve">. However, the setup changes for unicast drastically. </w:t>
      </w:r>
      <w:r w:rsidR="001A0C53">
        <w:rPr>
          <w:lang w:val="en-GB" w:eastAsia="zh-CN"/>
        </w:rPr>
        <w:t>Even</w:t>
      </w:r>
      <w:r w:rsidR="00B577D6">
        <w:rPr>
          <w:lang w:val="en-GB" w:eastAsia="zh-CN"/>
        </w:rPr>
        <w:t xml:space="preserve"> for groupcast, for which we have a closed group of intended receivers, channels measurements and reporting mechanisms can be used to increase the spectral efficiency by adapting to the current channel situation, as is done for Uu </w:t>
      </w:r>
      <w:r>
        <w:rPr>
          <w:lang w:val="en-GB" w:eastAsia="zh-CN"/>
        </w:rPr>
        <w:t>links</w:t>
      </w:r>
      <w:r w:rsidR="00B577D6">
        <w:rPr>
          <w:lang w:val="en-GB" w:eastAsia="zh-CN"/>
        </w:rPr>
        <w:t>.</w:t>
      </w:r>
    </w:p>
    <w:p w14:paraId="56301CB4" w14:textId="73155F4D" w:rsidR="004D0316" w:rsidRPr="006F0562" w:rsidRDefault="0037284F" w:rsidP="00207D12">
      <w:pPr>
        <w:rPr>
          <w:lang w:val="en-GB" w:eastAsia="zh-CN"/>
        </w:rPr>
      </w:pPr>
      <w:r>
        <w:rPr>
          <w:lang w:val="en-GB" w:eastAsia="zh-CN"/>
        </w:rPr>
        <w:t xml:space="preserve">In </w:t>
      </w:r>
      <w:r>
        <w:rPr>
          <w:lang w:val="en-GB" w:eastAsia="zh-CN"/>
        </w:rPr>
        <w:fldChar w:fldCharType="begin"/>
      </w:r>
      <w:r>
        <w:rPr>
          <w:lang w:val="en-GB" w:eastAsia="zh-CN"/>
        </w:rPr>
        <w:instrText xml:space="preserve"> REF _Ref521329183 \h </w:instrText>
      </w:r>
      <w:r>
        <w:rPr>
          <w:lang w:val="en-GB" w:eastAsia="zh-CN"/>
        </w:rPr>
      </w:r>
      <w:r>
        <w:rPr>
          <w:lang w:val="en-GB" w:eastAsia="zh-CN"/>
        </w:rPr>
        <w:fldChar w:fldCharType="separate"/>
      </w:r>
      <w:r>
        <w:t xml:space="preserve">Figure </w:t>
      </w:r>
      <w:r>
        <w:rPr>
          <w:lang w:val="en-GB" w:eastAsia="zh-CN"/>
        </w:rPr>
        <w:fldChar w:fldCharType="end"/>
      </w:r>
      <w:r w:rsidR="00276B3A">
        <w:rPr>
          <w:lang w:val="en-GB" w:eastAsia="zh-CN"/>
        </w:rPr>
        <w:t>2</w:t>
      </w:r>
      <w:r>
        <w:rPr>
          <w:lang w:val="en-GB" w:eastAsia="zh-CN"/>
        </w:rPr>
        <w:t xml:space="preserve">, </w:t>
      </w:r>
      <w:r w:rsidR="009E4E0C">
        <w:rPr>
          <w:lang w:val="en-GB" w:eastAsia="zh-CN"/>
        </w:rPr>
        <w:t>an example</w:t>
      </w:r>
      <w:r>
        <w:rPr>
          <w:lang w:val="en-GB" w:eastAsia="zh-CN"/>
        </w:rPr>
        <w:t xml:space="preserve"> concept of CQI reporting for sidelink is presented. </w:t>
      </w:r>
      <w:r w:rsidR="00B4115B">
        <w:rPr>
          <w:lang w:val="en-GB" w:eastAsia="zh-CN"/>
        </w:rPr>
        <w:t>I</w:t>
      </w:r>
      <w:r w:rsidR="00765230">
        <w:rPr>
          <w:lang w:val="en-GB" w:eastAsia="zh-CN"/>
        </w:rPr>
        <w:t xml:space="preserve">t is </w:t>
      </w:r>
      <w:r w:rsidR="00276B3A">
        <w:rPr>
          <w:lang w:val="en-GB" w:eastAsia="zh-CN"/>
        </w:rPr>
        <w:t>possible to have</w:t>
      </w:r>
      <w:r w:rsidR="00765230">
        <w:rPr>
          <w:lang w:val="en-GB" w:eastAsia="zh-CN"/>
        </w:rPr>
        <w:t xml:space="preserve"> direct feedback reporting between UEs,</w:t>
      </w:r>
      <w:r w:rsidR="00020D46">
        <w:rPr>
          <w:lang w:val="en-GB" w:eastAsia="zh-CN"/>
        </w:rPr>
        <w:t xml:space="preserve"> </w:t>
      </w:r>
      <w:r w:rsidR="00765230">
        <w:rPr>
          <w:lang w:val="en-GB" w:eastAsia="zh-CN"/>
        </w:rPr>
        <w:t>specifically for non-coverage scenarios</w:t>
      </w:r>
      <w:r w:rsidR="00020D46">
        <w:rPr>
          <w:lang w:val="en-GB" w:eastAsia="zh-CN"/>
        </w:rPr>
        <w:t>. However</w:t>
      </w:r>
      <w:r w:rsidR="00765230">
        <w:rPr>
          <w:lang w:val="en-GB" w:eastAsia="zh-CN"/>
        </w:rPr>
        <w:t>,</w:t>
      </w:r>
      <w:r w:rsidR="00020D46">
        <w:rPr>
          <w:lang w:val="en-GB" w:eastAsia="zh-CN"/>
        </w:rPr>
        <w:t xml:space="preserve"> for in-coverage scenarios</w:t>
      </w:r>
      <w:r w:rsidR="00765230">
        <w:rPr>
          <w:lang w:val="en-GB" w:eastAsia="zh-CN"/>
        </w:rPr>
        <w:t xml:space="preserve"> reporting to the gNB is more </w:t>
      </w:r>
      <w:r w:rsidR="00895D3C">
        <w:rPr>
          <w:lang w:val="en-GB" w:eastAsia="zh-CN"/>
        </w:rPr>
        <w:t>beneficial</w:t>
      </w:r>
      <w:r w:rsidR="00765230">
        <w:rPr>
          <w:lang w:val="en-GB" w:eastAsia="zh-CN"/>
        </w:rPr>
        <w:t xml:space="preserve"> since the SL grant in mode 3 is issued by the gNB anyway. </w:t>
      </w:r>
      <w:r w:rsidR="00895D3C">
        <w:rPr>
          <w:lang w:val="en-GB" w:eastAsia="zh-CN"/>
        </w:rPr>
        <w:t xml:space="preserve">Hence, the gNB can adapt the grant based on the CQI report it </w:t>
      </w:r>
      <w:r w:rsidR="00B4115B">
        <w:rPr>
          <w:lang w:val="en-GB" w:eastAsia="zh-CN"/>
        </w:rPr>
        <w:t xml:space="preserve">received </w:t>
      </w:r>
      <w:r w:rsidR="00895D3C">
        <w:rPr>
          <w:lang w:val="en-GB" w:eastAsia="zh-CN"/>
        </w:rPr>
        <w:t>from the destination UE.</w:t>
      </w:r>
    </w:p>
    <w:p w14:paraId="7121BEAE" w14:textId="5C925FF3" w:rsidR="0074251A" w:rsidRDefault="0074251A" w:rsidP="00207D12">
      <w:r w:rsidRPr="00207D12">
        <w:rPr>
          <w:b/>
        </w:rPr>
        <w:t xml:space="preserve">Proposal </w:t>
      </w:r>
      <w:r w:rsidR="00AA1EFB">
        <w:rPr>
          <w:b/>
        </w:rPr>
        <w:t>1</w:t>
      </w:r>
      <w:r w:rsidR="00613EDB">
        <w:rPr>
          <w:b/>
        </w:rPr>
        <w:t>:</w:t>
      </w:r>
      <w:r>
        <w:t xml:space="preserve"> </w:t>
      </w:r>
      <w:r w:rsidR="009E4E0C">
        <w:t>Study different CQI reporting mechanisms and its implications for in-coverage NR V2X UEs.</w:t>
      </w:r>
    </w:p>
    <w:p w14:paraId="011823A5" w14:textId="77777777" w:rsidR="00895D3C" w:rsidRDefault="00895D3C" w:rsidP="00207D12"/>
    <w:p w14:paraId="369D0256" w14:textId="0E523CA6" w:rsidR="0074251A" w:rsidRPr="008D452D" w:rsidRDefault="0074251A" w:rsidP="008D452D">
      <w:pPr>
        <w:pStyle w:val="berschrift2"/>
        <w:keepLines/>
        <w:numPr>
          <w:ilvl w:val="1"/>
          <w:numId w:val="1"/>
        </w:numPr>
        <w:overflowPunct w:val="0"/>
        <w:snapToGrid/>
        <w:spacing w:before="180" w:after="180"/>
        <w:jc w:val="left"/>
        <w:textAlignment w:val="baseline"/>
        <w:rPr>
          <w:rFonts w:ascii="Arial" w:hAnsi="Arial"/>
          <w:b w:val="0"/>
          <w:bCs w:val="0"/>
          <w:sz w:val="32"/>
          <w:szCs w:val="20"/>
          <w:lang w:val="en-GB"/>
        </w:rPr>
      </w:pPr>
      <w:r w:rsidRPr="008D452D">
        <w:rPr>
          <w:rFonts w:ascii="Arial" w:hAnsi="Arial"/>
          <w:b w:val="0"/>
          <w:bCs w:val="0"/>
          <w:sz w:val="32"/>
          <w:szCs w:val="20"/>
          <w:lang w:val="en-GB"/>
        </w:rPr>
        <w:t>HARQ for SL</w:t>
      </w:r>
    </w:p>
    <w:p w14:paraId="47A23620" w14:textId="77777777" w:rsidR="00895D3C" w:rsidRDefault="00895D3C" w:rsidP="000C5A1B">
      <w:pPr>
        <w:keepNext/>
        <w:jc w:val="center"/>
      </w:pPr>
      <w:r>
        <w:rPr>
          <w:noProof/>
        </w:rPr>
        <w:drawing>
          <wp:inline distT="0" distB="0" distL="0" distR="0" wp14:anchorId="59EC7624" wp14:editId="76357C8E">
            <wp:extent cx="3269024" cy="2739934"/>
            <wp:effectExtent l="0" t="0" r="0" b="3810"/>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harq_sl.png"/>
                    <pic:cNvPicPr/>
                  </pic:nvPicPr>
                  <pic:blipFill>
                    <a:blip r:embed="rId8">
                      <a:extLst>
                        <a:ext uri="{28A0092B-C50C-407E-A947-70E740481C1C}">
                          <a14:useLocalDpi xmlns:a14="http://schemas.microsoft.com/office/drawing/2010/main" val="0"/>
                        </a:ext>
                      </a:extLst>
                    </a:blip>
                    <a:stretch>
                      <a:fillRect/>
                    </a:stretch>
                  </pic:blipFill>
                  <pic:spPr>
                    <a:xfrm>
                      <a:off x="0" y="0"/>
                      <a:ext cx="3283455" cy="2752029"/>
                    </a:xfrm>
                    <a:prstGeom prst="rect">
                      <a:avLst/>
                    </a:prstGeom>
                  </pic:spPr>
                </pic:pic>
              </a:graphicData>
            </a:graphic>
          </wp:inline>
        </w:drawing>
      </w:r>
    </w:p>
    <w:p w14:paraId="350347F6" w14:textId="55C55948" w:rsidR="00895D3C" w:rsidRPr="000C5A1B" w:rsidRDefault="00895D3C" w:rsidP="000C5A1B">
      <w:pPr>
        <w:pStyle w:val="Beschriftung"/>
        <w:jc w:val="center"/>
        <w:rPr>
          <w:color w:val="auto"/>
          <w:sz w:val="22"/>
          <w:szCs w:val="22"/>
        </w:rPr>
      </w:pPr>
      <w:bookmarkStart w:id="4" w:name="_Ref521503772"/>
      <w:r w:rsidRPr="000C5A1B">
        <w:rPr>
          <w:color w:val="auto"/>
          <w:sz w:val="22"/>
          <w:szCs w:val="22"/>
        </w:rPr>
        <w:t xml:space="preserve">Figure </w:t>
      </w:r>
      <w:r w:rsidR="00276B3A" w:rsidRPr="000C5A1B">
        <w:rPr>
          <w:color w:val="auto"/>
          <w:sz w:val="22"/>
          <w:szCs w:val="22"/>
        </w:rPr>
        <w:t>3</w:t>
      </w:r>
      <w:bookmarkEnd w:id="4"/>
      <w:r w:rsidR="00581A5D" w:rsidRPr="000C5A1B">
        <w:rPr>
          <w:color w:val="auto"/>
          <w:sz w:val="22"/>
          <w:szCs w:val="22"/>
        </w:rPr>
        <w:t xml:space="preserve">: </w:t>
      </w:r>
      <w:r w:rsidRPr="000C5A1B">
        <w:rPr>
          <w:color w:val="auto"/>
          <w:sz w:val="22"/>
          <w:szCs w:val="22"/>
        </w:rPr>
        <w:t>HARQ in SL</w:t>
      </w:r>
      <w:r w:rsidR="00581A5D" w:rsidRPr="000C5A1B">
        <w:rPr>
          <w:color w:val="auto"/>
          <w:sz w:val="22"/>
          <w:szCs w:val="22"/>
        </w:rPr>
        <w:t xml:space="preserve"> with direct feedback and detoured feedback via gNB</w:t>
      </w:r>
      <w:r w:rsidRPr="000C5A1B">
        <w:rPr>
          <w:color w:val="auto"/>
          <w:sz w:val="22"/>
          <w:szCs w:val="22"/>
        </w:rPr>
        <w:t>.</w:t>
      </w:r>
    </w:p>
    <w:p w14:paraId="354E39E1" w14:textId="52710F4B" w:rsidR="004D0316" w:rsidRDefault="009E4E0C" w:rsidP="00207D12">
      <w:r>
        <w:t xml:space="preserve">In LTE Rel. 15 V2X, blind retransmissions were used to ensure the reliability of transmissions. However, the spectral efficiency is severely degraded by this approach. In the case </w:t>
      </w:r>
      <w:r w:rsidR="00B4115B">
        <w:t xml:space="preserve">of </w:t>
      </w:r>
      <w:r>
        <w:t xml:space="preserve">unicast transmissions, this drawback can be </w:t>
      </w:r>
      <w:r w:rsidR="00B4115B">
        <w:t>overcome</w:t>
      </w:r>
      <w:r>
        <w:t xml:space="preserve"> by employing HARQ feedback. Even multicast</w:t>
      </w:r>
      <w:r w:rsidR="00B4115B">
        <w:t xml:space="preserve"> transmissions</w:t>
      </w:r>
      <w:r>
        <w:t xml:space="preserve"> could use a unicast retransmission mechanism to increase spectral efficiency.</w:t>
      </w:r>
    </w:p>
    <w:p w14:paraId="622ED136" w14:textId="05ECF0C1" w:rsidR="009E4E0C" w:rsidRDefault="009E4E0C" w:rsidP="009E4E0C">
      <w:r>
        <w:t>Since SL commun</w:t>
      </w:r>
      <w:r w:rsidR="00CC2A92">
        <w:t>ication</w:t>
      </w:r>
      <w:r w:rsidR="00B4115B">
        <w:t>s</w:t>
      </w:r>
      <w:r w:rsidR="00CC2A92">
        <w:t xml:space="preserve"> can </w:t>
      </w:r>
      <w:r w:rsidR="0022030B">
        <w:t>use</w:t>
      </w:r>
      <w:r w:rsidR="00CC2A92">
        <w:t xml:space="preserve"> different </w:t>
      </w:r>
      <w:r>
        <w:t>modulation scheme</w:t>
      </w:r>
      <w:r w:rsidR="0022030B">
        <w:t>s</w:t>
      </w:r>
      <w:r>
        <w:t xml:space="preserve"> when compared to UL and DL communications, </w:t>
      </w:r>
      <w:r w:rsidR="00B4115B">
        <w:t xml:space="preserve">there are </w:t>
      </w:r>
      <w:r>
        <w:t xml:space="preserve">two main possibilities of incorporating HARQ feedback. As depicted in </w:t>
      </w:r>
      <w:r>
        <w:fldChar w:fldCharType="begin"/>
      </w:r>
      <w:r>
        <w:instrText xml:space="preserve"> REF _Ref521503772 \h </w:instrText>
      </w:r>
      <w:r>
        <w:fldChar w:fldCharType="separate"/>
      </w:r>
      <w:r>
        <w:t xml:space="preserve">Figure </w:t>
      </w:r>
      <w:r>
        <w:fldChar w:fldCharType="end"/>
      </w:r>
      <w:r>
        <w:t>3, the feedback can either be relayed via the gNB or directly signaled to the source UE. Both scenarios have their justification</w:t>
      </w:r>
      <w:r w:rsidR="0022030B">
        <w:t>s</w:t>
      </w:r>
      <w:r>
        <w:t xml:space="preserve">. Since SL transmissions for </w:t>
      </w:r>
      <w:r w:rsidR="00B4115B">
        <w:t>mode 3</w:t>
      </w:r>
      <w:r>
        <w:t xml:space="preserve"> UEs are scheduled by the gNB, providing the feedback </w:t>
      </w:r>
      <w:r w:rsidR="0022030B">
        <w:t xml:space="preserve">directly </w:t>
      </w:r>
      <w:r>
        <w:t xml:space="preserve">to the gNB reduces </w:t>
      </w:r>
      <w:r w:rsidR="00B4115B">
        <w:t>the latency incurred as opposed to routing the feedback</w:t>
      </w:r>
      <w:r>
        <w:t xml:space="preserve"> via the source UE. </w:t>
      </w:r>
      <w:r w:rsidR="00B4115B">
        <w:t>T</w:t>
      </w:r>
      <w:r>
        <w:t xml:space="preserve">he gNB could </w:t>
      </w:r>
      <w:r w:rsidR="00B4115B">
        <w:t xml:space="preserve">further </w:t>
      </w:r>
      <w:r>
        <w:t>adapt the retransmissions</w:t>
      </w:r>
      <w:r w:rsidR="00B4115B">
        <w:t xml:space="preserve"> based on </w:t>
      </w:r>
      <w:r w:rsidR="0022030B">
        <w:t xml:space="preserve">link quality </w:t>
      </w:r>
      <w:r w:rsidR="00B4115B">
        <w:t>feedback, such as CQI reporting,</w:t>
      </w:r>
      <w:r>
        <w:t xml:space="preserve"> in </w:t>
      </w:r>
      <w:r w:rsidR="00B4115B">
        <w:t>order</w:t>
      </w:r>
      <w:r>
        <w:t xml:space="preserve"> to maximize the reliability.</w:t>
      </w:r>
    </w:p>
    <w:p w14:paraId="22C0492C" w14:textId="4D0E8EC4" w:rsidR="00C76A4A" w:rsidRDefault="009E4E0C" w:rsidP="00207D12">
      <w:r>
        <w:t>However, in out-of-coverage scenarios, a direct feedback path between source UE and destination</w:t>
      </w:r>
      <w:r w:rsidR="00CC2A92">
        <w:t xml:space="preserve"> UE enable</w:t>
      </w:r>
      <w:r w:rsidR="00FB4C81">
        <w:t>s</w:t>
      </w:r>
      <w:r w:rsidR="00CC2A92">
        <w:t xml:space="preserve"> HARQ even for </w:t>
      </w:r>
      <w:r>
        <w:t>out-of-coverage V2X UEs. HARQ increases the spectral efficiency significantly, especially</w:t>
      </w:r>
      <w:r w:rsidR="007B070F">
        <w:t xml:space="preserve"> </w:t>
      </w:r>
      <w:r>
        <w:t xml:space="preserve">if </w:t>
      </w:r>
      <w:r w:rsidR="00CC2A92">
        <w:t>CQI reporting is not available.</w:t>
      </w:r>
      <w:r>
        <w:t xml:space="preserve"> Nevertheless, both possibilities with their advantages and disadvantages have significant implications on the design of SL in NR V2X, which should be studied by RAN1.</w:t>
      </w:r>
    </w:p>
    <w:p w14:paraId="38610166" w14:textId="2AF70F10" w:rsidR="00BD39E4" w:rsidRDefault="004D0316" w:rsidP="00BD39E4">
      <w:r w:rsidRPr="00207D12">
        <w:rPr>
          <w:b/>
        </w:rPr>
        <w:t xml:space="preserve">Proposal </w:t>
      </w:r>
      <w:r w:rsidR="00AA1EFB">
        <w:rPr>
          <w:b/>
        </w:rPr>
        <w:t>2</w:t>
      </w:r>
      <w:r w:rsidR="00613EDB">
        <w:rPr>
          <w:b/>
        </w:rPr>
        <w:t>:</w:t>
      </w:r>
      <w:r>
        <w:t xml:space="preserve"> </w:t>
      </w:r>
      <w:r w:rsidR="00613EDB">
        <w:t>Study</w:t>
      </w:r>
      <w:r w:rsidR="003102E2">
        <w:t xml:space="preserve"> the</w:t>
      </w:r>
      <w:r w:rsidR="00613EDB">
        <w:t xml:space="preserve"> implications for introducing</w:t>
      </w:r>
      <w:r>
        <w:t xml:space="preserve"> HARQ for</w:t>
      </w:r>
      <w:r w:rsidR="000A284A">
        <w:t xml:space="preserve"> unicast</w:t>
      </w:r>
      <w:r>
        <w:t xml:space="preserve"> </w:t>
      </w:r>
      <w:r w:rsidR="00FB4C81">
        <w:t xml:space="preserve">and groupcast </w:t>
      </w:r>
      <w:r>
        <w:t>SL</w:t>
      </w:r>
      <w:r w:rsidR="003102E2">
        <w:t xml:space="preserve"> in NR V2X</w:t>
      </w:r>
      <w:r>
        <w:t>.</w:t>
      </w:r>
    </w:p>
    <w:p w14:paraId="0262C796" w14:textId="41189574" w:rsidR="003E3E75" w:rsidRDefault="00882ABD" w:rsidP="003E3E75">
      <w:pPr>
        <w:rPr>
          <w:lang w:eastAsia="zh-CN"/>
        </w:rPr>
      </w:pPr>
      <w:r>
        <w:rPr>
          <w:lang w:eastAsia="zh-CN"/>
        </w:rPr>
        <w:lastRenderedPageBreak/>
        <w:t xml:space="preserve">In spite of the obvious advantages of </w:t>
      </w:r>
      <w:bookmarkStart w:id="5" w:name="_GoBack"/>
      <w:bookmarkEnd w:id="5"/>
      <w:r w:rsidR="0005505E">
        <w:rPr>
          <w:lang w:eastAsia="zh-CN"/>
        </w:rPr>
        <w:t>feedback-based</w:t>
      </w:r>
      <w:r>
        <w:rPr>
          <w:lang w:eastAsia="zh-CN"/>
        </w:rPr>
        <w:t xml:space="preserve"> transmissions, t</w:t>
      </w:r>
      <w:r w:rsidR="003E3E75">
        <w:rPr>
          <w:lang w:eastAsia="zh-CN"/>
        </w:rPr>
        <w:t>here exist use cases even for unicast</w:t>
      </w:r>
      <w:r>
        <w:rPr>
          <w:lang w:eastAsia="zh-CN"/>
        </w:rPr>
        <w:t xml:space="preserve"> communications</w:t>
      </w:r>
      <w:r w:rsidR="003E3E75">
        <w:rPr>
          <w:lang w:eastAsia="zh-CN"/>
        </w:rPr>
        <w:t xml:space="preserve"> </w:t>
      </w:r>
      <w:r>
        <w:rPr>
          <w:lang w:eastAsia="zh-CN"/>
        </w:rPr>
        <w:t>where</w:t>
      </w:r>
      <w:r w:rsidR="003E3E75">
        <w:rPr>
          <w:lang w:eastAsia="zh-CN"/>
        </w:rPr>
        <w:t xml:space="preserve"> the blind retransmission mechanism could be applied as it is used in LTE V2X. </w:t>
      </w:r>
      <w:r>
        <w:rPr>
          <w:lang w:eastAsia="zh-CN"/>
        </w:rPr>
        <w:t>This is true e</w:t>
      </w:r>
      <w:r w:rsidR="003E3E75">
        <w:rPr>
          <w:lang w:eastAsia="zh-CN"/>
        </w:rPr>
        <w:t>specially</w:t>
      </w:r>
      <w:r>
        <w:rPr>
          <w:lang w:eastAsia="zh-CN"/>
        </w:rPr>
        <w:t xml:space="preserve"> for</w:t>
      </w:r>
      <w:r w:rsidR="003E3E75">
        <w:rPr>
          <w:lang w:eastAsia="zh-CN"/>
        </w:rPr>
        <w:t xml:space="preserve"> delay critical messages </w:t>
      </w:r>
      <w:r>
        <w:rPr>
          <w:lang w:eastAsia="zh-CN"/>
        </w:rPr>
        <w:t xml:space="preserve">that </w:t>
      </w:r>
      <w:r w:rsidR="003E3E75">
        <w:rPr>
          <w:lang w:eastAsia="zh-CN"/>
        </w:rPr>
        <w:t xml:space="preserve">might </w:t>
      </w:r>
      <w:r w:rsidR="003E3E75" w:rsidRPr="00D61A3A">
        <w:rPr>
          <w:lang w:eastAsia="zh-CN"/>
        </w:rPr>
        <w:t>require</w:t>
      </w:r>
      <w:r w:rsidR="003E3E75" w:rsidRPr="004451F0">
        <w:rPr>
          <w:lang w:eastAsia="zh-CN"/>
        </w:rPr>
        <w:t xml:space="preserve"> a high reliability</w:t>
      </w:r>
      <w:r>
        <w:rPr>
          <w:lang w:eastAsia="zh-CN"/>
        </w:rPr>
        <w:t xml:space="preserve"> within</w:t>
      </w:r>
      <w:r w:rsidR="003E3E75">
        <w:rPr>
          <w:lang w:eastAsia="zh-CN"/>
        </w:rPr>
        <w:t xml:space="preserve"> hard latency constraint</w:t>
      </w:r>
      <w:r>
        <w:rPr>
          <w:lang w:eastAsia="zh-CN"/>
        </w:rPr>
        <w:t>s</w:t>
      </w:r>
      <w:r w:rsidR="003E3E75">
        <w:rPr>
          <w:lang w:eastAsia="zh-CN"/>
        </w:rPr>
        <w:t xml:space="preserve"> which does not </w:t>
      </w:r>
      <w:r>
        <w:rPr>
          <w:lang w:eastAsia="zh-CN"/>
        </w:rPr>
        <w:t>permit</w:t>
      </w:r>
      <w:r w:rsidR="003E3E75">
        <w:rPr>
          <w:lang w:eastAsia="zh-CN"/>
        </w:rPr>
        <w:t xml:space="preserve"> </w:t>
      </w:r>
      <w:r>
        <w:rPr>
          <w:lang w:eastAsia="zh-CN"/>
        </w:rPr>
        <w:t>the</w:t>
      </w:r>
      <w:r w:rsidR="003E3E75">
        <w:rPr>
          <w:lang w:eastAsia="zh-CN"/>
        </w:rPr>
        <w:t xml:space="preserve"> us</w:t>
      </w:r>
      <w:r>
        <w:rPr>
          <w:lang w:eastAsia="zh-CN"/>
        </w:rPr>
        <w:t>e of</w:t>
      </w:r>
      <w:r w:rsidR="003E3E75">
        <w:rPr>
          <w:lang w:eastAsia="zh-CN"/>
        </w:rPr>
        <w:t xml:space="preserve"> HARQ feedback. </w:t>
      </w:r>
      <w:r>
        <w:rPr>
          <w:lang w:eastAsia="zh-CN"/>
        </w:rPr>
        <w:t>For increasing the spectral efficiency of such a scheme, t</w:t>
      </w:r>
      <w:r w:rsidR="003E3E75">
        <w:rPr>
          <w:lang w:eastAsia="zh-CN"/>
        </w:rPr>
        <w:t xml:space="preserve">he </w:t>
      </w:r>
      <w:r>
        <w:rPr>
          <w:lang w:eastAsia="zh-CN"/>
        </w:rPr>
        <w:t>number of repetitions is very vital</w:t>
      </w:r>
      <w:r w:rsidR="003E3E75">
        <w:rPr>
          <w:lang w:eastAsia="zh-CN"/>
        </w:rPr>
        <w:t>. Hence, in contrast to LTE V2X, a configurable number of repetitions, such as blind k-repetition</w:t>
      </w:r>
      <w:r>
        <w:rPr>
          <w:lang w:eastAsia="zh-CN"/>
        </w:rPr>
        <w:t>s for grant-free transmissions</w:t>
      </w:r>
      <w:r w:rsidR="003E3E75">
        <w:rPr>
          <w:lang w:eastAsia="zh-CN"/>
        </w:rPr>
        <w:t xml:space="preserve">, depending on the reliability requirements of the message </w:t>
      </w:r>
      <w:r>
        <w:rPr>
          <w:lang w:eastAsia="zh-CN"/>
        </w:rPr>
        <w:t xml:space="preserve">would </w:t>
      </w:r>
      <w:r w:rsidR="003E3E75">
        <w:rPr>
          <w:lang w:eastAsia="zh-CN"/>
        </w:rPr>
        <w:t xml:space="preserve">introduce a spectral efficiency gain over </w:t>
      </w:r>
      <w:r>
        <w:rPr>
          <w:lang w:eastAsia="zh-CN"/>
        </w:rPr>
        <w:t>a</w:t>
      </w:r>
      <w:r w:rsidR="003E3E75">
        <w:rPr>
          <w:lang w:eastAsia="zh-CN"/>
        </w:rPr>
        <w:t xml:space="preserve"> fixed number of blind retransmissions.</w:t>
      </w:r>
    </w:p>
    <w:p w14:paraId="76AD164F" w14:textId="5C3A0A3A" w:rsidR="003E3E75" w:rsidRPr="006D3026" w:rsidRDefault="003E3E75" w:rsidP="00BD39E4">
      <w:r w:rsidRPr="00207D12">
        <w:rPr>
          <w:b/>
        </w:rPr>
        <w:t xml:space="preserve">Proposal </w:t>
      </w:r>
      <w:r>
        <w:rPr>
          <w:b/>
        </w:rPr>
        <w:t>3:</w:t>
      </w:r>
      <w:r>
        <w:t xml:space="preserve"> Evaluate the suitability of blind retransmission mechanisms for NR V2X. </w:t>
      </w:r>
    </w:p>
    <w:p w14:paraId="588591C8" w14:textId="201DE3C6" w:rsidR="00D00394" w:rsidRPr="008D452D" w:rsidRDefault="00572FD3" w:rsidP="008D452D">
      <w:pPr>
        <w:pStyle w:val="berschrift1"/>
        <w:keepLines/>
        <w:numPr>
          <w:ilvl w:val="0"/>
          <w:numId w:val="1"/>
        </w:numPr>
        <w:pBdr>
          <w:top w:val="single" w:sz="12" w:space="3" w:color="auto"/>
        </w:pBdr>
        <w:overflowPunct w:val="0"/>
        <w:snapToGrid/>
        <w:spacing w:before="240" w:after="180"/>
        <w:jc w:val="left"/>
        <w:textAlignment w:val="baseline"/>
        <w:rPr>
          <w:rFonts w:ascii="Arial" w:hAnsi="Arial"/>
          <w:b w:val="0"/>
          <w:bCs w:val="0"/>
          <w:sz w:val="36"/>
          <w:szCs w:val="20"/>
        </w:rPr>
      </w:pPr>
      <w:r w:rsidRPr="008D452D">
        <w:rPr>
          <w:rFonts w:ascii="Arial" w:hAnsi="Arial"/>
          <w:b w:val="0"/>
          <w:bCs w:val="0"/>
          <w:sz w:val="36"/>
          <w:szCs w:val="20"/>
        </w:rPr>
        <w:t>Conclusion</w:t>
      </w:r>
    </w:p>
    <w:p w14:paraId="69197318" w14:textId="77777777" w:rsidR="0031631C" w:rsidRDefault="0031631C" w:rsidP="0031631C">
      <w:pPr>
        <w:rPr>
          <w:kern w:val="2"/>
          <w:lang w:val="en-GB" w:eastAsia="zh-CN"/>
        </w:rPr>
      </w:pPr>
      <w:r>
        <w:rPr>
          <w:kern w:val="2"/>
          <w:lang w:val="en-GB" w:eastAsia="zh-CN"/>
        </w:rPr>
        <w:t>The following observations are presented:</w:t>
      </w:r>
    </w:p>
    <w:p w14:paraId="69E7B56C" w14:textId="2809A7DD" w:rsidR="006F0562" w:rsidRDefault="00882ABD" w:rsidP="00D00394">
      <w:pPr>
        <w:rPr>
          <w:lang w:eastAsia="zh-CN"/>
        </w:rPr>
      </w:pPr>
      <w:r w:rsidRPr="00F07CDE">
        <w:rPr>
          <w:b/>
          <w:lang w:eastAsia="zh-CN"/>
        </w:rPr>
        <w:t>Observation 1</w:t>
      </w:r>
      <w:r>
        <w:rPr>
          <w:b/>
          <w:lang w:eastAsia="zh-CN"/>
        </w:rPr>
        <w:t xml:space="preserve">: </w:t>
      </w:r>
      <w:r w:rsidRPr="00F07CDE">
        <w:rPr>
          <w:lang w:eastAsia="zh-CN"/>
        </w:rPr>
        <w:t xml:space="preserve">Existing blind retransmission mechanisms in V2X broadcast are not </w:t>
      </w:r>
      <w:r>
        <w:rPr>
          <w:lang w:eastAsia="zh-CN"/>
        </w:rPr>
        <w:t>spectrally efficient to support</w:t>
      </w:r>
      <w:r w:rsidRPr="00F07CDE">
        <w:rPr>
          <w:lang w:eastAsia="zh-CN"/>
        </w:rPr>
        <w:t xml:space="preserve"> </w:t>
      </w:r>
      <w:r>
        <w:rPr>
          <w:lang w:eastAsia="zh-CN"/>
        </w:rPr>
        <w:t>V2X</w:t>
      </w:r>
      <w:r w:rsidRPr="00F07CDE">
        <w:rPr>
          <w:lang w:eastAsia="zh-CN"/>
        </w:rPr>
        <w:t xml:space="preserve"> unicast</w:t>
      </w:r>
      <w:r>
        <w:rPr>
          <w:lang w:eastAsia="zh-CN"/>
        </w:rPr>
        <w:t>.</w:t>
      </w:r>
    </w:p>
    <w:p w14:paraId="387FF727" w14:textId="2DE94ACF" w:rsidR="00985AEB" w:rsidRDefault="00985AEB" w:rsidP="00D00394">
      <w:pPr>
        <w:rPr>
          <w:kern w:val="2"/>
          <w:lang w:val="en-GB" w:eastAsia="zh-CN"/>
        </w:rPr>
      </w:pPr>
      <w:r w:rsidRPr="00207D12">
        <w:rPr>
          <w:kern w:val="2"/>
          <w:lang w:val="en-GB" w:eastAsia="zh-CN"/>
        </w:rPr>
        <w:t>In this Tdo</w:t>
      </w:r>
      <w:r w:rsidRPr="00985AEB">
        <w:rPr>
          <w:kern w:val="2"/>
          <w:lang w:val="en-GB" w:eastAsia="zh-CN"/>
        </w:rPr>
        <w:t>c</w:t>
      </w:r>
      <w:r>
        <w:rPr>
          <w:kern w:val="2"/>
          <w:lang w:val="en-GB" w:eastAsia="zh-CN"/>
        </w:rPr>
        <w:t xml:space="preserve">, we discussed potential solutions </w:t>
      </w:r>
      <w:r w:rsidR="00E77E01">
        <w:rPr>
          <w:kern w:val="2"/>
          <w:lang w:val="en-GB" w:eastAsia="zh-CN"/>
        </w:rPr>
        <w:t>to support unicast and multicast in SL. We propose evaluating following topics in this SI:</w:t>
      </w:r>
    </w:p>
    <w:p w14:paraId="6F87D925" w14:textId="2E432C00" w:rsidR="00E77E01" w:rsidRDefault="00882ABD" w:rsidP="00E77E01">
      <w:r w:rsidRPr="00207D12">
        <w:rPr>
          <w:b/>
        </w:rPr>
        <w:t xml:space="preserve">Proposal </w:t>
      </w:r>
      <w:r>
        <w:rPr>
          <w:b/>
        </w:rPr>
        <w:t>1:</w:t>
      </w:r>
      <w:r>
        <w:t xml:space="preserve"> Study different CQI reporting mechanisms and its implications for in-coverage NR V2X UEs.</w:t>
      </w:r>
    </w:p>
    <w:p w14:paraId="40CA80D2" w14:textId="0E1ACC8B" w:rsidR="00E77E01" w:rsidRDefault="00882ABD" w:rsidP="00E77E01">
      <w:r w:rsidRPr="00207D12">
        <w:rPr>
          <w:b/>
        </w:rPr>
        <w:t xml:space="preserve">Proposal </w:t>
      </w:r>
      <w:r>
        <w:rPr>
          <w:b/>
        </w:rPr>
        <w:t>2:</w:t>
      </w:r>
      <w:r>
        <w:t xml:space="preserve"> Study the implications for introducing HARQ for unicast and groupcast SL in NR V2X.</w:t>
      </w:r>
    </w:p>
    <w:p w14:paraId="694C69B3" w14:textId="548A7582" w:rsidR="003E3E75" w:rsidRDefault="003E3E75" w:rsidP="00E77E01">
      <w:r w:rsidRPr="00207D12">
        <w:rPr>
          <w:b/>
        </w:rPr>
        <w:t xml:space="preserve">Proposal </w:t>
      </w:r>
      <w:r>
        <w:rPr>
          <w:b/>
        </w:rPr>
        <w:t>3:</w:t>
      </w:r>
      <w:r>
        <w:t xml:space="preserve"> Evaluate the suitability of blind retransmission mechanisms for NR V2X. </w:t>
      </w:r>
    </w:p>
    <w:p w14:paraId="173690A8" w14:textId="77777777" w:rsidR="00097D6A" w:rsidRPr="008D452D" w:rsidRDefault="00097D6A" w:rsidP="008D452D">
      <w:pPr>
        <w:pStyle w:val="berschrift1"/>
        <w:keepLines/>
        <w:numPr>
          <w:ilvl w:val="0"/>
          <w:numId w:val="1"/>
        </w:numPr>
        <w:pBdr>
          <w:top w:val="single" w:sz="12" w:space="3" w:color="auto"/>
        </w:pBdr>
        <w:overflowPunct w:val="0"/>
        <w:snapToGrid/>
        <w:spacing w:before="240" w:after="180"/>
        <w:jc w:val="left"/>
        <w:textAlignment w:val="baseline"/>
        <w:rPr>
          <w:rFonts w:ascii="Arial" w:hAnsi="Arial"/>
          <w:b w:val="0"/>
          <w:bCs w:val="0"/>
          <w:sz w:val="36"/>
          <w:szCs w:val="20"/>
        </w:rPr>
      </w:pPr>
      <w:r w:rsidRPr="008D452D">
        <w:rPr>
          <w:rFonts w:ascii="Arial" w:hAnsi="Arial"/>
          <w:b w:val="0"/>
          <w:bCs w:val="0"/>
          <w:sz w:val="36"/>
          <w:szCs w:val="20"/>
        </w:rPr>
        <w:t>References</w:t>
      </w:r>
    </w:p>
    <w:p w14:paraId="23583F32" w14:textId="458349EE" w:rsidR="00097D6A" w:rsidRPr="00EF52E5" w:rsidRDefault="00707A3D">
      <w:pPr>
        <w:rPr>
          <w:lang w:val="en-GB" w:eastAsia="zh-CN"/>
        </w:rPr>
      </w:pPr>
      <w:r>
        <w:rPr>
          <w:lang w:val="en-GB" w:eastAsia="zh-CN"/>
        </w:rPr>
        <w:t>[1]</w:t>
      </w:r>
      <w:r>
        <w:rPr>
          <w:lang w:val="en-GB" w:eastAsia="zh-CN"/>
        </w:rPr>
        <w:tab/>
      </w:r>
      <w:r w:rsidR="003253A0" w:rsidRPr="001E0D00">
        <w:rPr>
          <w:lang w:val="en-GB" w:eastAsia="zh-CN"/>
        </w:rPr>
        <w:t>RAN #</w:t>
      </w:r>
      <w:r w:rsidR="007163F3">
        <w:rPr>
          <w:lang w:val="en-GB" w:eastAsia="zh-CN"/>
        </w:rPr>
        <w:t>80</w:t>
      </w:r>
      <w:r w:rsidR="003253A0" w:rsidRPr="001E0D00">
        <w:rPr>
          <w:lang w:val="en-GB" w:eastAsia="zh-CN"/>
        </w:rPr>
        <w:t xml:space="preserve"> Chairman’s Notes.</w:t>
      </w:r>
    </w:p>
    <w:sectPr w:rsidR="00097D6A" w:rsidRPr="00EF52E5" w:rsidSect="00DA1C31">
      <w:pgSz w:w="11909" w:h="16834" w:code="9"/>
      <w:pgMar w:top="1440" w:right="1152" w:bottom="1440" w:left="1440"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altName w:val="Sylfaen"/>
    <w:panose1 w:val="020B0604020202020204"/>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6C3CD6"/>
    <w:multiLevelType w:val="hybridMultilevel"/>
    <w:tmpl w:val="5DA861D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FAC4E00"/>
    <w:multiLevelType w:val="hybridMultilevel"/>
    <w:tmpl w:val="39BEB6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1E921E8"/>
    <w:multiLevelType w:val="hybridMultilevel"/>
    <w:tmpl w:val="EDCEA7E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33B557C1"/>
    <w:multiLevelType w:val="multilevel"/>
    <w:tmpl w:val="9C6688EA"/>
    <w:lvl w:ilvl="0">
      <w:start w:val="1"/>
      <w:numFmt w:val="decimal"/>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576" w:hanging="576"/>
      </w:pPr>
      <w:rPr>
        <w:rFonts w:ascii="Arial" w:hAnsi="Arial" w:cs="Arial" w:hint="default"/>
        <w:b w:val="0"/>
        <w:i w:val="0"/>
        <w:sz w:val="32"/>
        <w:szCs w:val="32"/>
        <w:effect w:val="none"/>
      </w:rPr>
    </w:lvl>
    <w:lvl w:ilvl="2">
      <w:start w:val="1"/>
      <w:numFmt w:val="decimal"/>
      <w:pStyle w:val="berschrift3"/>
      <w:lvlText w:val="%1.%2.%3"/>
      <w:lvlJc w:val="left"/>
      <w:pPr>
        <w:tabs>
          <w:tab w:val="num" w:pos="720"/>
        </w:tabs>
        <w:ind w:left="720" w:hanging="720"/>
      </w:pPr>
      <w:rPr>
        <w:rFonts w:hint="default"/>
      </w:rPr>
    </w:lvl>
    <w:lvl w:ilvl="3">
      <w:start w:val="1"/>
      <w:numFmt w:val="decimal"/>
      <w:pStyle w:val="berschrift4"/>
      <w:lvlText w:val="%1.%2.%3.%4"/>
      <w:lvlJc w:val="left"/>
      <w:pPr>
        <w:tabs>
          <w:tab w:val="num" w:pos="864"/>
        </w:tabs>
        <w:ind w:left="864" w:hanging="864"/>
      </w:pPr>
      <w:rPr>
        <w:rFonts w:hint="default"/>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4" w15:restartNumberingAfterBreak="0">
    <w:nsid w:val="3EE17958"/>
    <w:multiLevelType w:val="hybridMultilevel"/>
    <w:tmpl w:val="11E0422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4016426A"/>
    <w:multiLevelType w:val="hybridMultilevel"/>
    <w:tmpl w:val="1D92F38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4"/>
  </w:num>
  <w:num w:numId="4">
    <w:abstractNumId w:val="5"/>
  </w:num>
  <w:num w:numId="5">
    <w:abstractNumId w:val="2"/>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1"/>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D5660"/>
    <w:rsid w:val="00020D46"/>
    <w:rsid w:val="00025605"/>
    <w:rsid w:val="000267C4"/>
    <w:rsid w:val="000343B7"/>
    <w:rsid w:val="0005505E"/>
    <w:rsid w:val="0006079D"/>
    <w:rsid w:val="00064A13"/>
    <w:rsid w:val="00082BC2"/>
    <w:rsid w:val="000929A8"/>
    <w:rsid w:val="00097D6A"/>
    <w:rsid w:val="000A284A"/>
    <w:rsid w:val="000A6E3D"/>
    <w:rsid w:val="000B2CA7"/>
    <w:rsid w:val="000C5A1B"/>
    <w:rsid w:val="000D2024"/>
    <w:rsid w:val="000D376E"/>
    <w:rsid w:val="000D5E8C"/>
    <w:rsid w:val="000E4215"/>
    <w:rsid w:val="000E5B89"/>
    <w:rsid w:val="0011521A"/>
    <w:rsid w:val="00142AB4"/>
    <w:rsid w:val="0014415B"/>
    <w:rsid w:val="00167815"/>
    <w:rsid w:val="00176EF1"/>
    <w:rsid w:val="001776C4"/>
    <w:rsid w:val="00182DA2"/>
    <w:rsid w:val="00187AB6"/>
    <w:rsid w:val="00194FCD"/>
    <w:rsid w:val="001A0C53"/>
    <w:rsid w:val="001A1089"/>
    <w:rsid w:val="001B71A3"/>
    <w:rsid w:val="001C33C1"/>
    <w:rsid w:val="001D2787"/>
    <w:rsid w:val="001E1A53"/>
    <w:rsid w:val="00207D12"/>
    <w:rsid w:val="0022030B"/>
    <w:rsid w:val="00234C6C"/>
    <w:rsid w:val="00243B50"/>
    <w:rsid w:val="00247EE2"/>
    <w:rsid w:val="002671F3"/>
    <w:rsid w:val="0027545A"/>
    <w:rsid w:val="00276B3A"/>
    <w:rsid w:val="00286962"/>
    <w:rsid w:val="0029692D"/>
    <w:rsid w:val="002A4E3C"/>
    <w:rsid w:val="002C4EA6"/>
    <w:rsid w:val="002D3E2F"/>
    <w:rsid w:val="00300DC4"/>
    <w:rsid w:val="003102E2"/>
    <w:rsid w:val="00315EC0"/>
    <w:rsid w:val="0031631C"/>
    <w:rsid w:val="00316B28"/>
    <w:rsid w:val="003202D6"/>
    <w:rsid w:val="0032140C"/>
    <w:rsid w:val="003253A0"/>
    <w:rsid w:val="003451F1"/>
    <w:rsid w:val="00354F43"/>
    <w:rsid w:val="0037284F"/>
    <w:rsid w:val="0039370B"/>
    <w:rsid w:val="003B506E"/>
    <w:rsid w:val="003C3D28"/>
    <w:rsid w:val="003C5D80"/>
    <w:rsid w:val="003D2E1B"/>
    <w:rsid w:val="003E3E75"/>
    <w:rsid w:val="0040535A"/>
    <w:rsid w:val="0044527C"/>
    <w:rsid w:val="00445D0A"/>
    <w:rsid w:val="00447618"/>
    <w:rsid w:val="00495562"/>
    <w:rsid w:val="00496964"/>
    <w:rsid w:val="004B64EB"/>
    <w:rsid w:val="004C3D39"/>
    <w:rsid w:val="004C5235"/>
    <w:rsid w:val="004D0316"/>
    <w:rsid w:val="004E6247"/>
    <w:rsid w:val="004F4546"/>
    <w:rsid w:val="00526CA6"/>
    <w:rsid w:val="00541ED8"/>
    <w:rsid w:val="00553699"/>
    <w:rsid w:val="00572FD3"/>
    <w:rsid w:val="00581A5D"/>
    <w:rsid w:val="00592AC6"/>
    <w:rsid w:val="005C216D"/>
    <w:rsid w:val="005D0629"/>
    <w:rsid w:val="005D5660"/>
    <w:rsid w:val="005F48B8"/>
    <w:rsid w:val="005F5702"/>
    <w:rsid w:val="00600E68"/>
    <w:rsid w:val="00613EDB"/>
    <w:rsid w:val="00615C63"/>
    <w:rsid w:val="00654CA5"/>
    <w:rsid w:val="00660E82"/>
    <w:rsid w:val="00662C65"/>
    <w:rsid w:val="006703D1"/>
    <w:rsid w:val="006764F7"/>
    <w:rsid w:val="0068372F"/>
    <w:rsid w:val="006941A4"/>
    <w:rsid w:val="006A348D"/>
    <w:rsid w:val="006A5201"/>
    <w:rsid w:val="006C3BD1"/>
    <w:rsid w:val="006D0AE0"/>
    <w:rsid w:val="006D3026"/>
    <w:rsid w:val="006F0562"/>
    <w:rsid w:val="00707A3D"/>
    <w:rsid w:val="00714414"/>
    <w:rsid w:val="00714F26"/>
    <w:rsid w:val="007163F3"/>
    <w:rsid w:val="0074251A"/>
    <w:rsid w:val="00763A1B"/>
    <w:rsid w:val="00765230"/>
    <w:rsid w:val="00765934"/>
    <w:rsid w:val="007659A6"/>
    <w:rsid w:val="00771B14"/>
    <w:rsid w:val="00780D9E"/>
    <w:rsid w:val="00783134"/>
    <w:rsid w:val="0079131C"/>
    <w:rsid w:val="007974DB"/>
    <w:rsid w:val="007B070F"/>
    <w:rsid w:val="007B532E"/>
    <w:rsid w:val="007B766B"/>
    <w:rsid w:val="007C2724"/>
    <w:rsid w:val="007C37A3"/>
    <w:rsid w:val="0080372F"/>
    <w:rsid w:val="00817CCB"/>
    <w:rsid w:val="00834C81"/>
    <w:rsid w:val="00843C37"/>
    <w:rsid w:val="008463BA"/>
    <w:rsid w:val="00854DCA"/>
    <w:rsid w:val="00882ABD"/>
    <w:rsid w:val="008959E6"/>
    <w:rsid w:val="00895D3C"/>
    <w:rsid w:val="008C3D23"/>
    <w:rsid w:val="008D452D"/>
    <w:rsid w:val="008D7B1E"/>
    <w:rsid w:val="008E2A01"/>
    <w:rsid w:val="0091257F"/>
    <w:rsid w:val="0094573B"/>
    <w:rsid w:val="009602C1"/>
    <w:rsid w:val="00960921"/>
    <w:rsid w:val="00961D75"/>
    <w:rsid w:val="0096283E"/>
    <w:rsid w:val="00981879"/>
    <w:rsid w:val="00985AEB"/>
    <w:rsid w:val="009A1A50"/>
    <w:rsid w:val="009A1C47"/>
    <w:rsid w:val="009C38B1"/>
    <w:rsid w:val="009D5C5C"/>
    <w:rsid w:val="009E2BC6"/>
    <w:rsid w:val="009E4E0C"/>
    <w:rsid w:val="009F312D"/>
    <w:rsid w:val="00A0430A"/>
    <w:rsid w:val="00A30F8C"/>
    <w:rsid w:val="00A354CB"/>
    <w:rsid w:val="00A370C7"/>
    <w:rsid w:val="00A61DF7"/>
    <w:rsid w:val="00A62924"/>
    <w:rsid w:val="00A64505"/>
    <w:rsid w:val="00A761AE"/>
    <w:rsid w:val="00AA1EFB"/>
    <w:rsid w:val="00AB75CD"/>
    <w:rsid w:val="00AE2CE8"/>
    <w:rsid w:val="00AF4002"/>
    <w:rsid w:val="00B26D78"/>
    <w:rsid w:val="00B4115B"/>
    <w:rsid w:val="00B44682"/>
    <w:rsid w:val="00B53C14"/>
    <w:rsid w:val="00B577D6"/>
    <w:rsid w:val="00B623AA"/>
    <w:rsid w:val="00B627EB"/>
    <w:rsid w:val="00B772DB"/>
    <w:rsid w:val="00B831F6"/>
    <w:rsid w:val="00BB695D"/>
    <w:rsid w:val="00BB7CF2"/>
    <w:rsid w:val="00BD39E4"/>
    <w:rsid w:val="00C06587"/>
    <w:rsid w:val="00C10A8F"/>
    <w:rsid w:val="00C26A33"/>
    <w:rsid w:val="00C33AC1"/>
    <w:rsid w:val="00C35A39"/>
    <w:rsid w:val="00C50539"/>
    <w:rsid w:val="00C51E0F"/>
    <w:rsid w:val="00C51FB2"/>
    <w:rsid w:val="00C560E2"/>
    <w:rsid w:val="00C70B9C"/>
    <w:rsid w:val="00C76A4A"/>
    <w:rsid w:val="00C907AE"/>
    <w:rsid w:val="00C95DC6"/>
    <w:rsid w:val="00CB06B2"/>
    <w:rsid w:val="00CB435C"/>
    <w:rsid w:val="00CC0754"/>
    <w:rsid w:val="00CC2A92"/>
    <w:rsid w:val="00CD17F8"/>
    <w:rsid w:val="00CD2977"/>
    <w:rsid w:val="00CE52ED"/>
    <w:rsid w:val="00CF1490"/>
    <w:rsid w:val="00D00394"/>
    <w:rsid w:val="00D147AF"/>
    <w:rsid w:val="00D2446A"/>
    <w:rsid w:val="00D44DAE"/>
    <w:rsid w:val="00D47B56"/>
    <w:rsid w:val="00D5424C"/>
    <w:rsid w:val="00DF3E56"/>
    <w:rsid w:val="00E00A30"/>
    <w:rsid w:val="00E02AC9"/>
    <w:rsid w:val="00E26187"/>
    <w:rsid w:val="00E65B80"/>
    <w:rsid w:val="00E74ECA"/>
    <w:rsid w:val="00E776B3"/>
    <w:rsid w:val="00E77E01"/>
    <w:rsid w:val="00E8622B"/>
    <w:rsid w:val="00E8756D"/>
    <w:rsid w:val="00ED131D"/>
    <w:rsid w:val="00EE2D48"/>
    <w:rsid w:val="00EF52E5"/>
    <w:rsid w:val="00F12AC3"/>
    <w:rsid w:val="00F232D2"/>
    <w:rsid w:val="00F361E9"/>
    <w:rsid w:val="00F468D9"/>
    <w:rsid w:val="00F51731"/>
    <w:rsid w:val="00F72747"/>
    <w:rsid w:val="00F824F2"/>
    <w:rsid w:val="00F86F00"/>
    <w:rsid w:val="00FB4C81"/>
    <w:rsid w:val="00FB5DA1"/>
    <w:rsid w:val="00FE734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0949BC"/>
  <w15:docId w15:val="{D71D9874-D27F-A84C-80F8-FDB82DBC17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sid w:val="00496964"/>
    <w:pPr>
      <w:autoSpaceDE w:val="0"/>
      <w:autoSpaceDN w:val="0"/>
      <w:adjustRightInd w:val="0"/>
      <w:snapToGrid w:val="0"/>
      <w:spacing w:after="120" w:line="240" w:lineRule="auto"/>
      <w:jc w:val="both"/>
    </w:pPr>
    <w:rPr>
      <w:rFonts w:ascii="Times New Roman" w:eastAsia="SimSun" w:hAnsi="Times New Roman" w:cs="Times New Roman"/>
      <w:lang w:val="en-US"/>
    </w:rPr>
  </w:style>
  <w:style w:type="paragraph" w:styleId="berschrift1">
    <w:name w:val="heading 1"/>
    <w:aliases w:val="NMP Heading 1,H1,h11,h12,h13,h14,h15,h16,app heading 1,l1,Memo Heading 1,Heading 1_a,heading 1,h17,h111,h121,h131,h141,h151,h161,h18,h112,h122,h132,h142,h152,h162,h19,h113,h123,h133,h143,h153,h163,Alt+1,Alt+11,Alt+12,Alt+13"/>
    <w:basedOn w:val="Standard"/>
    <w:next w:val="Standard"/>
    <w:link w:val="berschrift1Zchn"/>
    <w:qFormat/>
    <w:rsid w:val="005D5660"/>
    <w:pPr>
      <w:keepNext/>
      <w:spacing w:before="120"/>
      <w:outlineLvl w:val="0"/>
    </w:pPr>
    <w:rPr>
      <w:b/>
      <w:bCs/>
      <w:sz w:val="28"/>
      <w:szCs w:val="28"/>
    </w:rPr>
  </w:style>
  <w:style w:type="paragraph" w:styleId="berschrift2">
    <w:name w:val="heading 2"/>
    <w:aliases w:val="H2,h2,Head2A,2,UNDERRUBRIK 1-2,DO NOT USE_h2,h21,H2 Char,h2 Char"/>
    <w:basedOn w:val="Standard"/>
    <w:next w:val="Standard"/>
    <w:link w:val="berschrift2Zchn"/>
    <w:qFormat/>
    <w:rsid w:val="005D5660"/>
    <w:pPr>
      <w:keepNext/>
      <w:spacing w:before="120"/>
      <w:outlineLvl w:val="1"/>
    </w:pPr>
    <w:rPr>
      <w:b/>
      <w:bCs/>
      <w:sz w:val="24"/>
    </w:rPr>
  </w:style>
  <w:style w:type="paragraph" w:styleId="berschrift3">
    <w:name w:val="heading 3"/>
    <w:aliases w:val="Title1,no break,H3,Underrubrik2,h3,Memo Heading 3,hello,Titre 3 Car,no break Car,H3 Car,Underrubrik2 Car,h3 Car,Memo Heading 3 Car,hello Car,Heading 3 Char Car,no break Char Car,H3 Char Car,Underrubrik2 Char Car,h3 Char Car"/>
    <w:basedOn w:val="Standard"/>
    <w:next w:val="Standard"/>
    <w:link w:val="berschrift3Zchn"/>
    <w:qFormat/>
    <w:rsid w:val="005D5660"/>
    <w:pPr>
      <w:keepNext/>
      <w:numPr>
        <w:ilvl w:val="2"/>
        <w:numId w:val="1"/>
      </w:numPr>
      <w:tabs>
        <w:tab w:val="clear" w:pos="720"/>
      </w:tabs>
      <w:spacing w:before="120"/>
      <w:outlineLvl w:val="2"/>
    </w:pPr>
    <w:rPr>
      <w:b/>
    </w:rPr>
  </w:style>
  <w:style w:type="paragraph" w:styleId="berschrift4">
    <w:name w:val="heading 4"/>
    <w:aliases w:val="H4,h4,H41,h41,H42,h42,H43,h43,H411,h411,H421,h421,H44,h44,H412,h412,H422,h422,H431,h431,H45,h45,H413,h413,H423,h423,H432,h432,H46,h46,H47,h47,Memo Heading 4,Memo Heading 5,heading 4"/>
    <w:basedOn w:val="Standard"/>
    <w:next w:val="Standard"/>
    <w:link w:val="berschrift4Zchn"/>
    <w:qFormat/>
    <w:rsid w:val="005D5660"/>
    <w:pPr>
      <w:keepNext/>
      <w:numPr>
        <w:ilvl w:val="3"/>
        <w:numId w:val="1"/>
      </w:numPr>
      <w:tabs>
        <w:tab w:val="clear" w:pos="864"/>
      </w:tabs>
      <w:spacing w:before="120"/>
      <w:ind w:left="720" w:hanging="720"/>
      <w:outlineLvl w:val="3"/>
    </w:pPr>
    <w:rPr>
      <w:b/>
      <w:bCs/>
      <w:szCs w:val="28"/>
    </w:rPr>
  </w:style>
  <w:style w:type="paragraph" w:styleId="berschrift5">
    <w:name w:val="heading 5"/>
    <w:aliases w:val="h5,Heading5"/>
    <w:basedOn w:val="Standard"/>
    <w:next w:val="Standard"/>
    <w:link w:val="berschrift5Zchn"/>
    <w:qFormat/>
    <w:rsid w:val="005D5660"/>
    <w:pPr>
      <w:keepNext/>
      <w:numPr>
        <w:ilvl w:val="4"/>
        <w:numId w:val="1"/>
      </w:numPr>
      <w:tabs>
        <w:tab w:val="clear" w:pos="1008"/>
      </w:tabs>
      <w:spacing w:before="120"/>
      <w:ind w:left="720" w:hanging="720"/>
      <w:outlineLvl w:val="4"/>
    </w:pPr>
    <w:rPr>
      <w:b/>
      <w:bCs/>
      <w:i/>
      <w:iCs/>
      <w:szCs w:val="26"/>
    </w:rPr>
  </w:style>
  <w:style w:type="paragraph" w:styleId="berschrift6">
    <w:name w:val="heading 6"/>
    <w:basedOn w:val="Standard"/>
    <w:next w:val="Standard"/>
    <w:link w:val="berschrift6Zchn"/>
    <w:qFormat/>
    <w:rsid w:val="005D5660"/>
    <w:pPr>
      <w:numPr>
        <w:ilvl w:val="5"/>
        <w:numId w:val="1"/>
      </w:numPr>
      <w:spacing w:before="240" w:after="60"/>
      <w:outlineLvl w:val="5"/>
    </w:pPr>
    <w:rPr>
      <w:b/>
      <w:bCs/>
    </w:rPr>
  </w:style>
  <w:style w:type="paragraph" w:styleId="berschrift7">
    <w:name w:val="heading 7"/>
    <w:basedOn w:val="Standard"/>
    <w:next w:val="Standard"/>
    <w:link w:val="berschrift7Zchn"/>
    <w:qFormat/>
    <w:rsid w:val="005D5660"/>
    <w:pPr>
      <w:numPr>
        <w:ilvl w:val="6"/>
        <w:numId w:val="1"/>
      </w:numPr>
      <w:spacing w:before="240" w:after="60"/>
      <w:outlineLvl w:val="6"/>
    </w:pPr>
    <w:rPr>
      <w:sz w:val="24"/>
      <w:szCs w:val="24"/>
    </w:rPr>
  </w:style>
  <w:style w:type="paragraph" w:styleId="berschrift8">
    <w:name w:val="heading 8"/>
    <w:basedOn w:val="Standard"/>
    <w:next w:val="Standard"/>
    <w:link w:val="berschrift8Zchn"/>
    <w:qFormat/>
    <w:rsid w:val="005D5660"/>
    <w:pPr>
      <w:numPr>
        <w:ilvl w:val="7"/>
        <w:numId w:val="1"/>
      </w:numPr>
      <w:spacing w:before="240" w:after="60"/>
      <w:outlineLvl w:val="7"/>
    </w:pPr>
    <w:rPr>
      <w:i/>
      <w:iCs/>
      <w:sz w:val="24"/>
      <w:szCs w:val="24"/>
    </w:rPr>
  </w:style>
  <w:style w:type="paragraph" w:styleId="berschrift9">
    <w:name w:val="heading 9"/>
    <w:aliases w:val="Figure Heading,FH"/>
    <w:basedOn w:val="Standard"/>
    <w:next w:val="Standard"/>
    <w:link w:val="berschrift9Zchn"/>
    <w:qFormat/>
    <w:rsid w:val="005D5660"/>
    <w:pPr>
      <w:numPr>
        <w:ilvl w:val="8"/>
        <w:numId w:val="1"/>
      </w:numPr>
      <w:spacing w:before="240" w:after="60"/>
      <w:outlineLvl w:val="8"/>
    </w:pPr>
    <w:rPr>
      <w:rFonts w:ascii="Arial" w:hAnsi="Arial" w:cs="Arial"/>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aliases w:val="NMP Heading 1 Zchn,H1 Zchn,h11 Zchn,h12 Zchn,h13 Zchn,h14 Zchn,h15 Zchn,h16 Zchn,app heading 1 Zchn,l1 Zchn,Memo Heading 1 Zchn,Heading 1_a Zchn,heading 1 Zchn,h17 Zchn,h111 Zchn,h121 Zchn,h131 Zchn,h141 Zchn,h151 Zchn,h161 Zchn"/>
    <w:basedOn w:val="Absatz-Standardschriftart"/>
    <w:link w:val="berschrift1"/>
    <w:rsid w:val="005D5660"/>
    <w:rPr>
      <w:rFonts w:ascii="Times New Roman" w:eastAsia="SimSun" w:hAnsi="Times New Roman" w:cs="Times New Roman"/>
      <w:b/>
      <w:bCs/>
      <w:sz w:val="28"/>
      <w:szCs w:val="28"/>
      <w:lang w:val="en-US"/>
    </w:rPr>
  </w:style>
  <w:style w:type="character" w:customStyle="1" w:styleId="berschrift2Zchn">
    <w:name w:val="Überschrift 2 Zchn"/>
    <w:aliases w:val="H2 Zchn,h2 Zchn,Head2A Zchn,2 Zchn,UNDERRUBRIK 1-2 Zchn,DO NOT USE_h2 Zchn,h21 Zchn,H2 Char Zchn,h2 Char Zchn"/>
    <w:basedOn w:val="Absatz-Standardschriftart"/>
    <w:link w:val="berschrift2"/>
    <w:rsid w:val="005D5660"/>
    <w:rPr>
      <w:rFonts w:ascii="Times New Roman" w:eastAsia="SimSun" w:hAnsi="Times New Roman" w:cs="Times New Roman"/>
      <w:b/>
      <w:bCs/>
      <w:sz w:val="24"/>
      <w:lang w:val="en-US"/>
    </w:rPr>
  </w:style>
  <w:style w:type="character" w:customStyle="1" w:styleId="berschrift3Zchn">
    <w:name w:val="Überschrift 3 Zchn"/>
    <w:aliases w:val="Title1 Zchn,no break Zchn,H3 Zchn,Underrubrik2 Zchn,h3 Zchn,Memo Heading 3 Zchn,hello Zchn,Titre 3 Car Zchn,no break Car Zchn,H3 Car Zchn,Underrubrik2 Car Zchn,h3 Car Zchn,Memo Heading 3 Car Zchn,hello Car Zchn,Heading 3 Char Car Zchn"/>
    <w:basedOn w:val="Absatz-Standardschriftart"/>
    <w:link w:val="berschrift3"/>
    <w:rsid w:val="005D5660"/>
    <w:rPr>
      <w:rFonts w:ascii="Times New Roman" w:eastAsia="SimSun" w:hAnsi="Times New Roman" w:cs="Times New Roman"/>
      <w:b/>
      <w:lang w:val="en-US"/>
    </w:rPr>
  </w:style>
  <w:style w:type="character" w:customStyle="1" w:styleId="berschrift4Zchn">
    <w:name w:val="Überschrift 4 Zchn"/>
    <w:aliases w:val="H4 Zchn,h4 Zchn,H41 Zchn,h41 Zchn,H42 Zchn,h42 Zchn,H43 Zchn,h43 Zchn,H411 Zchn,h411 Zchn,H421 Zchn,h421 Zchn,H44 Zchn,h44 Zchn,H412 Zchn,h412 Zchn,H422 Zchn,h422 Zchn,H431 Zchn,h431 Zchn,H45 Zchn,h45 Zchn,H413 Zchn,h413 Zchn,H46 Zchn"/>
    <w:basedOn w:val="Absatz-Standardschriftart"/>
    <w:link w:val="berschrift4"/>
    <w:rsid w:val="005D5660"/>
    <w:rPr>
      <w:rFonts w:ascii="Times New Roman" w:eastAsia="SimSun" w:hAnsi="Times New Roman" w:cs="Times New Roman"/>
      <w:b/>
      <w:bCs/>
      <w:szCs w:val="28"/>
      <w:lang w:val="en-US"/>
    </w:rPr>
  </w:style>
  <w:style w:type="character" w:customStyle="1" w:styleId="berschrift5Zchn">
    <w:name w:val="Überschrift 5 Zchn"/>
    <w:aliases w:val="h5 Zchn,Heading5 Zchn"/>
    <w:basedOn w:val="Absatz-Standardschriftart"/>
    <w:link w:val="berschrift5"/>
    <w:rsid w:val="005D5660"/>
    <w:rPr>
      <w:rFonts w:ascii="Times New Roman" w:eastAsia="SimSun" w:hAnsi="Times New Roman" w:cs="Times New Roman"/>
      <w:b/>
      <w:bCs/>
      <w:i/>
      <w:iCs/>
      <w:szCs w:val="26"/>
      <w:lang w:val="en-US"/>
    </w:rPr>
  </w:style>
  <w:style w:type="character" w:customStyle="1" w:styleId="berschrift6Zchn">
    <w:name w:val="Überschrift 6 Zchn"/>
    <w:basedOn w:val="Absatz-Standardschriftart"/>
    <w:link w:val="berschrift6"/>
    <w:rsid w:val="005D5660"/>
    <w:rPr>
      <w:rFonts w:ascii="Times New Roman" w:eastAsia="SimSun" w:hAnsi="Times New Roman" w:cs="Times New Roman"/>
      <w:b/>
      <w:bCs/>
      <w:lang w:val="en-US"/>
    </w:rPr>
  </w:style>
  <w:style w:type="character" w:customStyle="1" w:styleId="berschrift7Zchn">
    <w:name w:val="Überschrift 7 Zchn"/>
    <w:basedOn w:val="Absatz-Standardschriftart"/>
    <w:link w:val="berschrift7"/>
    <w:rsid w:val="005D5660"/>
    <w:rPr>
      <w:rFonts w:ascii="Times New Roman" w:eastAsia="SimSun" w:hAnsi="Times New Roman" w:cs="Times New Roman"/>
      <w:sz w:val="24"/>
      <w:szCs w:val="24"/>
      <w:lang w:val="en-US"/>
    </w:rPr>
  </w:style>
  <w:style w:type="character" w:customStyle="1" w:styleId="berschrift8Zchn">
    <w:name w:val="Überschrift 8 Zchn"/>
    <w:basedOn w:val="Absatz-Standardschriftart"/>
    <w:link w:val="berschrift8"/>
    <w:rsid w:val="005D5660"/>
    <w:rPr>
      <w:rFonts w:ascii="Times New Roman" w:eastAsia="SimSun" w:hAnsi="Times New Roman" w:cs="Times New Roman"/>
      <w:i/>
      <w:iCs/>
      <w:sz w:val="24"/>
      <w:szCs w:val="24"/>
      <w:lang w:val="en-US"/>
    </w:rPr>
  </w:style>
  <w:style w:type="character" w:customStyle="1" w:styleId="berschrift9Zchn">
    <w:name w:val="Überschrift 9 Zchn"/>
    <w:aliases w:val="Figure Heading Zchn,FH Zchn"/>
    <w:basedOn w:val="Absatz-Standardschriftart"/>
    <w:link w:val="berschrift9"/>
    <w:rsid w:val="005D5660"/>
    <w:rPr>
      <w:rFonts w:ascii="Arial" w:eastAsia="SimSun" w:hAnsi="Arial" w:cs="Arial"/>
      <w:lang w:val="en-US"/>
    </w:rPr>
  </w:style>
  <w:style w:type="character" w:styleId="Platzhaltertext">
    <w:name w:val="Placeholder Text"/>
    <w:basedOn w:val="Absatz-Standardschriftart"/>
    <w:uiPriority w:val="99"/>
    <w:semiHidden/>
    <w:rsid w:val="00CC0754"/>
    <w:rPr>
      <w:color w:val="808080"/>
    </w:rPr>
  </w:style>
  <w:style w:type="table" w:styleId="Tabellenraster">
    <w:name w:val="Table Grid"/>
    <w:basedOn w:val="NormaleTabelle"/>
    <w:uiPriority w:val="39"/>
    <w:rsid w:val="003B506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chriftung">
    <w:name w:val="caption"/>
    <w:basedOn w:val="Standard"/>
    <w:next w:val="Standard"/>
    <w:uiPriority w:val="35"/>
    <w:unhideWhenUsed/>
    <w:qFormat/>
    <w:rsid w:val="001E1A53"/>
    <w:pPr>
      <w:spacing w:after="200"/>
    </w:pPr>
    <w:rPr>
      <w:i/>
      <w:iCs/>
      <w:color w:val="44546A" w:themeColor="text2"/>
      <w:sz w:val="18"/>
      <w:szCs w:val="18"/>
    </w:rPr>
  </w:style>
  <w:style w:type="paragraph" w:styleId="Sprechblasentext">
    <w:name w:val="Balloon Text"/>
    <w:basedOn w:val="Standard"/>
    <w:link w:val="SprechblasentextZchn"/>
    <w:uiPriority w:val="99"/>
    <w:semiHidden/>
    <w:unhideWhenUsed/>
    <w:rsid w:val="00662C65"/>
    <w:pPr>
      <w:spacing w:after="0"/>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662C65"/>
    <w:rPr>
      <w:rFonts w:ascii="Segoe UI" w:eastAsia="SimSun" w:hAnsi="Segoe UI" w:cs="Segoe UI"/>
      <w:sz w:val="18"/>
      <w:szCs w:val="18"/>
      <w:lang w:val="en-US"/>
    </w:rPr>
  </w:style>
  <w:style w:type="character" w:styleId="Kommentarzeichen">
    <w:name w:val="annotation reference"/>
    <w:basedOn w:val="Absatz-Standardschriftart"/>
    <w:uiPriority w:val="99"/>
    <w:semiHidden/>
    <w:unhideWhenUsed/>
    <w:rsid w:val="00167815"/>
    <w:rPr>
      <w:sz w:val="16"/>
      <w:szCs w:val="16"/>
    </w:rPr>
  </w:style>
  <w:style w:type="paragraph" w:styleId="Kommentartext">
    <w:name w:val="annotation text"/>
    <w:basedOn w:val="Standard"/>
    <w:link w:val="KommentartextZchn"/>
    <w:uiPriority w:val="99"/>
    <w:semiHidden/>
    <w:unhideWhenUsed/>
    <w:rsid w:val="00167815"/>
    <w:rPr>
      <w:sz w:val="20"/>
      <w:szCs w:val="20"/>
    </w:rPr>
  </w:style>
  <w:style w:type="character" w:customStyle="1" w:styleId="KommentartextZchn">
    <w:name w:val="Kommentartext Zchn"/>
    <w:basedOn w:val="Absatz-Standardschriftart"/>
    <w:link w:val="Kommentartext"/>
    <w:uiPriority w:val="99"/>
    <w:semiHidden/>
    <w:rsid w:val="00167815"/>
    <w:rPr>
      <w:rFonts w:ascii="Times New Roman" w:eastAsia="SimSun" w:hAnsi="Times New Roman" w:cs="Times New Roman"/>
      <w:sz w:val="20"/>
      <w:szCs w:val="20"/>
      <w:lang w:val="en-US"/>
    </w:rPr>
  </w:style>
  <w:style w:type="paragraph" w:styleId="Kommentarthema">
    <w:name w:val="annotation subject"/>
    <w:basedOn w:val="Kommentartext"/>
    <w:next w:val="Kommentartext"/>
    <w:link w:val="KommentarthemaZchn"/>
    <w:uiPriority w:val="99"/>
    <w:semiHidden/>
    <w:unhideWhenUsed/>
    <w:rsid w:val="00167815"/>
    <w:rPr>
      <w:b/>
      <w:bCs/>
    </w:rPr>
  </w:style>
  <w:style w:type="character" w:customStyle="1" w:styleId="KommentarthemaZchn">
    <w:name w:val="Kommentarthema Zchn"/>
    <w:basedOn w:val="KommentartextZchn"/>
    <w:link w:val="Kommentarthema"/>
    <w:uiPriority w:val="99"/>
    <w:semiHidden/>
    <w:rsid w:val="00167815"/>
    <w:rPr>
      <w:rFonts w:ascii="Times New Roman" w:eastAsia="SimSun" w:hAnsi="Times New Roman" w:cs="Times New Roman"/>
      <w:b/>
      <w:bCs/>
      <w:sz w:val="20"/>
      <w:szCs w:val="20"/>
      <w:lang w:val="en-US"/>
    </w:rPr>
  </w:style>
  <w:style w:type="paragraph" w:styleId="Listenabsatz">
    <w:name w:val="List Paragraph"/>
    <w:basedOn w:val="Standard"/>
    <w:uiPriority w:val="34"/>
    <w:qFormat/>
    <w:rsid w:val="00E02AC9"/>
    <w:pPr>
      <w:ind w:left="720"/>
      <w:contextualSpacing/>
    </w:pPr>
  </w:style>
  <w:style w:type="paragraph" w:customStyle="1" w:styleId="3GPPNormalText">
    <w:name w:val="3GPP Normal Text"/>
    <w:basedOn w:val="Textkrper"/>
    <w:link w:val="3GPPNormalTextChar"/>
    <w:qFormat/>
    <w:rsid w:val="00C907AE"/>
    <w:pPr>
      <w:autoSpaceDE/>
      <w:autoSpaceDN/>
      <w:adjustRightInd/>
      <w:snapToGrid/>
    </w:pPr>
    <w:rPr>
      <w:rFonts w:eastAsia="MS Mincho"/>
      <w:szCs w:val="24"/>
    </w:rPr>
  </w:style>
  <w:style w:type="character" w:customStyle="1" w:styleId="3GPPNormalTextChar">
    <w:name w:val="3GPP Normal Text Char"/>
    <w:link w:val="3GPPNormalText"/>
    <w:rsid w:val="00C907AE"/>
    <w:rPr>
      <w:rFonts w:ascii="Times New Roman" w:eastAsia="MS Mincho" w:hAnsi="Times New Roman" w:cs="Times New Roman"/>
      <w:szCs w:val="24"/>
      <w:lang w:val="en-US"/>
    </w:rPr>
  </w:style>
  <w:style w:type="paragraph" w:styleId="Textkrper">
    <w:name w:val="Body Text"/>
    <w:basedOn w:val="Standard"/>
    <w:link w:val="TextkrperZchn"/>
    <w:uiPriority w:val="99"/>
    <w:semiHidden/>
    <w:unhideWhenUsed/>
    <w:rsid w:val="00C907AE"/>
  </w:style>
  <w:style w:type="character" w:customStyle="1" w:styleId="TextkrperZchn">
    <w:name w:val="Textkörper Zchn"/>
    <w:basedOn w:val="Absatz-Standardschriftart"/>
    <w:link w:val="Textkrper"/>
    <w:uiPriority w:val="99"/>
    <w:semiHidden/>
    <w:rsid w:val="00C907AE"/>
    <w:rPr>
      <w:rFonts w:ascii="Times New Roman" w:eastAsia="SimSun" w:hAnsi="Times New Roman" w:cs="Times New Roman"/>
      <w:lang w:val="en-US"/>
    </w:rPr>
  </w:style>
  <w:style w:type="character" w:customStyle="1" w:styleId="Heading1Char1">
    <w:name w:val="Heading 1 Char1"/>
    <w:rsid w:val="008D452D"/>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emf"/><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F67D09-3EC5-1F40-AB4B-04AAACB5C0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1205</Words>
  <Characters>7595</Characters>
  <Application>Microsoft Office Word</Application>
  <DocSecurity>0</DocSecurity>
  <Lines>63</Lines>
  <Paragraphs>17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Fraunhofer HHI</Company>
  <LinksUpToDate>false</LinksUpToDate>
  <CharactersWithSpaces>8783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Göktepe, Baris</dc:creator>
  <cp:lastModifiedBy>Tom Wirth</cp:lastModifiedBy>
  <cp:revision>5</cp:revision>
  <dcterms:created xsi:type="dcterms:W3CDTF">2018-08-10T10:39:00Z</dcterms:created>
  <dcterms:modified xsi:type="dcterms:W3CDTF">2018-08-10T10:56:00Z</dcterms:modified>
</cp:coreProperties>
</file>