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600F5" w14:textId="77777777" w:rsidR="00DD1373" w:rsidRDefault="00DD1373" w:rsidP="00E35559">
      <w:pPr>
        <w:pStyle w:val="3GPPHeader"/>
        <w:spacing w:after="60"/>
        <w:rPr>
          <w:lang w:val="en-US"/>
        </w:rPr>
      </w:pPr>
    </w:p>
    <w:p w14:paraId="4911FA80" w14:textId="58A20787" w:rsidR="00E90E49" w:rsidRPr="005E6744" w:rsidRDefault="00AE2834" w:rsidP="00E35559">
      <w:pPr>
        <w:pStyle w:val="3GPPHeader"/>
        <w:spacing w:after="60"/>
        <w:rPr>
          <w:sz w:val="32"/>
          <w:szCs w:val="32"/>
        </w:rPr>
      </w:pPr>
      <w:r w:rsidRPr="005E6744">
        <w:rPr>
          <w:lang w:val="en-US"/>
        </w:rPr>
        <w:t>3GPP TSG-RAN WG1 Meeting #</w:t>
      </w:r>
      <w:r w:rsidR="00B41A11" w:rsidRPr="005E6744">
        <w:rPr>
          <w:lang w:val="en-US"/>
        </w:rPr>
        <w:t>93</w:t>
      </w:r>
      <w:r w:rsidR="00E90E49" w:rsidRPr="005E6744">
        <w:tab/>
      </w:r>
      <w:r w:rsidR="00091557" w:rsidRPr="005E6744">
        <w:rPr>
          <w:sz w:val="32"/>
          <w:szCs w:val="32"/>
        </w:rPr>
        <w:t>R</w:t>
      </w:r>
      <w:r w:rsidRPr="005E6744">
        <w:rPr>
          <w:sz w:val="32"/>
          <w:szCs w:val="32"/>
        </w:rPr>
        <w:t>1</w:t>
      </w:r>
      <w:r w:rsidR="00091557" w:rsidRPr="005E6744">
        <w:rPr>
          <w:sz w:val="32"/>
          <w:szCs w:val="32"/>
        </w:rPr>
        <w:t>-</w:t>
      </w:r>
      <w:r w:rsidR="005F3025" w:rsidRPr="005E6744">
        <w:rPr>
          <w:sz w:val="32"/>
          <w:szCs w:val="32"/>
        </w:rPr>
        <w:t>1</w:t>
      </w:r>
      <w:r w:rsidR="00B41A11" w:rsidRPr="005E6744">
        <w:rPr>
          <w:sz w:val="32"/>
          <w:szCs w:val="32"/>
        </w:rPr>
        <w:t>8</w:t>
      </w:r>
      <w:r w:rsidRPr="005E6744">
        <w:rPr>
          <w:sz w:val="32"/>
          <w:szCs w:val="32"/>
        </w:rPr>
        <w:t>0</w:t>
      </w:r>
      <w:r w:rsidR="005E6744">
        <w:rPr>
          <w:sz w:val="32"/>
          <w:szCs w:val="32"/>
        </w:rPr>
        <w:t>7224</w:t>
      </w:r>
    </w:p>
    <w:p w14:paraId="51C3CE46" w14:textId="3E1928D3" w:rsidR="00E90E49" w:rsidRPr="005E6744" w:rsidRDefault="00B41A11" w:rsidP="00311702">
      <w:pPr>
        <w:pStyle w:val="3GPPHeader"/>
      </w:pPr>
      <w:r w:rsidRPr="005E6744">
        <w:t>Busan</w:t>
      </w:r>
      <w:r w:rsidR="00AE2834" w:rsidRPr="005E6744">
        <w:t xml:space="preserve">, </w:t>
      </w:r>
      <w:r w:rsidR="00084F2C" w:rsidRPr="005E6744">
        <w:t xml:space="preserve">South </w:t>
      </w:r>
      <w:r w:rsidRPr="005E6744">
        <w:t>Korea</w:t>
      </w:r>
      <w:r w:rsidR="002C5BA4" w:rsidRPr="005E6744">
        <w:t>,</w:t>
      </w:r>
      <w:r w:rsidR="00AE2834" w:rsidRPr="005E6744">
        <w:t xml:space="preserve"> </w:t>
      </w:r>
      <w:r w:rsidR="009961C2" w:rsidRPr="005E6744">
        <w:t>21</w:t>
      </w:r>
      <w:r w:rsidR="009961C2" w:rsidRPr="005E6744">
        <w:rPr>
          <w:vertAlign w:val="superscript"/>
        </w:rPr>
        <w:t>st</w:t>
      </w:r>
      <w:r w:rsidR="002C5BA4" w:rsidRPr="005E6744">
        <w:t xml:space="preserve"> –</w:t>
      </w:r>
      <w:r w:rsidR="00AE2834" w:rsidRPr="005E6744">
        <w:t xml:space="preserve"> </w:t>
      </w:r>
      <w:r w:rsidR="009961C2" w:rsidRPr="005E6744">
        <w:t>25</w:t>
      </w:r>
      <w:r w:rsidR="002C5BA4" w:rsidRPr="005E6744">
        <w:rPr>
          <w:vertAlign w:val="superscript"/>
        </w:rPr>
        <w:t>th</w:t>
      </w:r>
      <w:r w:rsidR="002C5BA4" w:rsidRPr="005E6744">
        <w:t xml:space="preserve"> </w:t>
      </w:r>
      <w:r w:rsidR="009961C2" w:rsidRPr="005E6744">
        <w:t>May</w:t>
      </w:r>
      <w:r w:rsidR="00AE2834" w:rsidRPr="005E6744">
        <w:t xml:space="preserve"> 201</w:t>
      </w:r>
      <w:r w:rsidR="009961C2" w:rsidRPr="005E6744">
        <w:t>8</w:t>
      </w:r>
    </w:p>
    <w:p w14:paraId="5FCD4219" w14:textId="77777777" w:rsidR="00E90E49" w:rsidRPr="005E6744" w:rsidRDefault="00E90E49" w:rsidP="00357380">
      <w:pPr>
        <w:pStyle w:val="3GPPHeader"/>
      </w:pPr>
    </w:p>
    <w:p w14:paraId="606D9DC9" w14:textId="41DFAF04" w:rsidR="00E90E49" w:rsidRPr="005E6744" w:rsidRDefault="00E90E49" w:rsidP="00311702">
      <w:pPr>
        <w:pStyle w:val="3GPPHeader"/>
        <w:rPr>
          <w:sz w:val="22"/>
          <w:szCs w:val="22"/>
          <w:lang w:val="en-US"/>
        </w:rPr>
      </w:pPr>
      <w:r w:rsidRPr="005E6744">
        <w:rPr>
          <w:sz w:val="22"/>
          <w:szCs w:val="22"/>
          <w:lang w:val="en-US"/>
        </w:rPr>
        <w:t>Agenda Item:</w:t>
      </w:r>
      <w:r w:rsidRPr="005E6744">
        <w:rPr>
          <w:sz w:val="22"/>
          <w:szCs w:val="22"/>
          <w:lang w:val="en-US"/>
        </w:rPr>
        <w:tab/>
      </w:r>
      <w:r w:rsidR="0022022F" w:rsidRPr="005E6744">
        <w:rPr>
          <w:sz w:val="22"/>
          <w:szCs w:val="22"/>
          <w:lang w:val="en-US"/>
        </w:rPr>
        <w:t>7.7.2</w:t>
      </w:r>
    </w:p>
    <w:p w14:paraId="684B06A7" w14:textId="77777777" w:rsidR="00E90E49" w:rsidRPr="005E6744" w:rsidRDefault="003D3C45" w:rsidP="00F64C2B">
      <w:pPr>
        <w:pStyle w:val="3GPPHeader"/>
        <w:rPr>
          <w:sz w:val="22"/>
          <w:szCs w:val="22"/>
        </w:rPr>
      </w:pPr>
      <w:r w:rsidRPr="005E6744">
        <w:rPr>
          <w:sz w:val="22"/>
          <w:szCs w:val="22"/>
        </w:rPr>
        <w:t>Source:</w:t>
      </w:r>
      <w:r w:rsidR="00E90E49" w:rsidRPr="005E6744">
        <w:rPr>
          <w:sz w:val="22"/>
          <w:szCs w:val="22"/>
        </w:rPr>
        <w:tab/>
      </w:r>
      <w:r w:rsidR="00F64C2B" w:rsidRPr="005E6744">
        <w:rPr>
          <w:sz w:val="22"/>
          <w:szCs w:val="22"/>
        </w:rPr>
        <w:t>Ericsson</w:t>
      </w:r>
    </w:p>
    <w:p w14:paraId="214B1E52" w14:textId="5BD5E660" w:rsidR="00E90E49" w:rsidRPr="005E6744" w:rsidRDefault="003D3C45" w:rsidP="00547F4D">
      <w:pPr>
        <w:pStyle w:val="3GPPHeader"/>
        <w:ind w:left="1701" w:hanging="1701"/>
        <w:rPr>
          <w:sz w:val="22"/>
          <w:szCs w:val="22"/>
        </w:rPr>
      </w:pPr>
      <w:r w:rsidRPr="005E6744">
        <w:rPr>
          <w:sz w:val="22"/>
          <w:szCs w:val="22"/>
        </w:rPr>
        <w:t>Title:</w:t>
      </w:r>
      <w:r w:rsidR="006B5B0F" w:rsidRPr="005E6744">
        <w:rPr>
          <w:sz w:val="22"/>
          <w:szCs w:val="22"/>
        </w:rPr>
        <w:tab/>
      </w:r>
      <w:r w:rsidR="00567345" w:rsidRPr="005E6744">
        <w:rPr>
          <w:sz w:val="22"/>
          <w:szCs w:val="22"/>
        </w:rPr>
        <w:t xml:space="preserve">Duplexing </w:t>
      </w:r>
      <w:r w:rsidR="00D31739" w:rsidRPr="005E6744">
        <w:rPr>
          <w:sz w:val="22"/>
          <w:szCs w:val="22"/>
        </w:rPr>
        <w:t>options</w:t>
      </w:r>
      <w:r w:rsidR="00567345" w:rsidRPr="005E6744">
        <w:rPr>
          <w:sz w:val="22"/>
          <w:szCs w:val="22"/>
        </w:rPr>
        <w:t xml:space="preserve"> for IAB</w:t>
      </w:r>
    </w:p>
    <w:p w14:paraId="59D6E79C" w14:textId="0FE915AC" w:rsidR="00E90E49" w:rsidRPr="005E6744" w:rsidRDefault="00E90E49" w:rsidP="00D546FF">
      <w:pPr>
        <w:pStyle w:val="3GPPHeader"/>
        <w:rPr>
          <w:sz w:val="22"/>
          <w:szCs w:val="22"/>
        </w:rPr>
      </w:pPr>
      <w:r w:rsidRPr="005E6744">
        <w:rPr>
          <w:sz w:val="22"/>
          <w:szCs w:val="22"/>
        </w:rPr>
        <w:t>Document for:</w:t>
      </w:r>
      <w:r w:rsidRPr="005E6744">
        <w:rPr>
          <w:sz w:val="22"/>
          <w:szCs w:val="22"/>
        </w:rPr>
        <w:tab/>
      </w:r>
      <w:r w:rsidR="000A4D8A" w:rsidRPr="005E6744">
        <w:rPr>
          <w:sz w:val="22"/>
          <w:szCs w:val="22"/>
        </w:rPr>
        <w:t>Discussion</w:t>
      </w:r>
      <w:r w:rsidR="00791B5F">
        <w:rPr>
          <w:sz w:val="22"/>
          <w:szCs w:val="22"/>
        </w:rPr>
        <w:t xml:space="preserve"> and decision</w:t>
      </w:r>
      <w:bookmarkStart w:id="0" w:name="_GoBack"/>
      <w:bookmarkEnd w:id="0"/>
    </w:p>
    <w:p w14:paraId="248031E0" w14:textId="77777777" w:rsidR="00E90E49" w:rsidRPr="005E6744" w:rsidRDefault="00E90E49" w:rsidP="00E90E49"/>
    <w:p w14:paraId="65062EEC" w14:textId="77777777" w:rsidR="00E90E49" w:rsidRPr="005E6744" w:rsidRDefault="00E90E49" w:rsidP="00CE0424">
      <w:pPr>
        <w:pStyle w:val="Heading1"/>
      </w:pPr>
      <w:r w:rsidRPr="005E6744">
        <w:t>Introduction</w:t>
      </w:r>
    </w:p>
    <w:p w14:paraId="0D36AF5A" w14:textId="00BC3216" w:rsidR="000A4D8A" w:rsidRPr="005E6744" w:rsidRDefault="000A4D8A" w:rsidP="000A4D8A">
      <w:pPr>
        <w:pStyle w:val="BodyText"/>
        <w:rPr>
          <w:rFonts w:cs="Arial"/>
        </w:rPr>
      </w:pPr>
      <w:r w:rsidRPr="005E6744">
        <w:rPr>
          <w:rFonts w:cs="Arial"/>
        </w:rPr>
        <w:t>In RAN1#</w:t>
      </w:r>
      <w:r w:rsidR="00A228CF" w:rsidRPr="005E6744">
        <w:rPr>
          <w:rFonts w:cs="Arial"/>
        </w:rPr>
        <w:t>92</w:t>
      </w:r>
      <w:r w:rsidRPr="005E6744">
        <w:rPr>
          <w:rFonts w:cs="Arial"/>
        </w:rPr>
        <w:t xml:space="preserve">bis, the following agreements on </w:t>
      </w:r>
      <w:r w:rsidR="00A228CF" w:rsidRPr="005E6744">
        <w:rPr>
          <w:rFonts w:cs="Arial"/>
        </w:rPr>
        <w:t>link management</w:t>
      </w:r>
      <w:r w:rsidRPr="005E6744">
        <w:rPr>
          <w:rFonts w:cs="Arial"/>
        </w:rPr>
        <w:t xml:space="preserve"> were reached </w:t>
      </w:r>
      <w:r w:rsidRPr="005E6744">
        <w:rPr>
          <w:rFonts w:cs="Arial"/>
        </w:rPr>
        <w:fldChar w:fldCharType="begin"/>
      </w:r>
      <w:r w:rsidRPr="005E6744">
        <w:rPr>
          <w:rFonts w:cs="Arial"/>
        </w:rPr>
        <w:instrText xml:space="preserve"> REF _Ref476919366 \r \h </w:instrText>
      </w:r>
      <w:r w:rsidRPr="005E6744">
        <w:rPr>
          <w:rFonts w:cs="Arial"/>
        </w:rPr>
      </w:r>
      <w:r w:rsidR="005E6744">
        <w:rPr>
          <w:rFonts w:cs="Arial"/>
        </w:rPr>
        <w:instrText xml:space="preserve"> \* MERGEFORMAT </w:instrText>
      </w:r>
      <w:r w:rsidRPr="005E6744">
        <w:rPr>
          <w:rFonts w:cs="Arial"/>
        </w:rPr>
        <w:fldChar w:fldCharType="separate"/>
      </w:r>
      <w:r w:rsidR="00733DAF" w:rsidRPr="005E6744">
        <w:rPr>
          <w:rFonts w:cs="Arial"/>
        </w:rPr>
        <w:t>[1]</w:t>
      </w:r>
      <w:r w:rsidRPr="005E6744">
        <w:rPr>
          <w:rFonts w:cs="Arial"/>
        </w:rPr>
        <w:fldChar w:fldCharType="end"/>
      </w:r>
      <w:r w:rsidRPr="005E6744">
        <w:rPr>
          <w:rFonts w:cs="Arial"/>
        </w:rPr>
        <w:t xml:space="preserve"> :</w:t>
      </w:r>
    </w:p>
    <w:p w14:paraId="05F1B743" w14:textId="77777777" w:rsidR="000A4D8A" w:rsidRPr="005E6744" w:rsidRDefault="000A4D8A" w:rsidP="000A4D8A">
      <w:pPr>
        <w:pStyle w:val="BodyText"/>
        <w:rPr>
          <w:rFonts w:cs="Arial"/>
        </w:rPr>
      </w:pPr>
      <w:r w:rsidRPr="005E6744">
        <w:rPr>
          <w:rFonts w:cs="Arial"/>
          <w:noProof/>
          <w:lang w:val="en-US" w:eastAsia="en-US"/>
        </w:rPr>
        <mc:AlternateContent>
          <mc:Choice Requires="wps">
            <w:drawing>
              <wp:inline distT="0" distB="0" distL="0" distR="0" wp14:anchorId="79D681CD" wp14:editId="353E9B38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3FBFD" w14:textId="77777777" w:rsidR="00693D73" w:rsidRPr="00C547CC" w:rsidRDefault="00693D73" w:rsidP="000A4D8A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C547CC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</w:t>
                            </w:r>
                            <w: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s</w:t>
                            </w:r>
                            <w:r w:rsidRPr="00C547CC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9B0F2DB" w14:textId="47AD01FE" w:rsidR="00693D73" w:rsidRPr="005731D4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 w:rsidRPr="005731D4">
                              <w:t xml:space="preserve">Measurements on multiple backhaul links for link management and route selection should be studied. </w:t>
                            </w:r>
                          </w:p>
                          <w:p w14:paraId="046185F7" w14:textId="77777777" w:rsidR="00693D73" w:rsidRPr="005731D4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 w:rsidRPr="005731D4">
                              <w:t>Mechanisms for efficient route switching or transmission/reception on multiple backhaul links simultaneously (e.g. multi-TRP operation and intra-frequency dual connectivity) should be studied.</w:t>
                            </w:r>
                          </w:p>
                          <w:p w14:paraId="2C5D165F" w14:textId="77777777" w:rsidR="00693D73" w:rsidRPr="00992006" w:rsidRDefault="00693D73" w:rsidP="00992006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rFonts w:ascii="Calibri" w:hAnsi="Calibri"/>
                                <w:lang w:val="en-US"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 xml:space="preserve">Note: The feasibility of (1) may depend on architectures considered in RAN2/3. </w:t>
                            </w:r>
                          </w:p>
                          <w:p w14:paraId="0A2FF27D" w14:textId="77777777" w:rsidR="00693D73" w:rsidRPr="00992006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Times" w:hAnsi="Times" w:cs="Times"/>
                                <w:lang w:eastAsia="en-US"/>
                              </w:rPr>
                            </w:pPr>
                            <w:r>
                              <w:t>Mechanisms for scheduling coordination, resource allocation, and route selection across IAB nodes/donors and multiple backhaul hops should be studied.</w:t>
                            </w:r>
                          </w:p>
                          <w:p w14:paraId="6C764CD2" w14:textId="77777777" w:rsidR="00693D73" w:rsidRPr="00992006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t>Mechanisms for efficient TDM/FDM/SDM multiplexing of access/backhaul traffic across multiple hops considering an IAB-node half-duplex constraint should be studied.</w:t>
                            </w:r>
                          </w:p>
                          <w:p w14:paraId="116E02F6" w14:textId="77777777" w:rsidR="00693D73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>The impact of cross-link interference on access and backhaul links (including across multiple hops) should be studied.</w:t>
                            </w:r>
                          </w:p>
                          <w:p w14:paraId="447455C8" w14:textId="77777777" w:rsidR="00693D73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 xml:space="preserve">Interference measurement and management solutions should be studied. </w:t>
                            </w:r>
                          </w:p>
                          <w:p w14:paraId="3E0BBF42" w14:textId="77777777" w:rsidR="00693D73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>1024QAM for the backhaul link should be studied.</w:t>
                            </w:r>
                          </w:p>
                          <w:p w14:paraId="4E6B80BD" w14:textId="773F2C69" w:rsidR="00693D73" w:rsidRPr="00992006" w:rsidRDefault="00693D73" w:rsidP="000A4D8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</w:pPr>
                            <w:r>
                              <w:t xml:space="preserve">FFS: whether solutions should be specified as part of an IAB WI or other NR WI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D681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ZoMzy5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30A3FBFD" w14:textId="77777777" w:rsidR="00693D73" w:rsidRPr="00C547CC" w:rsidRDefault="00693D73" w:rsidP="000A4D8A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C547CC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</w:t>
                      </w:r>
                      <w: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s</w:t>
                      </w:r>
                      <w:r w:rsidRPr="00C547CC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:</w:t>
                      </w:r>
                    </w:p>
                    <w:p w14:paraId="29B0F2DB" w14:textId="47AD01FE" w:rsidR="00693D73" w:rsidRPr="005731D4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 w:rsidRPr="005731D4">
                        <w:t xml:space="preserve">Measurements on multiple backhaul links for link management and route selection should be studied. </w:t>
                      </w:r>
                    </w:p>
                    <w:p w14:paraId="046185F7" w14:textId="77777777" w:rsidR="00693D73" w:rsidRPr="005731D4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 w:rsidRPr="005731D4">
                        <w:t>Mechanisms for efficient route switching or transmission/reception on multiple backhaul links simultaneously (e.g. multi-TRP operation and intra-frequency dual connectivity) should be studied.</w:t>
                      </w:r>
                    </w:p>
                    <w:p w14:paraId="2C5D165F" w14:textId="77777777" w:rsidR="00693D73" w:rsidRPr="00992006" w:rsidRDefault="00693D73" w:rsidP="00992006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rFonts w:ascii="Calibri" w:hAnsi="Calibri"/>
                          <w:lang w:val="en-US" w:eastAsia="ko-KR"/>
                        </w:rPr>
                      </w:pPr>
                      <w:r>
                        <w:rPr>
                          <w:lang w:eastAsia="ko-KR"/>
                        </w:rPr>
                        <w:t xml:space="preserve">Note: The feasibility of (1) may depend on architectures considered in RAN2/3. </w:t>
                      </w:r>
                    </w:p>
                    <w:p w14:paraId="0A2FF27D" w14:textId="77777777" w:rsidR="00693D73" w:rsidRPr="00992006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Times" w:hAnsi="Times" w:cs="Times"/>
                          <w:lang w:eastAsia="en-US"/>
                        </w:rPr>
                      </w:pPr>
                      <w:r>
                        <w:t>Mechanisms for scheduling coordination, resource allocation, and route selection across IAB nodes/donors and multiple backhaul hops should be studied.</w:t>
                      </w:r>
                    </w:p>
                    <w:p w14:paraId="6C764CD2" w14:textId="77777777" w:rsidR="00693D73" w:rsidRPr="00992006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alibri" w:hAnsi="Calibri" w:cs="Calibri"/>
                        </w:rPr>
                      </w:pPr>
                      <w:r>
                        <w:t>Mechanisms for efficient TDM/FDM/SDM multiplexing of access/backhaul traffic across multiple hops considering an IAB-node half-duplex constraint should be studied.</w:t>
                      </w:r>
                    </w:p>
                    <w:p w14:paraId="116E02F6" w14:textId="77777777" w:rsidR="00693D73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>The impact of cross-link interference on access and backhaul links (including across multiple hops) should be studied.</w:t>
                      </w:r>
                    </w:p>
                    <w:p w14:paraId="447455C8" w14:textId="77777777" w:rsidR="00693D73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 xml:space="preserve">Interference measurement and management solutions should be studied. </w:t>
                      </w:r>
                    </w:p>
                    <w:p w14:paraId="3E0BBF42" w14:textId="77777777" w:rsidR="00693D73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>1024QAM for the backhaul link should be studied.</w:t>
                      </w:r>
                    </w:p>
                    <w:p w14:paraId="4E6B80BD" w14:textId="773F2C69" w:rsidR="00693D73" w:rsidRPr="00992006" w:rsidRDefault="00693D73" w:rsidP="000A4D8A">
                      <w:pPr>
                        <w:pStyle w:val="ListParagraph"/>
                        <w:numPr>
                          <w:ilvl w:val="1"/>
                          <w:numId w:val="18"/>
                        </w:numPr>
                      </w:pPr>
                      <w:r>
                        <w:t xml:space="preserve">FFS: whether solutions should be specified as part of an IAB WI or other NR WI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942F7B0" w14:textId="29B47EE6" w:rsidR="00477768" w:rsidRPr="005E6744" w:rsidRDefault="00EA34F6" w:rsidP="000A4D8A">
      <w:pPr>
        <w:pStyle w:val="BodyText"/>
      </w:pPr>
      <w:r w:rsidRPr="005E6744">
        <w:rPr>
          <w:rFonts w:cs="Arial"/>
        </w:rPr>
        <w:t xml:space="preserve">This contribution deals with </w:t>
      </w:r>
      <w:r w:rsidR="008A040F" w:rsidRPr="005E6744">
        <w:rPr>
          <w:rFonts w:cs="Arial"/>
        </w:rPr>
        <w:t>options</w:t>
      </w:r>
      <w:r w:rsidR="0042083A" w:rsidRPr="005E6744">
        <w:rPr>
          <w:rFonts w:cs="Arial"/>
        </w:rPr>
        <w:t xml:space="preserve"> </w:t>
      </w:r>
      <w:r w:rsidRPr="005E6744">
        <w:rPr>
          <w:rFonts w:cs="Arial"/>
        </w:rPr>
        <w:t>for scheduling coordination and resource allocation across IAB</w:t>
      </w:r>
      <w:r w:rsidR="002A6584" w:rsidRPr="005E6744">
        <w:rPr>
          <w:rFonts w:cs="Arial"/>
        </w:rPr>
        <w:t xml:space="preserve"> nodes/donors for multi-hop backhaul scenario</w:t>
      </w:r>
      <w:r w:rsidR="000A4D8A" w:rsidRPr="005E6744">
        <w:rPr>
          <w:rFonts w:cs="Arial"/>
          <w:lang w:val="en-US"/>
        </w:rPr>
        <w:t>.</w:t>
      </w:r>
      <w:r w:rsidR="00E95D55" w:rsidRPr="005E6744">
        <w:rPr>
          <w:rFonts w:cs="Arial"/>
          <w:lang w:val="en-US"/>
        </w:rPr>
        <w:t xml:space="preserve"> </w:t>
      </w:r>
    </w:p>
    <w:p w14:paraId="5925009D" w14:textId="4067133D" w:rsidR="004000E8" w:rsidRPr="005E6744" w:rsidRDefault="00795B08" w:rsidP="00CE0424">
      <w:pPr>
        <w:pStyle w:val="Heading1"/>
      </w:pPr>
      <w:bookmarkStart w:id="1" w:name="_Ref178064866"/>
      <w:bookmarkStart w:id="2" w:name="_Ref512583923"/>
      <w:bookmarkEnd w:id="1"/>
      <w:r w:rsidRPr="005E6744">
        <w:t xml:space="preserve">Resource </w:t>
      </w:r>
      <w:r w:rsidR="008256C1" w:rsidRPr="005E6744">
        <w:t>allocation</w:t>
      </w:r>
      <w:r w:rsidRPr="005E6744">
        <w:t xml:space="preserve"> for </w:t>
      </w:r>
      <w:r w:rsidR="0086041A" w:rsidRPr="005E6744">
        <w:t>multi-hop scenario</w:t>
      </w:r>
      <w:bookmarkEnd w:id="2"/>
    </w:p>
    <w:p w14:paraId="4297A2FF" w14:textId="2A854560" w:rsidR="003742AC" w:rsidRPr="005E6744" w:rsidRDefault="00795B08" w:rsidP="00E95D55">
      <w:pPr>
        <w:pStyle w:val="BodyText"/>
        <w:rPr>
          <w:lang w:val="en-US"/>
        </w:rPr>
      </w:pPr>
      <w:r w:rsidRPr="005E6744">
        <w:rPr>
          <w:lang w:val="en-US"/>
        </w:rPr>
        <w:t>Regarding the access and backhaul links as well as the respective UL and DL, there can be several resource multiplexing options in time, frequency and space.</w:t>
      </w:r>
      <w:r w:rsidR="00E90672" w:rsidRPr="005E6744">
        <w:rPr>
          <w:lang w:val="en-US"/>
        </w:rPr>
        <w:t xml:space="preserve"> If an IAB-N operates in half-duplex, it does not transmit and receive in overlapping time resources.</w:t>
      </w:r>
      <w:r w:rsidR="00E95D55" w:rsidRPr="005E6744">
        <w:rPr>
          <w:lang w:val="en-US"/>
        </w:rPr>
        <w:t xml:space="preserve"> </w:t>
      </w:r>
      <w:r w:rsidR="00FD79D1" w:rsidRPr="005E6744">
        <w:rPr>
          <w:lang w:val="en-US"/>
        </w:rPr>
        <w:t xml:space="preserve">Generally, two resource </w:t>
      </w:r>
      <w:r w:rsidR="005D5575" w:rsidRPr="005E6744">
        <w:rPr>
          <w:lang w:val="en-US"/>
        </w:rPr>
        <w:t>allocation</w:t>
      </w:r>
      <w:r w:rsidR="00FD79D1" w:rsidRPr="005E6744">
        <w:rPr>
          <w:lang w:val="en-US"/>
        </w:rPr>
        <w:t xml:space="preserve"> schemes should be considered assuming the same antenna system is shared by the access and backhaul links at a certain node.</w:t>
      </w:r>
      <w:r w:rsidR="00A7116E" w:rsidRPr="005E6744">
        <w:rPr>
          <w:lang w:val="en-US"/>
        </w:rPr>
        <w:t xml:space="preserve"> </w:t>
      </w:r>
      <w:r w:rsidR="0001065A" w:rsidRPr="005E6744">
        <w:rPr>
          <w:lang w:val="en-US"/>
        </w:rPr>
        <w:t xml:space="preserve">The main </w:t>
      </w:r>
      <w:r w:rsidR="00345BF0" w:rsidRPr="005E6744">
        <w:rPr>
          <w:lang w:val="en-US"/>
        </w:rPr>
        <w:t>difference between the two options is that option 1 considers resource allocation per node</w:t>
      </w:r>
      <w:r w:rsidR="00446E83" w:rsidRPr="005E6744">
        <w:rPr>
          <w:lang w:val="en-US"/>
        </w:rPr>
        <w:t>;</w:t>
      </w:r>
      <w:r w:rsidR="00345BF0" w:rsidRPr="005E6744">
        <w:rPr>
          <w:lang w:val="en-US"/>
        </w:rPr>
        <w:t xml:space="preserve"> each </w:t>
      </w:r>
      <w:r w:rsidR="008256C1" w:rsidRPr="005E6744">
        <w:rPr>
          <w:lang w:val="en-US"/>
        </w:rPr>
        <w:t>IAB</w:t>
      </w:r>
      <w:r w:rsidR="00446E83" w:rsidRPr="005E6744">
        <w:rPr>
          <w:lang w:val="en-US"/>
        </w:rPr>
        <w:t>-N</w:t>
      </w:r>
      <w:r w:rsidR="008256C1" w:rsidRPr="005E6744">
        <w:rPr>
          <w:lang w:val="en-US"/>
        </w:rPr>
        <w:t xml:space="preserve"> </w:t>
      </w:r>
      <w:r w:rsidR="00446E83" w:rsidRPr="005E6744">
        <w:rPr>
          <w:lang w:val="en-US"/>
        </w:rPr>
        <w:t>can transmit</w:t>
      </w:r>
      <w:r w:rsidR="0091378E" w:rsidRPr="005E6744">
        <w:rPr>
          <w:lang w:val="en-US"/>
        </w:rPr>
        <w:t xml:space="preserve"> to</w:t>
      </w:r>
      <w:r w:rsidR="00446E83" w:rsidRPr="005E6744">
        <w:rPr>
          <w:lang w:val="en-US"/>
        </w:rPr>
        <w:t xml:space="preserve"> and schedule its UEs</w:t>
      </w:r>
      <w:r w:rsidR="00446E83" w:rsidRPr="005E6744">
        <w:t xml:space="preserve"> and MT of child nodes on all radio resources</w:t>
      </w:r>
      <w:r w:rsidR="00446E83" w:rsidRPr="005E6744">
        <w:rPr>
          <w:lang w:val="en-US"/>
        </w:rPr>
        <w:t xml:space="preserve">. Whereas </w:t>
      </w:r>
      <w:r w:rsidR="008256C1" w:rsidRPr="005E6744">
        <w:rPr>
          <w:lang w:val="en-US"/>
        </w:rPr>
        <w:t xml:space="preserve">option 2 applies </w:t>
      </w:r>
      <w:r w:rsidR="006C772F" w:rsidRPr="005E6744">
        <w:rPr>
          <w:lang w:val="en-US"/>
        </w:rPr>
        <w:t xml:space="preserve">resource </w:t>
      </w:r>
      <w:r w:rsidR="00A27D31" w:rsidRPr="005E6744">
        <w:rPr>
          <w:lang w:val="en-US"/>
        </w:rPr>
        <w:t>division</w:t>
      </w:r>
      <w:r w:rsidR="006C772F" w:rsidRPr="005E6744">
        <w:rPr>
          <w:lang w:val="en-US"/>
        </w:rPr>
        <w:t xml:space="preserve"> between successive nodes. </w:t>
      </w:r>
      <w:r w:rsidR="00A27D31" w:rsidRPr="005E6744">
        <w:rPr>
          <w:lang w:val="en-US"/>
        </w:rPr>
        <w:t xml:space="preserve">TDM is used in this section to </w:t>
      </w:r>
      <w:r w:rsidR="00DA0FAC" w:rsidRPr="005E6744">
        <w:rPr>
          <w:lang w:val="en-US"/>
        </w:rPr>
        <w:t>describe different options.</w:t>
      </w:r>
      <w:r w:rsidR="00E90672" w:rsidRPr="005E6744">
        <w:rPr>
          <w:lang w:val="en-US"/>
        </w:rPr>
        <w:br/>
        <w:t>All resource allocation schemes presented in the following implement IAB half-duplexing.</w:t>
      </w:r>
    </w:p>
    <w:p w14:paraId="038143A8" w14:textId="3D4F2F3F" w:rsidR="00FD79D1" w:rsidRPr="005E6744" w:rsidRDefault="005E1858" w:rsidP="005E1858">
      <w:pPr>
        <w:pStyle w:val="Heading2"/>
      </w:pPr>
      <w:r w:rsidRPr="005E6744">
        <w:lastRenderedPageBreak/>
        <w:t>Option 1-a</w:t>
      </w:r>
    </w:p>
    <w:p w14:paraId="21D4551D" w14:textId="59A63B6E" w:rsidR="005E1858" w:rsidRPr="005E6744" w:rsidRDefault="005E1858" w:rsidP="00511745">
      <w:pPr>
        <w:jc w:val="center"/>
      </w:pPr>
      <w:r w:rsidRPr="005E6744">
        <w:rPr>
          <w:noProof/>
          <w:lang w:val="en-US" w:eastAsia="en-US"/>
        </w:rPr>
        <w:drawing>
          <wp:inline distT="0" distB="0" distL="0" distR="0" wp14:anchorId="1EEEDF8F" wp14:editId="547E2B32">
            <wp:extent cx="5760000" cy="14082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408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42C519" w14:textId="0E2454D2" w:rsidR="008E6F19" w:rsidRPr="005E6744" w:rsidRDefault="00511745" w:rsidP="00511745">
      <w:pPr>
        <w:pStyle w:val="Caption"/>
      </w:pPr>
      <w:bookmarkStart w:id="3" w:name="_Ref512524530"/>
      <w:r w:rsidRPr="005E6744">
        <w:t xml:space="preserve">Figure </w:t>
      </w:r>
      <w:r w:rsidRPr="005E6744">
        <w:fldChar w:fldCharType="begin"/>
      </w:r>
      <w:r w:rsidRPr="005E6744">
        <w:instrText xml:space="preserve"> SEQ Figure \* ARABIC </w:instrText>
      </w:r>
      <w:r w:rsidRPr="005E6744">
        <w:fldChar w:fldCharType="separate"/>
      </w:r>
      <w:r w:rsidR="00733DAF" w:rsidRPr="005E6744">
        <w:rPr>
          <w:noProof/>
        </w:rPr>
        <w:t>1</w:t>
      </w:r>
      <w:r w:rsidRPr="005E6744">
        <w:fldChar w:fldCharType="end"/>
      </w:r>
      <w:bookmarkEnd w:id="3"/>
      <w:r w:rsidRPr="005E6744">
        <w:t xml:space="preserve">: Semi-static resource separation </w:t>
      </w:r>
      <w:r w:rsidR="00514C16" w:rsidRPr="005E6744">
        <w:t xml:space="preserve">for one IAB node/donor </w:t>
      </w:r>
      <w:r w:rsidR="00C07764" w:rsidRPr="005E6744">
        <w:t>with 4 phases</w:t>
      </w:r>
      <w:r w:rsidRPr="005E6744">
        <w:t>.</w:t>
      </w:r>
    </w:p>
    <w:p w14:paraId="431E3044" w14:textId="4EDA39BA" w:rsidR="00511745" w:rsidRPr="005E6744" w:rsidRDefault="0048389B" w:rsidP="00511745">
      <w:pPr>
        <w:rPr>
          <w:lang w:val="en-US"/>
        </w:rPr>
      </w:pPr>
      <w:r w:rsidRPr="005E6744">
        <w:t xml:space="preserve">In option 1-a, </w:t>
      </w:r>
      <w:r w:rsidRPr="005E6744">
        <w:rPr>
          <w:lang w:val="en-US"/>
        </w:rPr>
        <w:t xml:space="preserve">the available </w:t>
      </w:r>
      <w:r w:rsidR="004140D0" w:rsidRPr="005E6744">
        <w:rPr>
          <w:lang w:val="en-US"/>
        </w:rPr>
        <w:t xml:space="preserve">radio time </w:t>
      </w:r>
      <w:r w:rsidRPr="005E6744">
        <w:rPr>
          <w:lang w:val="en-US"/>
        </w:rPr>
        <w:t>resources are divided into two non-overlapping sets,</w:t>
      </w:r>
      <w:r w:rsidR="004140D0" w:rsidRPr="005E6744">
        <w:rPr>
          <w:lang w:val="en-US"/>
        </w:rPr>
        <w:t xml:space="preserve"> t</w:t>
      </w:r>
      <w:r w:rsidR="004140D0" w:rsidRPr="005E6744">
        <w:rPr>
          <w:vertAlign w:val="subscript"/>
          <w:lang w:val="en-US"/>
        </w:rPr>
        <w:t>1</w:t>
      </w:r>
      <w:r w:rsidR="004140D0" w:rsidRPr="005E6744">
        <w:rPr>
          <w:lang w:val="en-US"/>
        </w:rPr>
        <w:t xml:space="preserve"> and t</w:t>
      </w:r>
      <w:r w:rsidR="004140D0" w:rsidRPr="005E6744">
        <w:rPr>
          <w:vertAlign w:val="subscript"/>
          <w:lang w:val="en-US"/>
        </w:rPr>
        <w:t>2</w:t>
      </w:r>
      <w:r w:rsidR="004140D0" w:rsidRPr="005E6744">
        <w:rPr>
          <w:lang w:val="en-US"/>
        </w:rPr>
        <w:t>,</w:t>
      </w:r>
      <w:r w:rsidRPr="005E6744">
        <w:rPr>
          <w:lang w:val="en-US"/>
        </w:rPr>
        <w:t xml:space="preserve"> </w:t>
      </w:r>
      <w:r w:rsidR="004140D0" w:rsidRPr="005E6744">
        <w:rPr>
          <w:lang w:val="en-US"/>
        </w:rPr>
        <w:t xml:space="preserve">which </w:t>
      </w:r>
      <w:r w:rsidRPr="005E6744">
        <w:rPr>
          <w:lang w:val="en-US"/>
        </w:rPr>
        <w:t xml:space="preserve">are </w:t>
      </w:r>
      <w:r w:rsidR="004140D0" w:rsidRPr="005E6744">
        <w:rPr>
          <w:lang w:val="en-US"/>
        </w:rPr>
        <w:t xml:space="preserve">exclusively </w:t>
      </w:r>
      <w:r w:rsidRPr="005E6744">
        <w:rPr>
          <w:lang w:val="en-US"/>
        </w:rPr>
        <w:t xml:space="preserve">assigned to backhaul </w:t>
      </w:r>
      <w:r w:rsidR="004140D0" w:rsidRPr="005E6744">
        <w:rPr>
          <w:lang w:val="en-US"/>
        </w:rPr>
        <w:t xml:space="preserve">and access </w:t>
      </w:r>
      <w:r w:rsidRPr="005E6744">
        <w:rPr>
          <w:lang w:val="en-US"/>
        </w:rPr>
        <w:t xml:space="preserve">links, respectively. As shown in </w:t>
      </w:r>
      <w:r w:rsidRPr="005E6744">
        <w:rPr>
          <w:lang w:val="en-US"/>
        </w:rPr>
        <w:fldChar w:fldCharType="begin"/>
      </w:r>
      <w:r w:rsidRPr="005E6744">
        <w:rPr>
          <w:lang w:val="en-US"/>
        </w:rPr>
        <w:instrText xml:space="preserve"> REF _Ref512524530 \h </w:instrText>
      </w:r>
      <w:r w:rsidRPr="005E6744">
        <w:rPr>
          <w:lang w:val="en-US"/>
        </w:rPr>
      </w:r>
      <w:r w:rsidR="005E6744">
        <w:rPr>
          <w:lang w:val="en-US"/>
        </w:rPr>
        <w:instrText xml:space="preserve"> \* MERGEFORMAT </w:instrText>
      </w:r>
      <w:r w:rsidRPr="005E6744">
        <w:rPr>
          <w:lang w:val="en-US"/>
        </w:rPr>
        <w:fldChar w:fldCharType="separate"/>
      </w:r>
      <w:r w:rsidR="00733DAF" w:rsidRPr="005E6744">
        <w:t xml:space="preserve">Figure </w:t>
      </w:r>
      <w:r w:rsidR="00733DAF" w:rsidRPr="005E6744">
        <w:rPr>
          <w:noProof/>
        </w:rPr>
        <w:t>1</w:t>
      </w:r>
      <w:r w:rsidRPr="005E6744">
        <w:rPr>
          <w:lang w:val="en-US"/>
        </w:rPr>
        <w:fldChar w:fldCharType="end"/>
      </w:r>
      <w:r w:rsidRPr="005E6744">
        <w:rPr>
          <w:lang w:val="en-US"/>
        </w:rPr>
        <w:t>, the separated resource sets are illustrated in different colors along the radio links.</w:t>
      </w:r>
      <w:r w:rsidR="00D026D4" w:rsidRPr="005E6744">
        <w:rPr>
          <w:lang w:val="en-US"/>
        </w:rPr>
        <w:t xml:space="preserve"> When </w:t>
      </w:r>
      <w:r w:rsidR="00E90672" w:rsidRPr="005E6744">
        <w:rPr>
          <w:lang w:val="en-US"/>
        </w:rPr>
        <w:t xml:space="preserve">TDD </w:t>
      </w:r>
      <w:r w:rsidR="00D026D4" w:rsidRPr="005E6744">
        <w:rPr>
          <w:lang w:val="en-US"/>
        </w:rPr>
        <w:t xml:space="preserve">is applied, the time resource of each set is further </w:t>
      </w:r>
      <w:r w:rsidR="00214FFE" w:rsidRPr="005E6744">
        <w:rPr>
          <w:lang w:val="en-US"/>
        </w:rPr>
        <w:t>divided into two phases for transmitting and receiving at different nodes</w:t>
      </w:r>
      <w:r w:rsidR="00DA0C55" w:rsidRPr="005E6744">
        <w:rPr>
          <w:lang w:val="en-US"/>
        </w:rPr>
        <w:t xml:space="preserve">. </w:t>
      </w:r>
    </w:p>
    <w:p w14:paraId="2EEB7587" w14:textId="09F08696" w:rsidR="00DA0C55" w:rsidRPr="005E6744" w:rsidRDefault="00DA0C55" w:rsidP="00DA0C55">
      <w:pPr>
        <w:pStyle w:val="ListBullet"/>
        <w:rPr>
          <w:lang w:val="en-US"/>
        </w:rPr>
      </w:pPr>
      <w:r w:rsidRPr="005E6744">
        <w:rPr>
          <w:lang w:val="en-US"/>
        </w:rPr>
        <w:t>For the 1</w:t>
      </w:r>
      <w:r w:rsidRPr="005E6744">
        <w:rPr>
          <w:vertAlign w:val="superscript"/>
          <w:lang w:val="en-US"/>
        </w:rPr>
        <w:t>st</w:t>
      </w:r>
      <w:r w:rsidRPr="005E6744">
        <w:rPr>
          <w:lang w:val="en-US"/>
        </w:rPr>
        <w:t xml:space="preserve"> set of time resource</w:t>
      </w:r>
      <w:r w:rsidR="00E90672" w:rsidRPr="005E6744">
        <w:rPr>
          <w:lang w:val="en-US"/>
        </w:rPr>
        <w:t>s</w:t>
      </w:r>
      <w:r w:rsidRPr="005E6744">
        <w:rPr>
          <w:lang w:val="en-US"/>
        </w:rPr>
        <w:t xml:space="preserve"> (i.e., t</w:t>
      </w:r>
      <w:r w:rsidRPr="005E6744">
        <w:rPr>
          <w:vertAlign w:val="subscript"/>
          <w:lang w:val="en-US"/>
        </w:rPr>
        <w:t>1</w:t>
      </w:r>
      <w:r w:rsidRPr="005E6744">
        <w:rPr>
          <w:lang w:val="en-US"/>
        </w:rPr>
        <w:t xml:space="preserve">) only the backhaul links are active. At the first </w:t>
      </w:r>
      <w:r w:rsidR="00F643AE" w:rsidRPr="005E6744">
        <w:rPr>
          <w:lang w:val="en-US"/>
        </w:rPr>
        <w:t>phase</w:t>
      </w:r>
      <w:r w:rsidRPr="005E6744">
        <w:rPr>
          <w:lang w:val="en-US"/>
        </w:rPr>
        <w:t xml:space="preserve"> t</w:t>
      </w:r>
      <w:r w:rsidRPr="005E6744">
        <w:rPr>
          <w:vertAlign w:val="subscript"/>
          <w:lang w:val="en-US"/>
        </w:rPr>
        <w:t>1</w:t>
      </w:r>
      <w:r w:rsidRPr="005E6744">
        <w:rPr>
          <w:lang w:val="en-US"/>
        </w:rPr>
        <w:t>(1), IAB-DN, IAB-N2 and IAB-N4 are transmitting</w:t>
      </w:r>
      <w:r w:rsidR="00E90672" w:rsidRPr="005E6744">
        <w:rPr>
          <w:lang w:val="en-US"/>
        </w:rPr>
        <w:t>,</w:t>
      </w:r>
      <w:r w:rsidRPr="005E6744">
        <w:rPr>
          <w:lang w:val="en-US"/>
        </w:rPr>
        <w:t xml:space="preserve"> while IAB-N1 and IAB-N3 are receiving. At the second </w:t>
      </w:r>
      <w:r w:rsidR="00F643AE" w:rsidRPr="005E6744">
        <w:rPr>
          <w:lang w:val="en-US"/>
        </w:rPr>
        <w:t>phase</w:t>
      </w:r>
      <w:r w:rsidRPr="005E6744">
        <w:rPr>
          <w:lang w:val="en-US"/>
        </w:rPr>
        <w:t xml:space="preserve"> t</w:t>
      </w:r>
      <w:r w:rsidRPr="005E6744">
        <w:rPr>
          <w:vertAlign w:val="subscript"/>
          <w:lang w:val="en-US"/>
        </w:rPr>
        <w:t>1</w:t>
      </w:r>
      <w:r w:rsidRPr="005E6744">
        <w:rPr>
          <w:lang w:val="en-US"/>
        </w:rPr>
        <w:t>(2), IAB-N1 and IAB-N3 are transmitting while IAB-DN, IAB-N2 and IAB-N4 are receiving.</w:t>
      </w:r>
    </w:p>
    <w:p w14:paraId="1A088FE4" w14:textId="099CB436" w:rsidR="00DA0C55" w:rsidRPr="005E6744" w:rsidRDefault="00DA0C55" w:rsidP="00DA0C55">
      <w:pPr>
        <w:pStyle w:val="ListBullet"/>
        <w:rPr>
          <w:lang w:val="en-US"/>
        </w:rPr>
      </w:pPr>
      <w:r w:rsidRPr="005E6744">
        <w:rPr>
          <w:lang w:val="en-US"/>
        </w:rPr>
        <w:t>For the 2</w:t>
      </w:r>
      <w:r w:rsidRPr="005E6744">
        <w:rPr>
          <w:vertAlign w:val="superscript"/>
          <w:lang w:val="en-US"/>
        </w:rPr>
        <w:t>nd</w:t>
      </w:r>
      <w:r w:rsidRPr="005E6744">
        <w:rPr>
          <w:lang w:val="en-US"/>
        </w:rPr>
        <w:t xml:space="preserve"> set of time resource</w:t>
      </w:r>
      <w:r w:rsidR="00E90672" w:rsidRPr="005E6744">
        <w:rPr>
          <w:lang w:val="en-US"/>
        </w:rPr>
        <w:t>s</w:t>
      </w:r>
      <w:r w:rsidRPr="005E6744">
        <w:rPr>
          <w:lang w:val="en-US"/>
        </w:rPr>
        <w:t xml:space="preserve"> (i.e., t</w:t>
      </w:r>
      <w:r w:rsidRPr="005E6744">
        <w:rPr>
          <w:vertAlign w:val="subscript"/>
          <w:lang w:val="en-US"/>
        </w:rPr>
        <w:t>2</w:t>
      </w:r>
      <w:r w:rsidRPr="005E6744">
        <w:rPr>
          <w:lang w:val="en-US"/>
        </w:rPr>
        <w:t xml:space="preserve">) only the access links are active. At the first </w:t>
      </w:r>
      <w:r w:rsidR="00F643AE" w:rsidRPr="005E6744">
        <w:rPr>
          <w:lang w:val="en-US"/>
        </w:rPr>
        <w:t>phase</w:t>
      </w:r>
      <w:r w:rsidRPr="005E6744">
        <w:rPr>
          <w:lang w:val="en-US"/>
        </w:rPr>
        <w:t xml:space="preserve"> t</w:t>
      </w:r>
      <w:r w:rsidRPr="005E6744">
        <w:rPr>
          <w:vertAlign w:val="subscript"/>
          <w:lang w:val="en-US"/>
        </w:rPr>
        <w:t>2</w:t>
      </w:r>
      <w:r w:rsidRPr="005E6744">
        <w:rPr>
          <w:lang w:val="en-US"/>
        </w:rPr>
        <w:t>(1), all IAB-Ns (including IAB-DN) are transmitting</w:t>
      </w:r>
      <w:r w:rsidR="00E90672" w:rsidRPr="005E6744">
        <w:rPr>
          <w:lang w:val="en-US"/>
        </w:rPr>
        <w:t>,</w:t>
      </w:r>
      <w:r w:rsidRPr="005E6744">
        <w:rPr>
          <w:lang w:val="en-US"/>
        </w:rPr>
        <w:t xml:space="preserve"> while at the second </w:t>
      </w:r>
      <w:r w:rsidR="00F643AE" w:rsidRPr="005E6744">
        <w:rPr>
          <w:lang w:val="en-US"/>
        </w:rPr>
        <w:t>phase</w:t>
      </w:r>
      <w:r w:rsidRPr="005E6744">
        <w:rPr>
          <w:lang w:val="en-US"/>
        </w:rPr>
        <w:t xml:space="preserve"> t</w:t>
      </w:r>
      <w:r w:rsidRPr="005E6744">
        <w:rPr>
          <w:vertAlign w:val="subscript"/>
          <w:lang w:val="en-US"/>
        </w:rPr>
        <w:t>2</w:t>
      </w:r>
      <w:r w:rsidRPr="005E6744">
        <w:rPr>
          <w:lang w:val="en-US"/>
        </w:rPr>
        <w:t xml:space="preserve">(2) all IAB-Ns (including IAB-DN) are receiving. </w:t>
      </w:r>
    </w:p>
    <w:p w14:paraId="77A939EC" w14:textId="31CAA597" w:rsidR="005E1858" w:rsidRPr="005E6744" w:rsidRDefault="005E1858" w:rsidP="005E1858">
      <w:pPr>
        <w:pStyle w:val="Heading2"/>
      </w:pPr>
      <w:r w:rsidRPr="005E6744">
        <w:t>Option 1-b</w:t>
      </w:r>
    </w:p>
    <w:p w14:paraId="463F6420" w14:textId="59B87BB9" w:rsidR="005E1858" w:rsidRPr="005E6744" w:rsidRDefault="005E1858" w:rsidP="00447EE7">
      <w:pPr>
        <w:jc w:val="center"/>
      </w:pPr>
      <w:r w:rsidRPr="005E6744">
        <w:rPr>
          <w:noProof/>
          <w:lang w:val="en-US" w:eastAsia="en-US"/>
        </w:rPr>
        <w:drawing>
          <wp:inline distT="0" distB="0" distL="0" distR="0" wp14:anchorId="532FCC7D" wp14:editId="27C1B04B">
            <wp:extent cx="5760000" cy="14072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407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6F4426" w14:textId="0DCB4EC6" w:rsidR="00EC4BE1" w:rsidRPr="005E6744" w:rsidRDefault="00EC4BE1" w:rsidP="00EC4BE1">
      <w:pPr>
        <w:pStyle w:val="Caption"/>
      </w:pPr>
      <w:bookmarkStart w:id="4" w:name="_Ref512526232"/>
      <w:r w:rsidRPr="005E6744">
        <w:t xml:space="preserve">Figure </w:t>
      </w:r>
      <w:r w:rsidRPr="005E6744">
        <w:fldChar w:fldCharType="begin"/>
      </w:r>
      <w:r w:rsidRPr="005E6744">
        <w:instrText xml:space="preserve"> SEQ Figure \* ARABIC </w:instrText>
      </w:r>
      <w:r w:rsidRPr="005E6744">
        <w:fldChar w:fldCharType="separate"/>
      </w:r>
      <w:r w:rsidR="00733DAF" w:rsidRPr="005E6744">
        <w:rPr>
          <w:noProof/>
        </w:rPr>
        <w:t>2</w:t>
      </w:r>
      <w:r w:rsidRPr="005E6744">
        <w:fldChar w:fldCharType="end"/>
      </w:r>
      <w:bookmarkEnd w:id="4"/>
      <w:r w:rsidRPr="005E6744">
        <w:t>: Semi-static resource separation for one IAB node/donor with 3 phases</w:t>
      </w:r>
      <w:r w:rsidR="00171E02" w:rsidRPr="005E6744">
        <w:t>; common access uplink</w:t>
      </w:r>
      <w:r w:rsidRPr="005E6744">
        <w:t>.</w:t>
      </w:r>
    </w:p>
    <w:p w14:paraId="30B26A06" w14:textId="6ECB6313" w:rsidR="00E275BF" w:rsidRPr="005E6744" w:rsidRDefault="00AB6867" w:rsidP="00447EE7">
      <w:r w:rsidRPr="005E6744">
        <w:t>Option 1-b is derived from option 1-a by recognizing that on IAB access links in downlink direction, the same resources can be used as on the IAB backhaul link in downlink direction</w:t>
      </w:r>
      <w:r w:rsidR="005F5761" w:rsidRPr="005E6744">
        <w:t xml:space="preserve"> between the IAB node and its attached child node</w:t>
      </w:r>
      <w:r w:rsidRPr="005E6744">
        <w:t>. This results in having only</w:t>
      </w:r>
      <w:r w:rsidR="00E275BF" w:rsidRPr="005E6744">
        <w:t xml:space="preserve"> three non-overlapping sets</w:t>
      </w:r>
      <w:r w:rsidRPr="005E6744">
        <w:t xml:space="preserve"> of radio time resources</w:t>
      </w:r>
      <w:r w:rsidR="00E275BF" w:rsidRPr="005E6744">
        <w:t>, labelled t</w:t>
      </w:r>
      <w:r w:rsidR="00E275BF" w:rsidRPr="005E6744">
        <w:rPr>
          <w:vertAlign w:val="subscript"/>
        </w:rPr>
        <w:t>1</w:t>
      </w:r>
      <w:r w:rsidR="00E275BF" w:rsidRPr="005E6744">
        <w:t>, t</w:t>
      </w:r>
      <w:r w:rsidR="00E275BF" w:rsidRPr="005E6744">
        <w:rPr>
          <w:vertAlign w:val="subscript"/>
        </w:rPr>
        <w:t>2</w:t>
      </w:r>
      <w:r w:rsidR="00E275BF" w:rsidRPr="005E6744">
        <w:t xml:space="preserve"> and t</w:t>
      </w:r>
      <w:r w:rsidR="00E275BF" w:rsidRPr="005E6744">
        <w:rPr>
          <w:vertAlign w:val="subscript"/>
        </w:rPr>
        <w:t>3</w:t>
      </w:r>
      <w:r w:rsidR="008F2706" w:rsidRPr="005E6744">
        <w:t xml:space="preserve"> in figure 2.</w:t>
      </w:r>
    </w:p>
    <w:p w14:paraId="65D57EFD" w14:textId="77777777" w:rsidR="00AB6867" w:rsidRPr="005E6744" w:rsidRDefault="00AB6867" w:rsidP="00447EE7"/>
    <w:p w14:paraId="4A759DAE" w14:textId="1C7CAC2A" w:rsidR="00AB6867" w:rsidRPr="005E6744" w:rsidRDefault="00AB6867" w:rsidP="00447EE7">
      <w:r w:rsidRPr="005E6744">
        <w:rPr>
          <w:noProof/>
          <w:lang w:val="en-US" w:eastAsia="en-US"/>
        </w:rPr>
        <w:drawing>
          <wp:inline distT="0" distB="0" distL="0" distR="0" wp14:anchorId="2FD5CC9A" wp14:editId="75E57CD4">
            <wp:extent cx="5713200" cy="139320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200" cy="139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2EFA06" w14:textId="4B99AED0" w:rsidR="00AB6867" w:rsidRPr="005E6744" w:rsidRDefault="00171E02" w:rsidP="00171E02">
      <w:pPr>
        <w:pStyle w:val="Caption"/>
      </w:pPr>
      <w:r w:rsidRPr="005E6744">
        <w:t>Figure 3: Semi-static resource separation for one IAB node/donor with 3 phases; common access downlink.</w:t>
      </w:r>
    </w:p>
    <w:p w14:paraId="701AB9B3" w14:textId="156054C2" w:rsidR="005F5761" w:rsidRPr="005E6744" w:rsidRDefault="005F5761" w:rsidP="00447EE7">
      <w:r w:rsidRPr="005E6744">
        <w:t>In figure 2, all access UEs can be scheduled in UL in the same time resources. A similar scheme can be derived from option 1-a that re</w:t>
      </w:r>
      <w:r w:rsidR="008F2706" w:rsidRPr="005E6744">
        <w:t>-</w:t>
      </w:r>
      <w:r w:rsidRPr="005E6744">
        <w:t xml:space="preserve">uses backhaul link resources for </w:t>
      </w:r>
      <w:r w:rsidR="008F2706" w:rsidRPr="005E6744">
        <w:t xml:space="preserve">access </w:t>
      </w:r>
      <w:r w:rsidRPr="005E6744">
        <w:t xml:space="preserve">uplink, but still keep a common and dedicated set of resources for the access downlink. </w:t>
      </w:r>
      <w:r w:rsidR="008F2706" w:rsidRPr="005E6744">
        <w:t xml:space="preserve">This modification </w:t>
      </w:r>
      <w:r w:rsidRPr="005E6744">
        <w:t>is depicted in figure 3.</w:t>
      </w:r>
    </w:p>
    <w:p w14:paraId="5352C0A4" w14:textId="77777777" w:rsidR="00D33875" w:rsidRPr="005E6744" w:rsidRDefault="00D33875" w:rsidP="005E1858"/>
    <w:p w14:paraId="6AF17EAE" w14:textId="6E0D7888" w:rsidR="005E1858" w:rsidRPr="005E6744" w:rsidRDefault="005E1858" w:rsidP="005E1858">
      <w:pPr>
        <w:pStyle w:val="Heading2"/>
      </w:pPr>
      <w:r w:rsidRPr="005E6744">
        <w:t>Option 2</w:t>
      </w:r>
    </w:p>
    <w:p w14:paraId="4E54F3D7" w14:textId="1A4DE5E6" w:rsidR="00DF71A0" w:rsidRPr="005E6744" w:rsidRDefault="005E1858" w:rsidP="000E647B">
      <w:pPr>
        <w:jc w:val="center"/>
      </w:pPr>
      <w:r w:rsidRPr="005E6744">
        <w:rPr>
          <w:noProof/>
          <w:lang w:val="en-US" w:eastAsia="en-US"/>
        </w:rPr>
        <w:drawing>
          <wp:inline distT="0" distB="0" distL="0" distR="0" wp14:anchorId="6C6CE374" wp14:editId="236596D0">
            <wp:extent cx="5760000" cy="1408208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408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7966D2" w14:textId="5EAC0A79" w:rsidR="000E647B" w:rsidRPr="005E6744" w:rsidRDefault="000E647B" w:rsidP="000E647B">
      <w:pPr>
        <w:pStyle w:val="Caption"/>
      </w:pPr>
      <w:bookmarkStart w:id="5" w:name="_Ref512526695"/>
      <w:r w:rsidRPr="005E6744">
        <w:t xml:space="preserve">Figure </w:t>
      </w:r>
      <w:bookmarkEnd w:id="5"/>
      <w:r w:rsidR="005F5761" w:rsidRPr="005E6744">
        <w:t>4</w:t>
      </w:r>
      <w:r w:rsidRPr="005E6744">
        <w:t>: Semi-static resource separation for successive IAB node/donor.</w:t>
      </w:r>
    </w:p>
    <w:p w14:paraId="36CC9532" w14:textId="24E57634" w:rsidR="000E647B" w:rsidRPr="005E6744" w:rsidRDefault="00B14C4F" w:rsidP="000E647B">
      <w:pPr>
        <w:rPr>
          <w:lang w:val="en-US"/>
        </w:rPr>
      </w:pPr>
      <w:r w:rsidRPr="005E6744">
        <w:rPr>
          <w:lang w:val="en-US"/>
        </w:rPr>
        <w:t>In option 2, the resource separation is between the successive IAB</w:t>
      </w:r>
      <w:r w:rsidR="00AF70AA" w:rsidRPr="005E6744">
        <w:rPr>
          <w:lang w:val="en-US"/>
        </w:rPr>
        <w:t>-N</w:t>
      </w:r>
      <w:r w:rsidRPr="005E6744">
        <w:rPr>
          <w:lang w:val="en-US"/>
        </w:rPr>
        <w:t xml:space="preserve">s. As shown in </w:t>
      </w:r>
      <w:r w:rsidRPr="005E6744">
        <w:rPr>
          <w:lang w:val="en-US"/>
        </w:rPr>
        <w:fldChar w:fldCharType="begin"/>
      </w:r>
      <w:r w:rsidRPr="005E6744">
        <w:rPr>
          <w:lang w:val="en-US"/>
        </w:rPr>
        <w:instrText xml:space="preserve"> REF _Ref512526695 \h </w:instrText>
      </w:r>
      <w:r w:rsidRPr="005E6744">
        <w:rPr>
          <w:lang w:val="en-US"/>
        </w:rPr>
      </w:r>
      <w:r w:rsidR="005E6744">
        <w:rPr>
          <w:lang w:val="en-US"/>
        </w:rPr>
        <w:instrText xml:space="preserve"> \* MERGEFORMAT </w:instrText>
      </w:r>
      <w:r w:rsidRPr="005E6744">
        <w:rPr>
          <w:lang w:val="en-US"/>
        </w:rPr>
        <w:fldChar w:fldCharType="separate"/>
      </w:r>
      <w:r w:rsidR="00733DAF" w:rsidRPr="005E6744">
        <w:t xml:space="preserve">Figure </w:t>
      </w:r>
      <w:r w:rsidR="005F5761" w:rsidRPr="005E6744">
        <w:t>4</w:t>
      </w:r>
      <w:r w:rsidRPr="005E6744">
        <w:rPr>
          <w:lang w:val="en-US"/>
        </w:rPr>
        <w:fldChar w:fldCharType="end"/>
      </w:r>
      <w:r w:rsidRPr="005E6744">
        <w:rPr>
          <w:lang w:val="en-US"/>
        </w:rPr>
        <w:t xml:space="preserve">, the separated resource sets are illustrated in different colors along the radio links. In this option, the </w:t>
      </w:r>
      <w:r w:rsidR="00AF70AA" w:rsidRPr="005E6744">
        <w:rPr>
          <w:lang w:val="en-US"/>
        </w:rPr>
        <w:t>parent</w:t>
      </w:r>
      <w:r w:rsidRPr="005E6744">
        <w:rPr>
          <w:lang w:val="en-US"/>
        </w:rPr>
        <w:t xml:space="preserve"> IAB-N (including IAB-DN) treats its attached UE(s) and the directly connected </w:t>
      </w:r>
      <w:r w:rsidR="00AF70AA" w:rsidRPr="005E6744">
        <w:rPr>
          <w:lang w:val="en-US"/>
        </w:rPr>
        <w:t>child</w:t>
      </w:r>
      <w:r w:rsidRPr="005E6744">
        <w:rPr>
          <w:lang w:val="en-US"/>
        </w:rPr>
        <w:t xml:space="preserve"> IAB-N(s) (i.e., the IAB-N located in the downstream of a</w:t>
      </w:r>
      <w:r w:rsidR="00A5767A" w:rsidRPr="005E6744">
        <w:rPr>
          <w:lang w:val="en-US"/>
        </w:rPr>
        <w:t>n</w:t>
      </w:r>
      <w:r w:rsidRPr="005E6744">
        <w:rPr>
          <w:lang w:val="en-US"/>
        </w:rPr>
        <w:t xml:space="preserve"> IAB chain) in a similar way. Each IAB-N at different levels of the IAB chain alternates in performing the roles of “base station” and “UE” within different resource sets. The IAB-DN only performs the role of a base station.</w:t>
      </w:r>
    </w:p>
    <w:p w14:paraId="40A6067D" w14:textId="11F481D5" w:rsidR="006A2244" w:rsidRPr="005E6744" w:rsidRDefault="006A2244" w:rsidP="000E647B">
      <w:pPr>
        <w:rPr>
          <w:lang w:val="en-US"/>
        </w:rPr>
      </w:pPr>
      <w:r w:rsidRPr="005E6744">
        <w:t xml:space="preserve">In the TDM example as in </w:t>
      </w:r>
      <w:r w:rsidRPr="005E6744">
        <w:fldChar w:fldCharType="begin"/>
      </w:r>
      <w:r w:rsidRPr="005E6744">
        <w:instrText xml:space="preserve"> REF _Ref512526695 \h </w:instrText>
      </w:r>
      <w:r w:rsidR="005E6744">
        <w:instrText xml:space="preserve"> \* MERGEFORMAT </w:instrText>
      </w:r>
      <w:r w:rsidRPr="005E6744">
        <w:fldChar w:fldCharType="separate"/>
      </w:r>
      <w:r w:rsidR="00733DAF" w:rsidRPr="005E6744">
        <w:t xml:space="preserve">Figure </w:t>
      </w:r>
      <w:r w:rsidR="00654500" w:rsidRPr="005E6744">
        <w:t>4</w:t>
      </w:r>
      <w:r w:rsidRPr="005E6744">
        <w:fldChar w:fldCharType="end"/>
      </w:r>
      <w:r w:rsidRPr="005E6744">
        <w:t xml:space="preserve">, </w:t>
      </w:r>
      <w:r w:rsidRPr="005E6744">
        <w:rPr>
          <w:lang w:val="en-US"/>
        </w:rPr>
        <w:t>the time resources are divided into two sets, t</w:t>
      </w:r>
      <w:r w:rsidRPr="005E6744">
        <w:rPr>
          <w:vertAlign w:val="subscript"/>
          <w:lang w:val="en-US"/>
        </w:rPr>
        <w:t>1</w:t>
      </w:r>
      <w:r w:rsidRPr="005E6744">
        <w:rPr>
          <w:lang w:val="en-US"/>
        </w:rPr>
        <w:t xml:space="preserve"> and t</w:t>
      </w:r>
      <w:r w:rsidRPr="005E6744">
        <w:rPr>
          <w:vertAlign w:val="subscript"/>
          <w:lang w:val="en-US"/>
        </w:rPr>
        <w:t>2</w:t>
      </w:r>
      <w:r w:rsidRPr="005E6744">
        <w:rPr>
          <w:lang w:val="en-US"/>
        </w:rPr>
        <w:t>. Each set is further divided into two phases for UL and DL, respectively.</w:t>
      </w:r>
    </w:p>
    <w:p w14:paraId="4D6CD7D7" w14:textId="0DB0F8F8" w:rsidR="00F03360" w:rsidRPr="005E6744" w:rsidRDefault="00F03360" w:rsidP="00F03360">
      <w:pPr>
        <w:pStyle w:val="ListBullet"/>
        <w:rPr>
          <w:lang w:val="en-US"/>
        </w:rPr>
      </w:pPr>
      <w:r w:rsidRPr="005E6744">
        <w:rPr>
          <w:lang w:val="en-US"/>
        </w:rPr>
        <w:t>For the 1</w:t>
      </w:r>
      <w:r w:rsidRPr="005E6744">
        <w:rPr>
          <w:vertAlign w:val="superscript"/>
          <w:lang w:val="en-US"/>
        </w:rPr>
        <w:t>st</w:t>
      </w:r>
      <w:r w:rsidRPr="005E6744">
        <w:rPr>
          <w:lang w:val="en-US"/>
        </w:rPr>
        <w:t xml:space="preserve"> set of time resource (i.e., t</w:t>
      </w:r>
      <w:r w:rsidRPr="005E6744">
        <w:rPr>
          <w:vertAlign w:val="subscript"/>
          <w:lang w:val="en-US"/>
        </w:rPr>
        <w:t>1</w:t>
      </w:r>
      <w:r w:rsidRPr="005E6744">
        <w:rPr>
          <w:lang w:val="en-US"/>
        </w:rPr>
        <w:t>) only the odd-hop backhaul links and the corresponding access links are active. During this period, IAB-DN, IAB-N2 and IAB-N4 perform the role of “base station” while IAB-N1 and IAB-N3 perform as the “UE”. The first phase t</w:t>
      </w:r>
      <w:r w:rsidRPr="005E6744">
        <w:rPr>
          <w:vertAlign w:val="subscript"/>
          <w:lang w:val="en-US"/>
        </w:rPr>
        <w:t>1</w:t>
      </w:r>
      <w:r w:rsidRPr="005E6744">
        <w:rPr>
          <w:lang w:val="en-US"/>
        </w:rPr>
        <w:t>(1) operates in DL whereas the second phase t</w:t>
      </w:r>
      <w:r w:rsidRPr="005E6744">
        <w:rPr>
          <w:vertAlign w:val="subscript"/>
          <w:lang w:val="en-US"/>
        </w:rPr>
        <w:t>1</w:t>
      </w:r>
      <w:r w:rsidRPr="005E6744">
        <w:rPr>
          <w:lang w:val="en-US"/>
        </w:rPr>
        <w:t>(2) operates in UL.</w:t>
      </w:r>
    </w:p>
    <w:p w14:paraId="63A136FC" w14:textId="0643A0D8" w:rsidR="00F03360" w:rsidRPr="005E6744" w:rsidRDefault="00F03360" w:rsidP="00F03360">
      <w:pPr>
        <w:pStyle w:val="ListBullet"/>
        <w:rPr>
          <w:lang w:val="en-US"/>
        </w:rPr>
      </w:pPr>
      <w:r w:rsidRPr="005E6744">
        <w:rPr>
          <w:lang w:val="en-US"/>
        </w:rPr>
        <w:t>For the 2</w:t>
      </w:r>
      <w:r w:rsidRPr="005E6744">
        <w:rPr>
          <w:vertAlign w:val="superscript"/>
          <w:lang w:val="en-US"/>
        </w:rPr>
        <w:t>nd</w:t>
      </w:r>
      <w:r w:rsidRPr="005E6744">
        <w:rPr>
          <w:lang w:val="en-US"/>
        </w:rPr>
        <w:t xml:space="preserve"> set of time resource (i.e., t</w:t>
      </w:r>
      <w:r w:rsidRPr="005E6744">
        <w:rPr>
          <w:vertAlign w:val="subscript"/>
          <w:lang w:val="en-US"/>
        </w:rPr>
        <w:t>2</w:t>
      </w:r>
      <w:r w:rsidRPr="005E6744">
        <w:rPr>
          <w:lang w:val="en-US"/>
        </w:rPr>
        <w:t>) only the even-hop backhaul links and the corresponding access links are active. During this period, IAB-N1 and IAB-N3 perform the role of “base station” while IAB-N2 and IAB-N4 perform as the “UE”. The first phase t</w:t>
      </w:r>
      <w:r w:rsidRPr="005E6744">
        <w:rPr>
          <w:vertAlign w:val="subscript"/>
          <w:lang w:val="en-US"/>
        </w:rPr>
        <w:t>2</w:t>
      </w:r>
      <w:r w:rsidRPr="005E6744">
        <w:rPr>
          <w:lang w:val="en-US"/>
        </w:rPr>
        <w:t>(1) operates in DL while the second phase t</w:t>
      </w:r>
      <w:r w:rsidRPr="005E6744">
        <w:rPr>
          <w:vertAlign w:val="subscript"/>
          <w:lang w:val="en-US"/>
        </w:rPr>
        <w:t>2</w:t>
      </w:r>
      <w:r w:rsidRPr="005E6744">
        <w:rPr>
          <w:lang w:val="en-US"/>
        </w:rPr>
        <w:t xml:space="preserve">(2) operates in UL. </w:t>
      </w:r>
    </w:p>
    <w:p w14:paraId="3F4D5689" w14:textId="77777777" w:rsidR="00981ABF" w:rsidRPr="005E6744" w:rsidRDefault="00981ABF" w:rsidP="00981ABF"/>
    <w:p w14:paraId="6FE29B19" w14:textId="2CB78D53" w:rsidR="00D322AB" w:rsidRPr="005E6744" w:rsidRDefault="00CF2144" w:rsidP="00D715CD">
      <w:pPr>
        <w:pStyle w:val="Proposal"/>
      </w:pPr>
      <w:bookmarkStart w:id="6" w:name="_Toc512610519"/>
      <w:r w:rsidRPr="005E6744">
        <w:rPr>
          <w:color w:val="1F497D"/>
        </w:rPr>
        <w:t>Duplexing and multiplexing options 1a/b and 2, as depicted, should be used in a semi-static assignment with TBD transmission time resources for performance evaluations.</w:t>
      </w:r>
      <w:r w:rsidRPr="005E6744">
        <w:rPr>
          <w:color w:val="1F497D"/>
        </w:rPr>
        <w:br/>
      </w:r>
      <w:bookmarkEnd w:id="6"/>
    </w:p>
    <w:p w14:paraId="2C1B6BD4" w14:textId="77777777" w:rsidR="00C01F33" w:rsidRPr="005E6744" w:rsidRDefault="00C01F33" w:rsidP="00CE0424">
      <w:pPr>
        <w:pStyle w:val="Heading1"/>
      </w:pPr>
      <w:r w:rsidRPr="005E6744">
        <w:t>Conclusion</w:t>
      </w:r>
    </w:p>
    <w:p w14:paraId="7BF69597" w14:textId="74936633" w:rsidR="00733DAF" w:rsidRPr="005E6744" w:rsidRDefault="008E065E" w:rsidP="008E065E">
      <w:pPr>
        <w:pStyle w:val="BodyText"/>
        <w:rPr>
          <w:noProof/>
        </w:rPr>
      </w:pPr>
      <w:r w:rsidRPr="005E6744">
        <w:t>Based on the discussion we propose the following:</w:t>
      </w:r>
      <w:r w:rsidRPr="005E6744">
        <w:rPr>
          <w:b/>
          <w:bCs/>
        </w:rPr>
        <w:fldChar w:fldCharType="begin"/>
      </w:r>
      <w:r w:rsidRPr="005E6744">
        <w:rPr>
          <w:b/>
          <w:bCs/>
        </w:rPr>
        <w:instrText xml:space="preserve"> TOC \f \n \p " " \t "Proposal;1" </w:instrText>
      </w:r>
      <w:r w:rsidRPr="005E6744">
        <w:rPr>
          <w:b/>
          <w:bCs/>
        </w:rPr>
        <w:fldChar w:fldCharType="separate"/>
      </w:r>
    </w:p>
    <w:p w14:paraId="4AA560AA" w14:textId="65F451C1" w:rsidR="00733DAF" w:rsidRPr="005E6744" w:rsidRDefault="00733DAF">
      <w:pPr>
        <w:pStyle w:val="TOC1"/>
        <w:rPr>
          <w:rFonts w:asciiTheme="minorHAnsi" w:hAnsiTheme="minorHAnsi" w:cstheme="minorBidi"/>
          <w:b w:val="0"/>
          <w:sz w:val="22"/>
        </w:rPr>
      </w:pPr>
      <w:r w:rsidRPr="005E6744">
        <w:t>Proposal 1</w:t>
      </w:r>
      <w:r w:rsidRPr="005E6744">
        <w:rPr>
          <w:rFonts w:asciiTheme="minorHAnsi" w:hAnsiTheme="minorHAnsi" w:cstheme="minorBidi"/>
          <w:b w:val="0"/>
          <w:sz w:val="22"/>
        </w:rPr>
        <w:tab/>
      </w:r>
      <w:r w:rsidR="0042083A" w:rsidRPr="005E6744">
        <w:t>Duplexing and multiplexing options 1a/b and 2, as depicted, should be used in a semi-static assignment with TBD transmission time resources for performance evaluations.</w:t>
      </w:r>
    </w:p>
    <w:p w14:paraId="06813E7E" w14:textId="07B0A689" w:rsidR="00AB0BC8" w:rsidRPr="005E6744" w:rsidRDefault="008E065E" w:rsidP="00A04F49">
      <w:pPr>
        <w:rPr>
          <w:b/>
          <w:bCs/>
        </w:rPr>
      </w:pPr>
      <w:r w:rsidRPr="005E6744">
        <w:rPr>
          <w:b/>
          <w:bCs/>
        </w:rPr>
        <w:fldChar w:fldCharType="end"/>
      </w:r>
    </w:p>
    <w:p w14:paraId="27472D02" w14:textId="77777777" w:rsidR="00311702" w:rsidRPr="005E6744" w:rsidRDefault="00311702" w:rsidP="00AB0BC8"/>
    <w:p w14:paraId="70967945" w14:textId="77777777" w:rsidR="00C01F33" w:rsidRPr="005E6744" w:rsidRDefault="00C01F33" w:rsidP="006E062C"/>
    <w:p w14:paraId="57B73A36" w14:textId="77777777" w:rsidR="00F507D1" w:rsidRPr="005E6744" w:rsidRDefault="00F507D1" w:rsidP="00CE0424">
      <w:pPr>
        <w:pStyle w:val="Heading1"/>
      </w:pPr>
      <w:bookmarkStart w:id="7" w:name="_In-sequence_SDU_delivery"/>
      <w:bookmarkEnd w:id="7"/>
      <w:r w:rsidRPr="005E6744">
        <w:t>References</w:t>
      </w:r>
    </w:p>
    <w:p w14:paraId="63CE56D8" w14:textId="29320E01" w:rsidR="000A4D8A" w:rsidRPr="005E6744" w:rsidRDefault="000A4D8A" w:rsidP="000A4D8A">
      <w:pPr>
        <w:pStyle w:val="Reference"/>
        <w:rPr>
          <w:rFonts w:cs="Arial"/>
        </w:rPr>
      </w:pPr>
      <w:bookmarkStart w:id="8" w:name="_Ref476919366"/>
      <w:bookmarkStart w:id="9" w:name="_Ref454459437"/>
      <w:bookmarkStart w:id="10" w:name="_Ref174151459"/>
      <w:bookmarkStart w:id="11" w:name="_Ref189809556"/>
      <w:r w:rsidRPr="005E6744">
        <w:rPr>
          <w:rFonts w:cs="Arial"/>
        </w:rPr>
        <w:t xml:space="preserve">RAN1, Chairman’s Notes, 3GPP TSG RAN WG1 Meeting </w:t>
      </w:r>
      <w:r w:rsidR="00B041A3" w:rsidRPr="005E6744">
        <w:rPr>
          <w:rFonts w:cs="Arial"/>
        </w:rPr>
        <w:t>RAN1#92-Bis</w:t>
      </w:r>
      <w:r w:rsidRPr="005E6744">
        <w:rPr>
          <w:rFonts w:cs="Arial"/>
        </w:rPr>
        <w:t>, April 201</w:t>
      </w:r>
      <w:r w:rsidR="00B041A3" w:rsidRPr="005E6744">
        <w:rPr>
          <w:rFonts w:cs="Arial"/>
        </w:rPr>
        <w:t>8</w:t>
      </w:r>
      <w:r w:rsidRPr="005E6744">
        <w:rPr>
          <w:rFonts w:cs="Arial"/>
        </w:rPr>
        <w:t>.</w:t>
      </w:r>
      <w:bookmarkEnd w:id="8"/>
    </w:p>
    <w:bookmarkEnd w:id="9"/>
    <w:bookmarkEnd w:id="10"/>
    <w:bookmarkEnd w:id="11"/>
    <w:p w14:paraId="2B1D07FC" w14:textId="77777777" w:rsidR="008916F4" w:rsidRPr="008916F4" w:rsidRDefault="008916F4" w:rsidP="008916F4"/>
    <w:sectPr w:rsidR="008916F4" w:rsidRPr="008916F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CDB06" w14:textId="77777777" w:rsidR="002D0E2C" w:rsidRDefault="002D0E2C">
      <w:r>
        <w:separator/>
      </w:r>
    </w:p>
  </w:endnote>
  <w:endnote w:type="continuationSeparator" w:id="0">
    <w:p w14:paraId="4E7E66CD" w14:textId="77777777" w:rsidR="002D0E2C" w:rsidRDefault="002D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25EF98D" w:rsidR="00693D73" w:rsidRDefault="00693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0E2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0E2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168DD" w14:textId="77777777" w:rsidR="002D0E2C" w:rsidRDefault="002D0E2C">
      <w:r>
        <w:separator/>
      </w:r>
    </w:p>
  </w:footnote>
  <w:footnote w:type="continuationSeparator" w:id="0">
    <w:p w14:paraId="461933DB" w14:textId="77777777" w:rsidR="002D0E2C" w:rsidRDefault="002D0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693D73" w:rsidRDefault="00693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28E9D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FD0DF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9666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B282B3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7E213C"/>
    <w:multiLevelType w:val="hybridMultilevel"/>
    <w:tmpl w:val="5010E1D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94B39"/>
    <w:multiLevelType w:val="hybridMultilevel"/>
    <w:tmpl w:val="114CD63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25B10"/>
    <w:multiLevelType w:val="hybridMultilevel"/>
    <w:tmpl w:val="6C8A72A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77C89"/>
    <w:multiLevelType w:val="hybridMultilevel"/>
    <w:tmpl w:val="9062792E"/>
    <w:lvl w:ilvl="0" w:tplc="096A88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7466A"/>
    <w:multiLevelType w:val="hybridMultilevel"/>
    <w:tmpl w:val="33E4047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A6FA6"/>
    <w:multiLevelType w:val="hybridMultilevel"/>
    <w:tmpl w:val="E77C3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810D2"/>
    <w:multiLevelType w:val="hybridMultilevel"/>
    <w:tmpl w:val="D39A65C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17294"/>
    <w:multiLevelType w:val="hybridMultilevel"/>
    <w:tmpl w:val="BE70445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559F2"/>
    <w:multiLevelType w:val="hybridMultilevel"/>
    <w:tmpl w:val="CFA2353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21"/>
  </w:num>
  <w:num w:numId="19">
    <w:abstractNumId w:val="9"/>
  </w:num>
  <w:num w:numId="20">
    <w:abstractNumId w:val="19"/>
  </w:num>
  <w:num w:numId="21">
    <w:abstractNumId w:val="6"/>
  </w:num>
  <w:num w:numId="22">
    <w:abstractNumId w:val="7"/>
  </w:num>
  <w:num w:numId="23">
    <w:abstractNumId w:val="24"/>
  </w:num>
  <w:num w:numId="24">
    <w:abstractNumId w:val="23"/>
  </w:num>
  <w:num w:numId="25">
    <w:abstractNumId w:val="22"/>
  </w:num>
  <w:num w:numId="26">
    <w:abstractNumId w:val="5"/>
  </w:num>
  <w:num w:numId="2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6446"/>
    <w:rsid w:val="00006896"/>
    <w:rsid w:val="00007CDC"/>
    <w:rsid w:val="0001065A"/>
    <w:rsid w:val="0001177B"/>
    <w:rsid w:val="00011B28"/>
    <w:rsid w:val="00012D3C"/>
    <w:rsid w:val="00015D15"/>
    <w:rsid w:val="0002531D"/>
    <w:rsid w:val="000253D7"/>
    <w:rsid w:val="0002564D"/>
    <w:rsid w:val="00025ECA"/>
    <w:rsid w:val="000325B8"/>
    <w:rsid w:val="00034C15"/>
    <w:rsid w:val="00036BA1"/>
    <w:rsid w:val="000422E2"/>
    <w:rsid w:val="00042F22"/>
    <w:rsid w:val="000444EF"/>
    <w:rsid w:val="0004482B"/>
    <w:rsid w:val="0004560F"/>
    <w:rsid w:val="00052A07"/>
    <w:rsid w:val="000534E3"/>
    <w:rsid w:val="0005606A"/>
    <w:rsid w:val="00057117"/>
    <w:rsid w:val="000616E7"/>
    <w:rsid w:val="00063912"/>
    <w:rsid w:val="0006487E"/>
    <w:rsid w:val="00065E1A"/>
    <w:rsid w:val="00066D2C"/>
    <w:rsid w:val="00072B24"/>
    <w:rsid w:val="00074187"/>
    <w:rsid w:val="00077E5F"/>
    <w:rsid w:val="0008036A"/>
    <w:rsid w:val="00081AE6"/>
    <w:rsid w:val="00084F2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03"/>
    <w:rsid w:val="000A1B7B"/>
    <w:rsid w:val="000A4D8A"/>
    <w:rsid w:val="000A56F2"/>
    <w:rsid w:val="000B2719"/>
    <w:rsid w:val="000B3A8F"/>
    <w:rsid w:val="000B4AB9"/>
    <w:rsid w:val="000B58C3"/>
    <w:rsid w:val="000B61E9"/>
    <w:rsid w:val="000B668F"/>
    <w:rsid w:val="000C0527"/>
    <w:rsid w:val="000C165A"/>
    <w:rsid w:val="000C2E19"/>
    <w:rsid w:val="000C4FD9"/>
    <w:rsid w:val="000D0D07"/>
    <w:rsid w:val="000D3C84"/>
    <w:rsid w:val="000D4797"/>
    <w:rsid w:val="000D49CB"/>
    <w:rsid w:val="000E0527"/>
    <w:rsid w:val="000E1E92"/>
    <w:rsid w:val="000E647B"/>
    <w:rsid w:val="000F06D6"/>
    <w:rsid w:val="000F0EB1"/>
    <w:rsid w:val="000F1106"/>
    <w:rsid w:val="000F1B3D"/>
    <w:rsid w:val="000F3BE9"/>
    <w:rsid w:val="000F3F6C"/>
    <w:rsid w:val="000F6DF3"/>
    <w:rsid w:val="000F714F"/>
    <w:rsid w:val="001005FF"/>
    <w:rsid w:val="001038B1"/>
    <w:rsid w:val="001062FB"/>
    <w:rsid w:val="001063E6"/>
    <w:rsid w:val="001066FF"/>
    <w:rsid w:val="00106D1F"/>
    <w:rsid w:val="001070A5"/>
    <w:rsid w:val="0011173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49B"/>
    <w:rsid w:val="00132FD0"/>
    <w:rsid w:val="001344C0"/>
    <w:rsid w:val="001346FA"/>
    <w:rsid w:val="00135252"/>
    <w:rsid w:val="00137AB5"/>
    <w:rsid w:val="00137F0B"/>
    <w:rsid w:val="00142D72"/>
    <w:rsid w:val="00151E23"/>
    <w:rsid w:val="001521A7"/>
    <w:rsid w:val="001526E0"/>
    <w:rsid w:val="001551B5"/>
    <w:rsid w:val="001659C1"/>
    <w:rsid w:val="00171E02"/>
    <w:rsid w:val="00173A8E"/>
    <w:rsid w:val="00177795"/>
    <w:rsid w:val="0018143F"/>
    <w:rsid w:val="00183567"/>
    <w:rsid w:val="00190867"/>
    <w:rsid w:val="00190AC1"/>
    <w:rsid w:val="0019341A"/>
    <w:rsid w:val="00195026"/>
    <w:rsid w:val="001969BF"/>
    <w:rsid w:val="00197DF9"/>
    <w:rsid w:val="001A1987"/>
    <w:rsid w:val="001A2564"/>
    <w:rsid w:val="001A6173"/>
    <w:rsid w:val="001A6CBA"/>
    <w:rsid w:val="001B0D97"/>
    <w:rsid w:val="001B3F3E"/>
    <w:rsid w:val="001B53E6"/>
    <w:rsid w:val="001B5A5D"/>
    <w:rsid w:val="001C1CE5"/>
    <w:rsid w:val="001C3D2A"/>
    <w:rsid w:val="001D0A3B"/>
    <w:rsid w:val="001D51BA"/>
    <w:rsid w:val="001D6342"/>
    <w:rsid w:val="001D6D53"/>
    <w:rsid w:val="001D6FD0"/>
    <w:rsid w:val="001E58E2"/>
    <w:rsid w:val="001E7AED"/>
    <w:rsid w:val="001F3916"/>
    <w:rsid w:val="001F3F75"/>
    <w:rsid w:val="001F4913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FFE"/>
    <w:rsid w:val="00215423"/>
    <w:rsid w:val="002158FA"/>
    <w:rsid w:val="002200C5"/>
    <w:rsid w:val="0022022F"/>
    <w:rsid w:val="00220600"/>
    <w:rsid w:val="002224DB"/>
    <w:rsid w:val="00223FCB"/>
    <w:rsid w:val="0022498B"/>
    <w:rsid w:val="002252C3"/>
    <w:rsid w:val="00225C54"/>
    <w:rsid w:val="00230765"/>
    <w:rsid w:val="002319E4"/>
    <w:rsid w:val="00235632"/>
    <w:rsid w:val="00235872"/>
    <w:rsid w:val="00241559"/>
    <w:rsid w:val="00241BEF"/>
    <w:rsid w:val="002435B3"/>
    <w:rsid w:val="002458EB"/>
    <w:rsid w:val="002500C8"/>
    <w:rsid w:val="00251CC2"/>
    <w:rsid w:val="00257543"/>
    <w:rsid w:val="002617E7"/>
    <w:rsid w:val="00264228"/>
    <w:rsid w:val="00264334"/>
    <w:rsid w:val="0026473E"/>
    <w:rsid w:val="00266214"/>
    <w:rsid w:val="00267C83"/>
    <w:rsid w:val="0027144F"/>
    <w:rsid w:val="00271EB5"/>
    <w:rsid w:val="00271F3A"/>
    <w:rsid w:val="00273278"/>
    <w:rsid w:val="002737F4"/>
    <w:rsid w:val="00273BB3"/>
    <w:rsid w:val="002750C5"/>
    <w:rsid w:val="002805F5"/>
    <w:rsid w:val="00280751"/>
    <w:rsid w:val="00280FF0"/>
    <w:rsid w:val="0028280A"/>
    <w:rsid w:val="002831C5"/>
    <w:rsid w:val="00283EC8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584"/>
    <w:rsid w:val="002B24D6"/>
    <w:rsid w:val="002C41E6"/>
    <w:rsid w:val="002C4A87"/>
    <w:rsid w:val="002C5AF3"/>
    <w:rsid w:val="002C5BA4"/>
    <w:rsid w:val="002D071A"/>
    <w:rsid w:val="002D0E2C"/>
    <w:rsid w:val="002D112A"/>
    <w:rsid w:val="002D34B2"/>
    <w:rsid w:val="002D7063"/>
    <w:rsid w:val="002D7637"/>
    <w:rsid w:val="002D7756"/>
    <w:rsid w:val="002E17F2"/>
    <w:rsid w:val="002E7CAE"/>
    <w:rsid w:val="002F2771"/>
    <w:rsid w:val="002F30C5"/>
    <w:rsid w:val="002F37A9"/>
    <w:rsid w:val="00301CE6"/>
    <w:rsid w:val="0030256B"/>
    <w:rsid w:val="0030501F"/>
    <w:rsid w:val="00307BA1"/>
    <w:rsid w:val="00311702"/>
    <w:rsid w:val="00311718"/>
    <w:rsid w:val="00311E82"/>
    <w:rsid w:val="003138B2"/>
    <w:rsid w:val="00313FD6"/>
    <w:rsid w:val="003143BD"/>
    <w:rsid w:val="003203ED"/>
    <w:rsid w:val="00320889"/>
    <w:rsid w:val="00322C9F"/>
    <w:rsid w:val="00324D23"/>
    <w:rsid w:val="00331751"/>
    <w:rsid w:val="00334579"/>
    <w:rsid w:val="00335858"/>
    <w:rsid w:val="00336BDA"/>
    <w:rsid w:val="00342BD7"/>
    <w:rsid w:val="00343A07"/>
    <w:rsid w:val="00345BF0"/>
    <w:rsid w:val="00346DB5"/>
    <w:rsid w:val="003477B1"/>
    <w:rsid w:val="00357380"/>
    <w:rsid w:val="003574D5"/>
    <w:rsid w:val="003602D9"/>
    <w:rsid w:val="003604CE"/>
    <w:rsid w:val="00370E47"/>
    <w:rsid w:val="003742AC"/>
    <w:rsid w:val="00377CE1"/>
    <w:rsid w:val="00385BF0"/>
    <w:rsid w:val="003917B8"/>
    <w:rsid w:val="003939FF"/>
    <w:rsid w:val="003A2223"/>
    <w:rsid w:val="003A2A0F"/>
    <w:rsid w:val="003A45A1"/>
    <w:rsid w:val="003A5B0A"/>
    <w:rsid w:val="003A6BAC"/>
    <w:rsid w:val="003A7226"/>
    <w:rsid w:val="003A7EF3"/>
    <w:rsid w:val="003B159C"/>
    <w:rsid w:val="003B369F"/>
    <w:rsid w:val="003B36A3"/>
    <w:rsid w:val="003B5A95"/>
    <w:rsid w:val="003B7FE5"/>
    <w:rsid w:val="003C11C8"/>
    <w:rsid w:val="003C2702"/>
    <w:rsid w:val="003C34B1"/>
    <w:rsid w:val="003C7806"/>
    <w:rsid w:val="003C789E"/>
    <w:rsid w:val="003D109F"/>
    <w:rsid w:val="003D2478"/>
    <w:rsid w:val="003D3C45"/>
    <w:rsid w:val="003D5B1F"/>
    <w:rsid w:val="003E15FA"/>
    <w:rsid w:val="003E55E4"/>
    <w:rsid w:val="003E74E3"/>
    <w:rsid w:val="003F05C7"/>
    <w:rsid w:val="003F13BD"/>
    <w:rsid w:val="003F2CD4"/>
    <w:rsid w:val="003F55A9"/>
    <w:rsid w:val="003F6BBE"/>
    <w:rsid w:val="004000E8"/>
    <w:rsid w:val="00402E2B"/>
    <w:rsid w:val="004036CD"/>
    <w:rsid w:val="0040512B"/>
    <w:rsid w:val="00405CA5"/>
    <w:rsid w:val="00407CD3"/>
    <w:rsid w:val="00410134"/>
    <w:rsid w:val="00410B72"/>
    <w:rsid w:val="00410F18"/>
    <w:rsid w:val="0041263E"/>
    <w:rsid w:val="00413AAC"/>
    <w:rsid w:val="004140D0"/>
    <w:rsid w:val="00417960"/>
    <w:rsid w:val="0042083A"/>
    <w:rsid w:val="00421105"/>
    <w:rsid w:val="004242F4"/>
    <w:rsid w:val="00427248"/>
    <w:rsid w:val="0043215B"/>
    <w:rsid w:val="00436840"/>
    <w:rsid w:val="00437447"/>
    <w:rsid w:val="00441A92"/>
    <w:rsid w:val="00444F56"/>
    <w:rsid w:val="00446488"/>
    <w:rsid w:val="00446E83"/>
    <w:rsid w:val="00447EE7"/>
    <w:rsid w:val="004517AA"/>
    <w:rsid w:val="00452CAC"/>
    <w:rsid w:val="00457565"/>
    <w:rsid w:val="00457A9E"/>
    <w:rsid w:val="00457AD0"/>
    <w:rsid w:val="00457B71"/>
    <w:rsid w:val="004669E2"/>
    <w:rsid w:val="00470C31"/>
    <w:rsid w:val="004734D0"/>
    <w:rsid w:val="00474C80"/>
    <w:rsid w:val="0047556B"/>
    <w:rsid w:val="00477768"/>
    <w:rsid w:val="0048389B"/>
    <w:rsid w:val="00485D70"/>
    <w:rsid w:val="00490E07"/>
    <w:rsid w:val="00492BC5"/>
    <w:rsid w:val="004964F1"/>
    <w:rsid w:val="004A16BC"/>
    <w:rsid w:val="004A2B94"/>
    <w:rsid w:val="004A3041"/>
    <w:rsid w:val="004B67E2"/>
    <w:rsid w:val="004B7C0C"/>
    <w:rsid w:val="004C3898"/>
    <w:rsid w:val="004C7E06"/>
    <w:rsid w:val="004D36B1"/>
    <w:rsid w:val="004D5AB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87C"/>
    <w:rsid w:val="005108D8"/>
    <w:rsid w:val="005116F9"/>
    <w:rsid w:val="00511745"/>
    <w:rsid w:val="00514C16"/>
    <w:rsid w:val="005153A7"/>
    <w:rsid w:val="005219CF"/>
    <w:rsid w:val="00522329"/>
    <w:rsid w:val="005347F8"/>
    <w:rsid w:val="00534B59"/>
    <w:rsid w:val="00534E50"/>
    <w:rsid w:val="00536759"/>
    <w:rsid w:val="00537C62"/>
    <w:rsid w:val="00546970"/>
    <w:rsid w:val="0054735C"/>
    <w:rsid w:val="00547F4D"/>
    <w:rsid w:val="00550419"/>
    <w:rsid w:val="0055044A"/>
    <w:rsid w:val="0055275D"/>
    <w:rsid w:val="00554E19"/>
    <w:rsid w:val="00557E3D"/>
    <w:rsid w:val="0056121F"/>
    <w:rsid w:val="00567345"/>
    <w:rsid w:val="00572505"/>
    <w:rsid w:val="005731D4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848"/>
    <w:rsid w:val="005B6F83"/>
    <w:rsid w:val="005C1064"/>
    <w:rsid w:val="005C4BFA"/>
    <w:rsid w:val="005C74FB"/>
    <w:rsid w:val="005D1362"/>
    <w:rsid w:val="005D1602"/>
    <w:rsid w:val="005D5575"/>
    <w:rsid w:val="005D669B"/>
    <w:rsid w:val="005E1858"/>
    <w:rsid w:val="005E385F"/>
    <w:rsid w:val="005E5B81"/>
    <w:rsid w:val="005E6744"/>
    <w:rsid w:val="005F03E0"/>
    <w:rsid w:val="005F2CB1"/>
    <w:rsid w:val="005F2EDB"/>
    <w:rsid w:val="005F3025"/>
    <w:rsid w:val="005F5761"/>
    <w:rsid w:val="005F618C"/>
    <w:rsid w:val="005F665D"/>
    <w:rsid w:val="005F70BD"/>
    <w:rsid w:val="0060283C"/>
    <w:rsid w:val="00604F14"/>
    <w:rsid w:val="00607F3B"/>
    <w:rsid w:val="00611B83"/>
    <w:rsid w:val="00613257"/>
    <w:rsid w:val="006144B7"/>
    <w:rsid w:val="00620A71"/>
    <w:rsid w:val="00620D80"/>
    <w:rsid w:val="006212A9"/>
    <w:rsid w:val="00621B5E"/>
    <w:rsid w:val="0062239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BCE"/>
    <w:rsid w:val="00650AB9"/>
    <w:rsid w:val="006527F7"/>
    <w:rsid w:val="00654500"/>
    <w:rsid w:val="00655733"/>
    <w:rsid w:val="00655ACD"/>
    <w:rsid w:val="00656A92"/>
    <w:rsid w:val="00656DDE"/>
    <w:rsid w:val="0066011D"/>
    <w:rsid w:val="006607C0"/>
    <w:rsid w:val="006613A6"/>
    <w:rsid w:val="0066167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AF2"/>
    <w:rsid w:val="00693D73"/>
    <w:rsid w:val="00695FC2"/>
    <w:rsid w:val="00696949"/>
    <w:rsid w:val="00697052"/>
    <w:rsid w:val="00697AE1"/>
    <w:rsid w:val="006A1D0D"/>
    <w:rsid w:val="006A2244"/>
    <w:rsid w:val="006A46FB"/>
    <w:rsid w:val="006A4C00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C772F"/>
    <w:rsid w:val="006D41AA"/>
    <w:rsid w:val="006D6F08"/>
    <w:rsid w:val="006E062C"/>
    <w:rsid w:val="006E28B7"/>
    <w:rsid w:val="006E3310"/>
    <w:rsid w:val="006E4CB7"/>
    <w:rsid w:val="006E4E39"/>
    <w:rsid w:val="006E5274"/>
    <w:rsid w:val="006E565E"/>
    <w:rsid w:val="006E673D"/>
    <w:rsid w:val="006E7D3B"/>
    <w:rsid w:val="006F0449"/>
    <w:rsid w:val="006F1B70"/>
    <w:rsid w:val="006F341D"/>
    <w:rsid w:val="006F3CDE"/>
    <w:rsid w:val="006F58D4"/>
    <w:rsid w:val="006F656C"/>
    <w:rsid w:val="00700A1B"/>
    <w:rsid w:val="0070346E"/>
    <w:rsid w:val="00704EDB"/>
    <w:rsid w:val="00706101"/>
    <w:rsid w:val="00706817"/>
    <w:rsid w:val="00707072"/>
    <w:rsid w:val="00707D61"/>
    <w:rsid w:val="00710DED"/>
    <w:rsid w:val="00712287"/>
    <w:rsid w:val="00712772"/>
    <w:rsid w:val="007148D3"/>
    <w:rsid w:val="00715B9A"/>
    <w:rsid w:val="00726C82"/>
    <w:rsid w:val="00726EA6"/>
    <w:rsid w:val="00727208"/>
    <w:rsid w:val="00727680"/>
    <w:rsid w:val="00732461"/>
    <w:rsid w:val="00732673"/>
    <w:rsid w:val="00733DAF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F31"/>
    <w:rsid w:val="00765281"/>
    <w:rsid w:val="00766BAD"/>
    <w:rsid w:val="007730BD"/>
    <w:rsid w:val="007755F2"/>
    <w:rsid w:val="00776971"/>
    <w:rsid w:val="00777B22"/>
    <w:rsid w:val="0078177E"/>
    <w:rsid w:val="0078304C"/>
    <w:rsid w:val="00783673"/>
    <w:rsid w:val="007840E0"/>
    <w:rsid w:val="00785490"/>
    <w:rsid w:val="00787706"/>
    <w:rsid w:val="00791B5F"/>
    <w:rsid w:val="007925EA"/>
    <w:rsid w:val="007931A2"/>
    <w:rsid w:val="00793CD8"/>
    <w:rsid w:val="00795B0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971"/>
    <w:rsid w:val="007C05DD"/>
    <w:rsid w:val="007C3D18"/>
    <w:rsid w:val="007C3EC3"/>
    <w:rsid w:val="007C60BF"/>
    <w:rsid w:val="007C6A07"/>
    <w:rsid w:val="007C75A1"/>
    <w:rsid w:val="007C77A5"/>
    <w:rsid w:val="007C77D7"/>
    <w:rsid w:val="007D04E5"/>
    <w:rsid w:val="007D2494"/>
    <w:rsid w:val="007D3642"/>
    <w:rsid w:val="007D5901"/>
    <w:rsid w:val="007D7526"/>
    <w:rsid w:val="007E4257"/>
    <w:rsid w:val="007E4610"/>
    <w:rsid w:val="007E4715"/>
    <w:rsid w:val="007E505B"/>
    <w:rsid w:val="007E7091"/>
    <w:rsid w:val="007F2A8C"/>
    <w:rsid w:val="00803FAE"/>
    <w:rsid w:val="0080605F"/>
    <w:rsid w:val="00807786"/>
    <w:rsid w:val="00811FCB"/>
    <w:rsid w:val="008154AC"/>
    <w:rsid w:val="008158D6"/>
    <w:rsid w:val="00815E0B"/>
    <w:rsid w:val="00817196"/>
    <w:rsid w:val="008235DB"/>
    <w:rsid w:val="00824AB4"/>
    <w:rsid w:val="008256C1"/>
    <w:rsid w:val="00825C42"/>
    <w:rsid w:val="00825D25"/>
    <w:rsid w:val="00827D6F"/>
    <w:rsid w:val="00830137"/>
    <w:rsid w:val="00832115"/>
    <w:rsid w:val="00833A4B"/>
    <w:rsid w:val="008376AC"/>
    <w:rsid w:val="008444E8"/>
    <w:rsid w:val="00844E80"/>
    <w:rsid w:val="00846FE7"/>
    <w:rsid w:val="00856911"/>
    <w:rsid w:val="00856CCE"/>
    <w:rsid w:val="0086041A"/>
    <w:rsid w:val="0086496E"/>
    <w:rsid w:val="008677FD"/>
    <w:rsid w:val="00870519"/>
    <w:rsid w:val="008706D4"/>
    <w:rsid w:val="00870F8A"/>
    <w:rsid w:val="008719A4"/>
    <w:rsid w:val="00871D23"/>
    <w:rsid w:val="0087214B"/>
    <w:rsid w:val="00874312"/>
    <w:rsid w:val="0087437C"/>
    <w:rsid w:val="00875CD7"/>
    <w:rsid w:val="00876B4D"/>
    <w:rsid w:val="00877F18"/>
    <w:rsid w:val="00886AA4"/>
    <w:rsid w:val="008916F4"/>
    <w:rsid w:val="0089261D"/>
    <w:rsid w:val="00894A88"/>
    <w:rsid w:val="00895386"/>
    <w:rsid w:val="00895F07"/>
    <w:rsid w:val="008A040F"/>
    <w:rsid w:val="008A08A2"/>
    <w:rsid w:val="008A1436"/>
    <w:rsid w:val="008A21FF"/>
    <w:rsid w:val="008A2CE2"/>
    <w:rsid w:val="008A30AC"/>
    <w:rsid w:val="008A3CB1"/>
    <w:rsid w:val="008A3D0A"/>
    <w:rsid w:val="008A44B8"/>
    <w:rsid w:val="008A51A8"/>
    <w:rsid w:val="008A532C"/>
    <w:rsid w:val="008A54C7"/>
    <w:rsid w:val="008A73D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F19"/>
    <w:rsid w:val="008F13FF"/>
    <w:rsid w:val="008F1EAB"/>
    <w:rsid w:val="008F2706"/>
    <w:rsid w:val="008F33DC"/>
    <w:rsid w:val="008F477F"/>
    <w:rsid w:val="008F6CB2"/>
    <w:rsid w:val="008F71C9"/>
    <w:rsid w:val="00902350"/>
    <w:rsid w:val="0090336B"/>
    <w:rsid w:val="009053AA"/>
    <w:rsid w:val="00906939"/>
    <w:rsid w:val="00910B7D"/>
    <w:rsid w:val="00911DFB"/>
    <w:rsid w:val="0091378E"/>
    <w:rsid w:val="009139D9"/>
    <w:rsid w:val="00914528"/>
    <w:rsid w:val="00914AD8"/>
    <w:rsid w:val="00916079"/>
    <w:rsid w:val="00917CE9"/>
    <w:rsid w:val="00920023"/>
    <w:rsid w:val="00920BF2"/>
    <w:rsid w:val="00922010"/>
    <w:rsid w:val="00931BD9"/>
    <w:rsid w:val="009324D0"/>
    <w:rsid w:val="009368F3"/>
    <w:rsid w:val="00941636"/>
    <w:rsid w:val="00943742"/>
    <w:rsid w:val="00945C05"/>
    <w:rsid w:val="009463B0"/>
    <w:rsid w:val="00946945"/>
    <w:rsid w:val="00947713"/>
    <w:rsid w:val="00950DE7"/>
    <w:rsid w:val="00953920"/>
    <w:rsid w:val="00953D47"/>
    <w:rsid w:val="0095681E"/>
    <w:rsid w:val="009572D4"/>
    <w:rsid w:val="00961921"/>
    <w:rsid w:val="00962558"/>
    <w:rsid w:val="0096430A"/>
    <w:rsid w:val="0096554B"/>
    <w:rsid w:val="0096584A"/>
    <w:rsid w:val="00971F08"/>
    <w:rsid w:val="009720BC"/>
    <w:rsid w:val="0097603D"/>
    <w:rsid w:val="009767D4"/>
    <w:rsid w:val="00976949"/>
    <w:rsid w:val="00980477"/>
    <w:rsid w:val="00981ABF"/>
    <w:rsid w:val="00985253"/>
    <w:rsid w:val="009853B3"/>
    <w:rsid w:val="00990630"/>
    <w:rsid w:val="009914A5"/>
    <w:rsid w:val="00991761"/>
    <w:rsid w:val="00992006"/>
    <w:rsid w:val="00994DCA"/>
    <w:rsid w:val="009960EC"/>
    <w:rsid w:val="009961C2"/>
    <w:rsid w:val="009970DD"/>
    <w:rsid w:val="009A0FBA"/>
    <w:rsid w:val="009A1601"/>
    <w:rsid w:val="009A41A5"/>
    <w:rsid w:val="009A462D"/>
    <w:rsid w:val="009A4D86"/>
    <w:rsid w:val="009A5CBA"/>
    <w:rsid w:val="009B130D"/>
    <w:rsid w:val="009B1F30"/>
    <w:rsid w:val="009B3AC2"/>
    <w:rsid w:val="009B4DF4"/>
    <w:rsid w:val="009B564E"/>
    <w:rsid w:val="009B64E5"/>
    <w:rsid w:val="009B6E1D"/>
    <w:rsid w:val="009B7E87"/>
    <w:rsid w:val="009C403E"/>
    <w:rsid w:val="009C40F2"/>
    <w:rsid w:val="009D125F"/>
    <w:rsid w:val="009D4FF0"/>
    <w:rsid w:val="009D703C"/>
    <w:rsid w:val="009D718F"/>
    <w:rsid w:val="009E068F"/>
    <w:rsid w:val="009E14E0"/>
    <w:rsid w:val="009E35DB"/>
    <w:rsid w:val="009E3CE4"/>
    <w:rsid w:val="009E47A3"/>
    <w:rsid w:val="009F08F3"/>
    <w:rsid w:val="009F344F"/>
    <w:rsid w:val="00A048A8"/>
    <w:rsid w:val="00A04F49"/>
    <w:rsid w:val="00A06FE6"/>
    <w:rsid w:val="00A10A11"/>
    <w:rsid w:val="00A13E54"/>
    <w:rsid w:val="00A17F63"/>
    <w:rsid w:val="00A2193B"/>
    <w:rsid w:val="00A226F6"/>
    <w:rsid w:val="00A228CF"/>
    <w:rsid w:val="00A2351A"/>
    <w:rsid w:val="00A264A9"/>
    <w:rsid w:val="00A27785"/>
    <w:rsid w:val="00A27D31"/>
    <w:rsid w:val="00A30187"/>
    <w:rsid w:val="00A3448A"/>
    <w:rsid w:val="00A36297"/>
    <w:rsid w:val="00A41E2B"/>
    <w:rsid w:val="00A4584C"/>
    <w:rsid w:val="00A45B74"/>
    <w:rsid w:val="00A52E1D"/>
    <w:rsid w:val="00A568D6"/>
    <w:rsid w:val="00A5767A"/>
    <w:rsid w:val="00A61499"/>
    <w:rsid w:val="00A62A77"/>
    <w:rsid w:val="00A63483"/>
    <w:rsid w:val="00A657D7"/>
    <w:rsid w:val="00A660AC"/>
    <w:rsid w:val="00A67E6C"/>
    <w:rsid w:val="00A70747"/>
    <w:rsid w:val="00A7116E"/>
    <w:rsid w:val="00A71B99"/>
    <w:rsid w:val="00A739D0"/>
    <w:rsid w:val="00A761D4"/>
    <w:rsid w:val="00A77EC4"/>
    <w:rsid w:val="00A8028D"/>
    <w:rsid w:val="00A92879"/>
    <w:rsid w:val="00A9442A"/>
    <w:rsid w:val="00AA016F"/>
    <w:rsid w:val="00AA1ED6"/>
    <w:rsid w:val="00AA51D6"/>
    <w:rsid w:val="00AA5F7A"/>
    <w:rsid w:val="00AB0BC8"/>
    <w:rsid w:val="00AB0D32"/>
    <w:rsid w:val="00AB11CA"/>
    <w:rsid w:val="00AB14D9"/>
    <w:rsid w:val="00AB4AB8"/>
    <w:rsid w:val="00AB655E"/>
    <w:rsid w:val="00AB6867"/>
    <w:rsid w:val="00AC007F"/>
    <w:rsid w:val="00AC2ECD"/>
    <w:rsid w:val="00AC3119"/>
    <w:rsid w:val="00AC49FB"/>
    <w:rsid w:val="00AC557E"/>
    <w:rsid w:val="00AC5A10"/>
    <w:rsid w:val="00AC5D70"/>
    <w:rsid w:val="00AD0AA3"/>
    <w:rsid w:val="00AD3F94"/>
    <w:rsid w:val="00AD4A5A"/>
    <w:rsid w:val="00AE27AC"/>
    <w:rsid w:val="00AE2834"/>
    <w:rsid w:val="00AE30AC"/>
    <w:rsid w:val="00AE40E0"/>
    <w:rsid w:val="00AE4DBA"/>
    <w:rsid w:val="00AE4F07"/>
    <w:rsid w:val="00AF1C5D"/>
    <w:rsid w:val="00AF42D7"/>
    <w:rsid w:val="00AF70AA"/>
    <w:rsid w:val="00AF7E42"/>
    <w:rsid w:val="00B006FE"/>
    <w:rsid w:val="00B007CB"/>
    <w:rsid w:val="00B02AA9"/>
    <w:rsid w:val="00B02FA3"/>
    <w:rsid w:val="00B041A3"/>
    <w:rsid w:val="00B05084"/>
    <w:rsid w:val="00B06E73"/>
    <w:rsid w:val="00B14C4F"/>
    <w:rsid w:val="00B157F9"/>
    <w:rsid w:val="00B20256"/>
    <w:rsid w:val="00B20D09"/>
    <w:rsid w:val="00B21F4B"/>
    <w:rsid w:val="00B2763F"/>
    <w:rsid w:val="00B27AAC"/>
    <w:rsid w:val="00B304F3"/>
    <w:rsid w:val="00B307FF"/>
    <w:rsid w:val="00B30929"/>
    <w:rsid w:val="00B372AA"/>
    <w:rsid w:val="00B40445"/>
    <w:rsid w:val="00B40BEF"/>
    <w:rsid w:val="00B41888"/>
    <w:rsid w:val="00B41A11"/>
    <w:rsid w:val="00B45A52"/>
    <w:rsid w:val="00B46175"/>
    <w:rsid w:val="00B6188F"/>
    <w:rsid w:val="00B61DE0"/>
    <w:rsid w:val="00B625FC"/>
    <w:rsid w:val="00B664C7"/>
    <w:rsid w:val="00B671B8"/>
    <w:rsid w:val="00B739F6"/>
    <w:rsid w:val="00B774F4"/>
    <w:rsid w:val="00B81A6C"/>
    <w:rsid w:val="00B85DE5"/>
    <w:rsid w:val="00B90F73"/>
    <w:rsid w:val="00B93B59"/>
    <w:rsid w:val="00B9406A"/>
    <w:rsid w:val="00B97752"/>
    <w:rsid w:val="00BA2280"/>
    <w:rsid w:val="00BA23B9"/>
    <w:rsid w:val="00BA2A08"/>
    <w:rsid w:val="00BA40B1"/>
    <w:rsid w:val="00BA4105"/>
    <w:rsid w:val="00BA56D2"/>
    <w:rsid w:val="00BA76E0"/>
    <w:rsid w:val="00BB2A25"/>
    <w:rsid w:val="00BB51E9"/>
    <w:rsid w:val="00BC0FDC"/>
    <w:rsid w:val="00BC3053"/>
    <w:rsid w:val="00BC4D2E"/>
    <w:rsid w:val="00BC7E89"/>
    <w:rsid w:val="00BD34A6"/>
    <w:rsid w:val="00BD48AC"/>
    <w:rsid w:val="00BD5F1A"/>
    <w:rsid w:val="00BE1234"/>
    <w:rsid w:val="00BE2FA6"/>
    <w:rsid w:val="00BE333F"/>
    <w:rsid w:val="00BE7406"/>
    <w:rsid w:val="00BE7603"/>
    <w:rsid w:val="00BF0E0E"/>
    <w:rsid w:val="00BF2C56"/>
    <w:rsid w:val="00BF3279"/>
    <w:rsid w:val="00BF6D4E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764"/>
    <w:rsid w:val="00C10478"/>
    <w:rsid w:val="00C12107"/>
    <w:rsid w:val="00C14D4B"/>
    <w:rsid w:val="00C154BB"/>
    <w:rsid w:val="00C279B5"/>
    <w:rsid w:val="00C27C45"/>
    <w:rsid w:val="00C27F7F"/>
    <w:rsid w:val="00C311A6"/>
    <w:rsid w:val="00C34923"/>
    <w:rsid w:val="00C3719D"/>
    <w:rsid w:val="00C5115C"/>
    <w:rsid w:val="00C518E6"/>
    <w:rsid w:val="00C52149"/>
    <w:rsid w:val="00C54995"/>
    <w:rsid w:val="00C54D41"/>
    <w:rsid w:val="00C558B3"/>
    <w:rsid w:val="00C55D14"/>
    <w:rsid w:val="00C56633"/>
    <w:rsid w:val="00C60783"/>
    <w:rsid w:val="00C64672"/>
    <w:rsid w:val="00C70697"/>
    <w:rsid w:val="00C72EF4"/>
    <w:rsid w:val="00C75D2F"/>
    <w:rsid w:val="00C767BE"/>
    <w:rsid w:val="00C76E3C"/>
    <w:rsid w:val="00C8020A"/>
    <w:rsid w:val="00C80DBA"/>
    <w:rsid w:val="00C812B1"/>
    <w:rsid w:val="00C81568"/>
    <w:rsid w:val="00C9027A"/>
    <w:rsid w:val="00C9068E"/>
    <w:rsid w:val="00C93C4B"/>
    <w:rsid w:val="00C944AB"/>
    <w:rsid w:val="00C959A9"/>
    <w:rsid w:val="00C95B40"/>
    <w:rsid w:val="00CA1ED8"/>
    <w:rsid w:val="00CB0F78"/>
    <w:rsid w:val="00CB1F63"/>
    <w:rsid w:val="00CB7170"/>
    <w:rsid w:val="00CC040E"/>
    <w:rsid w:val="00CC111F"/>
    <w:rsid w:val="00CC2011"/>
    <w:rsid w:val="00CC3EA0"/>
    <w:rsid w:val="00CC7B45"/>
    <w:rsid w:val="00CD1130"/>
    <w:rsid w:val="00CD1188"/>
    <w:rsid w:val="00CD2ED1"/>
    <w:rsid w:val="00CD337B"/>
    <w:rsid w:val="00CE0424"/>
    <w:rsid w:val="00CE2BFA"/>
    <w:rsid w:val="00CE7561"/>
    <w:rsid w:val="00CF1354"/>
    <w:rsid w:val="00CF2144"/>
    <w:rsid w:val="00CF3B1F"/>
    <w:rsid w:val="00CF3BF6"/>
    <w:rsid w:val="00CF625B"/>
    <w:rsid w:val="00CF687E"/>
    <w:rsid w:val="00D026D4"/>
    <w:rsid w:val="00D0349B"/>
    <w:rsid w:val="00D10249"/>
    <w:rsid w:val="00D115C3"/>
    <w:rsid w:val="00D11897"/>
    <w:rsid w:val="00D13135"/>
    <w:rsid w:val="00D13E4E"/>
    <w:rsid w:val="00D239A7"/>
    <w:rsid w:val="00D23F47"/>
    <w:rsid w:val="00D2466D"/>
    <w:rsid w:val="00D25572"/>
    <w:rsid w:val="00D271B1"/>
    <w:rsid w:val="00D31739"/>
    <w:rsid w:val="00D318DE"/>
    <w:rsid w:val="00D322AB"/>
    <w:rsid w:val="00D324BB"/>
    <w:rsid w:val="00D33875"/>
    <w:rsid w:val="00D36E71"/>
    <w:rsid w:val="00D37D87"/>
    <w:rsid w:val="00D40B33"/>
    <w:rsid w:val="00D4318F"/>
    <w:rsid w:val="00D438BF"/>
    <w:rsid w:val="00D440F8"/>
    <w:rsid w:val="00D45318"/>
    <w:rsid w:val="00D50F97"/>
    <w:rsid w:val="00D546FF"/>
    <w:rsid w:val="00D55AD5"/>
    <w:rsid w:val="00D576CA"/>
    <w:rsid w:val="00D61AF5"/>
    <w:rsid w:val="00D652B5"/>
    <w:rsid w:val="00D66155"/>
    <w:rsid w:val="00D708B0"/>
    <w:rsid w:val="00D715CD"/>
    <w:rsid w:val="00D74320"/>
    <w:rsid w:val="00D77B1D"/>
    <w:rsid w:val="00D8021F"/>
    <w:rsid w:val="00D80383"/>
    <w:rsid w:val="00D823C6"/>
    <w:rsid w:val="00D86CA3"/>
    <w:rsid w:val="00D871CE"/>
    <w:rsid w:val="00D91066"/>
    <w:rsid w:val="00D9196D"/>
    <w:rsid w:val="00D92982"/>
    <w:rsid w:val="00D92B50"/>
    <w:rsid w:val="00DA0C55"/>
    <w:rsid w:val="00DA0FAC"/>
    <w:rsid w:val="00DA305E"/>
    <w:rsid w:val="00DA5417"/>
    <w:rsid w:val="00DA56E8"/>
    <w:rsid w:val="00DB0A9F"/>
    <w:rsid w:val="00DB377D"/>
    <w:rsid w:val="00DB6AA7"/>
    <w:rsid w:val="00DB76BF"/>
    <w:rsid w:val="00DC2D36"/>
    <w:rsid w:val="00DC53EF"/>
    <w:rsid w:val="00DC736F"/>
    <w:rsid w:val="00DD1373"/>
    <w:rsid w:val="00DD6EF3"/>
    <w:rsid w:val="00DE44B6"/>
    <w:rsid w:val="00DE48AA"/>
    <w:rsid w:val="00DE5608"/>
    <w:rsid w:val="00DE58D0"/>
    <w:rsid w:val="00DE654F"/>
    <w:rsid w:val="00DF019E"/>
    <w:rsid w:val="00DF0B6E"/>
    <w:rsid w:val="00DF15E0"/>
    <w:rsid w:val="00DF37A0"/>
    <w:rsid w:val="00DF71A0"/>
    <w:rsid w:val="00E110E7"/>
    <w:rsid w:val="00E11B20"/>
    <w:rsid w:val="00E14D9A"/>
    <w:rsid w:val="00E17FA2"/>
    <w:rsid w:val="00E22330"/>
    <w:rsid w:val="00E275BF"/>
    <w:rsid w:val="00E2771D"/>
    <w:rsid w:val="00E30B5A"/>
    <w:rsid w:val="00E3123D"/>
    <w:rsid w:val="00E31461"/>
    <w:rsid w:val="00E31D43"/>
    <w:rsid w:val="00E32608"/>
    <w:rsid w:val="00E34188"/>
    <w:rsid w:val="00E344F7"/>
    <w:rsid w:val="00E34B6E"/>
    <w:rsid w:val="00E34C43"/>
    <w:rsid w:val="00E35559"/>
    <w:rsid w:val="00E3723A"/>
    <w:rsid w:val="00E37860"/>
    <w:rsid w:val="00E446F1"/>
    <w:rsid w:val="00E461DD"/>
    <w:rsid w:val="00E46886"/>
    <w:rsid w:val="00E47AEF"/>
    <w:rsid w:val="00E53B75"/>
    <w:rsid w:val="00E54E3B"/>
    <w:rsid w:val="00E57565"/>
    <w:rsid w:val="00E602BE"/>
    <w:rsid w:val="00E63838"/>
    <w:rsid w:val="00E63F5F"/>
    <w:rsid w:val="00E64434"/>
    <w:rsid w:val="00E660D3"/>
    <w:rsid w:val="00E67C51"/>
    <w:rsid w:val="00E72EFC"/>
    <w:rsid w:val="00E75035"/>
    <w:rsid w:val="00E758EC"/>
    <w:rsid w:val="00E8234C"/>
    <w:rsid w:val="00E82786"/>
    <w:rsid w:val="00E83AA9"/>
    <w:rsid w:val="00E84B7A"/>
    <w:rsid w:val="00E85928"/>
    <w:rsid w:val="00E87822"/>
    <w:rsid w:val="00E90395"/>
    <w:rsid w:val="00E90672"/>
    <w:rsid w:val="00E90E49"/>
    <w:rsid w:val="00E917F9"/>
    <w:rsid w:val="00E9291C"/>
    <w:rsid w:val="00E93FFE"/>
    <w:rsid w:val="00E94F8A"/>
    <w:rsid w:val="00E95D55"/>
    <w:rsid w:val="00EA34F6"/>
    <w:rsid w:val="00EA7A41"/>
    <w:rsid w:val="00EB077B"/>
    <w:rsid w:val="00EB4EA2"/>
    <w:rsid w:val="00EC27C6"/>
    <w:rsid w:val="00EC4207"/>
    <w:rsid w:val="00EC4BE1"/>
    <w:rsid w:val="00EC5653"/>
    <w:rsid w:val="00EC5E2A"/>
    <w:rsid w:val="00EC71CE"/>
    <w:rsid w:val="00ED1006"/>
    <w:rsid w:val="00ED7579"/>
    <w:rsid w:val="00EE18CF"/>
    <w:rsid w:val="00EF18FE"/>
    <w:rsid w:val="00EF5421"/>
    <w:rsid w:val="00EF5787"/>
    <w:rsid w:val="00EF60D0"/>
    <w:rsid w:val="00EF66E8"/>
    <w:rsid w:val="00EF7E4E"/>
    <w:rsid w:val="00F03360"/>
    <w:rsid w:val="00F03EAD"/>
    <w:rsid w:val="00F0528D"/>
    <w:rsid w:val="00F06C67"/>
    <w:rsid w:val="00F06DFD"/>
    <w:rsid w:val="00F071D1"/>
    <w:rsid w:val="00F07533"/>
    <w:rsid w:val="00F10629"/>
    <w:rsid w:val="00F133E3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3389"/>
    <w:rsid w:val="00F607C5"/>
    <w:rsid w:val="00F60DEA"/>
    <w:rsid w:val="00F6302A"/>
    <w:rsid w:val="00F643AE"/>
    <w:rsid w:val="00F64C2B"/>
    <w:rsid w:val="00F6512C"/>
    <w:rsid w:val="00F651BE"/>
    <w:rsid w:val="00F67F53"/>
    <w:rsid w:val="00F703BE"/>
    <w:rsid w:val="00F71F69"/>
    <w:rsid w:val="00F72B72"/>
    <w:rsid w:val="00F74BB9"/>
    <w:rsid w:val="00F75582"/>
    <w:rsid w:val="00F76EFA"/>
    <w:rsid w:val="00F77414"/>
    <w:rsid w:val="00F804BE"/>
    <w:rsid w:val="00F817CE"/>
    <w:rsid w:val="00F8456C"/>
    <w:rsid w:val="00F85628"/>
    <w:rsid w:val="00F859D8"/>
    <w:rsid w:val="00F868F5"/>
    <w:rsid w:val="00F9056A"/>
    <w:rsid w:val="00F90F8D"/>
    <w:rsid w:val="00F91B3A"/>
    <w:rsid w:val="00F92782"/>
    <w:rsid w:val="00F93AA9"/>
    <w:rsid w:val="00F93FE0"/>
    <w:rsid w:val="00F946AE"/>
    <w:rsid w:val="00F96985"/>
    <w:rsid w:val="00F96DAC"/>
    <w:rsid w:val="00F97838"/>
    <w:rsid w:val="00FA1E12"/>
    <w:rsid w:val="00FA27DB"/>
    <w:rsid w:val="00FA28F0"/>
    <w:rsid w:val="00FA2BB3"/>
    <w:rsid w:val="00FB4C80"/>
    <w:rsid w:val="00FB6A6A"/>
    <w:rsid w:val="00FB6C58"/>
    <w:rsid w:val="00FC7429"/>
    <w:rsid w:val="00FD07F6"/>
    <w:rsid w:val="00FD1217"/>
    <w:rsid w:val="00FD1EC8"/>
    <w:rsid w:val="00FD47ED"/>
    <w:rsid w:val="00FD74DB"/>
    <w:rsid w:val="00FD7660"/>
    <w:rsid w:val="00FD79D1"/>
    <w:rsid w:val="00FD7FA8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docId w15:val="{7CCCD9DC-DD8C-4565-B7C5-DE294A03D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character" w:customStyle="1" w:styleId="maintextChar">
    <w:name w:val="main text Char"/>
    <w:basedOn w:val="DefaultParagraphFont"/>
    <w:link w:val="maintext"/>
    <w:locked/>
    <w:rsid w:val="008F13FF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8F13FF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val="en-US" w:eastAsia="ko-KR"/>
    </w:rPr>
  </w:style>
  <w:style w:type="paragraph" w:styleId="ListParagraph">
    <w:name w:val="List Paragraph"/>
    <w:basedOn w:val="Normal"/>
    <w:uiPriority w:val="34"/>
    <w:qFormat/>
    <w:rsid w:val="00992006"/>
    <w:pPr>
      <w:ind w:left="720"/>
      <w:contextualSpacing/>
    </w:pPr>
  </w:style>
  <w:style w:type="table" w:styleId="TableGrid">
    <w:name w:val="Table Grid"/>
    <w:basedOn w:val="TableNormal"/>
    <w:rsid w:val="00CE2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EF41338A-2C57-43DD-8B6D-104E0486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5459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TDoc; Ericsson; 3GPP</cp:keywords>
  <cp:lastModifiedBy>Erik Dahlman</cp:lastModifiedBy>
  <cp:revision>3</cp:revision>
  <cp:lastPrinted>2008-01-31T16:09:00Z</cp:lastPrinted>
  <dcterms:created xsi:type="dcterms:W3CDTF">2018-05-11T17:22:00Z</dcterms:created>
  <dcterms:modified xsi:type="dcterms:W3CDTF">2018-05-11T18:23:00Z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