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615B8" w14:textId="72312BDB" w:rsidR="001D334F" w:rsidRPr="00EE76A9" w:rsidRDefault="001D334F" w:rsidP="001D334F">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 xml:space="preserve">1 </w:t>
      </w:r>
      <w:r w:rsidR="00CE6191">
        <w:rPr>
          <w:noProof w:val="0"/>
          <w:sz w:val="24"/>
          <w:lang w:val="en-GB"/>
        </w:rPr>
        <w:t>meeting #93</w:t>
      </w:r>
      <w:r w:rsidRPr="007B7496">
        <w:rPr>
          <w:bCs/>
          <w:noProof w:val="0"/>
          <w:sz w:val="24"/>
          <w:lang w:val="en-GB"/>
        </w:rPr>
        <w:tab/>
      </w:r>
      <w:r w:rsidR="00EF7DA6" w:rsidRPr="00EF7DA6">
        <w:rPr>
          <w:bCs/>
          <w:noProof w:val="0"/>
          <w:sz w:val="24"/>
          <w:lang w:val="en-GB"/>
        </w:rPr>
        <w:t>R1-18</w:t>
      </w:r>
      <w:r w:rsidR="005338F9">
        <w:rPr>
          <w:bCs/>
          <w:noProof w:val="0"/>
          <w:sz w:val="24"/>
          <w:lang w:val="en-GB"/>
        </w:rPr>
        <w:t>0</w:t>
      </w:r>
      <w:r w:rsidR="00902C4F">
        <w:rPr>
          <w:bCs/>
          <w:noProof w:val="0"/>
          <w:sz w:val="24"/>
          <w:lang w:val="en-GB"/>
        </w:rPr>
        <w:t>7177</w:t>
      </w:r>
    </w:p>
    <w:p w14:paraId="61BFA34E" w14:textId="3F46CF91" w:rsidR="00632CC0" w:rsidRPr="006831BD" w:rsidRDefault="00CE6191" w:rsidP="00632CC0">
      <w:pPr>
        <w:pStyle w:val="Header"/>
        <w:tabs>
          <w:tab w:val="right" w:pos="9639"/>
        </w:tabs>
        <w:rPr>
          <w:noProof w:val="0"/>
          <w:sz w:val="24"/>
          <w:lang w:val="en-GB"/>
        </w:rPr>
      </w:pPr>
      <w:r>
        <w:rPr>
          <w:noProof w:val="0"/>
          <w:sz w:val="24"/>
          <w:lang w:val="en-GB"/>
        </w:rPr>
        <w:t>Busan</w:t>
      </w:r>
      <w:r w:rsidR="00D05E0C" w:rsidRPr="00D05E0C">
        <w:rPr>
          <w:noProof w:val="0"/>
          <w:sz w:val="24"/>
          <w:lang w:val="en-GB"/>
        </w:rPr>
        <w:t xml:space="preserve">, </w:t>
      </w:r>
      <w:r>
        <w:rPr>
          <w:noProof w:val="0"/>
          <w:sz w:val="24"/>
          <w:lang w:val="en-GB"/>
        </w:rPr>
        <w:t>Korea</w:t>
      </w:r>
      <w:r w:rsidR="00D05E0C" w:rsidRPr="00D05E0C">
        <w:rPr>
          <w:noProof w:val="0"/>
          <w:sz w:val="24"/>
          <w:lang w:val="en-GB"/>
        </w:rPr>
        <w:t xml:space="preserve">, </w:t>
      </w:r>
      <w:r>
        <w:rPr>
          <w:noProof w:val="0"/>
          <w:sz w:val="24"/>
          <w:lang w:val="en-GB"/>
        </w:rPr>
        <w:t>May</w:t>
      </w:r>
      <w:r w:rsidR="00D05E0C" w:rsidRPr="00D05E0C">
        <w:rPr>
          <w:noProof w:val="0"/>
          <w:sz w:val="24"/>
          <w:lang w:val="en-GB"/>
        </w:rPr>
        <w:t xml:space="preserve"> </w:t>
      </w:r>
      <w:r>
        <w:rPr>
          <w:noProof w:val="0"/>
          <w:sz w:val="24"/>
          <w:lang w:val="en-GB"/>
        </w:rPr>
        <w:t>21</w:t>
      </w:r>
      <w:r w:rsidRPr="00CE6191">
        <w:rPr>
          <w:noProof w:val="0"/>
          <w:sz w:val="24"/>
          <w:vertAlign w:val="superscript"/>
          <w:lang w:val="en-GB"/>
        </w:rPr>
        <w:t>st</w:t>
      </w:r>
      <w:r>
        <w:rPr>
          <w:noProof w:val="0"/>
          <w:sz w:val="24"/>
          <w:lang w:val="en-GB"/>
        </w:rPr>
        <w:t xml:space="preserve"> – 25</w:t>
      </w:r>
      <w:r w:rsidRPr="00CE6191">
        <w:rPr>
          <w:noProof w:val="0"/>
          <w:sz w:val="24"/>
          <w:vertAlign w:val="superscript"/>
          <w:lang w:val="en-GB"/>
        </w:rPr>
        <w:t>th</w:t>
      </w:r>
      <w:r w:rsidR="00D05E0C" w:rsidRPr="00D05E0C">
        <w:rPr>
          <w:noProof w:val="0"/>
          <w:sz w:val="24"/>
          <w:lang w:val="en-GB"/>
        </w:rPr>
        <w:t>, 2018</w:t>
      </w:r>
    </w:p>
    <w:p w14:paraId="565F1FBC" w14:textId="77777777" w:rsidR="00B56145" w:rsidRDefault="00B56145" w:rsidP="000C3073">
      <w:pPr>
        <w:pStyle w:val="CRCoverPage"/>
        <w:rPr>
          <w:sz w:val="24"/>
        </w:rPr>
      </w:pPr>
    </w:p>
    <w:bookmarkEnd w:id="0"/>
    <w:bookmarkEnd w:id="1"/>
    <w:p w14:paraId="1CC4DE00" w14:textId="7D3125DB"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5B1099">
        <w:rPr>
          <w:rFonts w:cs="Arial"/>
          <w:b/>
          <w:bCs/>
          <w:sz w:val="24"/>
        </w:rPr>
        <w:t>7.1.</w:t>
      </w:r>
      <w:r w:rsidR="009F4CE2">
        <w:rPr>
          <w:rFonts w:cs="Arial"/>
          <w:b/>
          <w:bCs/>
          <w:sz w:val="24"/>
        </w:rPr>
        <w:t>1.</w:t>
      </w:r>
      <w:r w:rsidR="00357CF7">
        <w:rPr>
          <w:rFonts w:cs="Arial"/>
          <w:b/>
          <w:bCs/>
          <w:sz w:val="24"/>
        </w:rPr>
        <w:t>6</w:t>
      </w:r>
    </w:p>
    <w:p w14:paraId="478569A9" w14:textId="201707F8" w:rsidR="000C3073" w:rsidRPr="00FB691A" w:rsidRDefault="000C3073" w:rsidP="000C3073">
      <w:pPr>
        <w:tabs>
          <w:tab w:val="left" w:pos="1985"/>
        </w:tabs>
        <w:ind w:left="1985" w:hanging="1985"/>
        <w:rPr>
          <w:rFonts w:ascii="Arial" w:hAnsi="Arial" w:cs="Arial"/>
          <w:b/>
          <w:bCs/>
          <w:sz w:val="24"/>
        </w:rPr>
      </w:pPr>
      <w:r w:rsidRPr="00FB691A">
        <w:rPr>
          <w:rFonts w:ascii="Arial" w:hAnsi="Arial" w:cs="Arial"/>
          <w:b/>
          <w:bCs/>
          <w:sz w:val="24"/>
        </w:rPr>
        <w:t>Source:</w:t>
      </w:r>
      <w:r w:rsidRPr="00FB691A">
        <w:rPr>
          <w:rFonts w:ascii="Arial" w:hAnsi="Arial" w:cs="Arial"/>
          <w:b/>
          <w:bCs/>
          <w:sz w:val="24"/>
        </w:rPr>
        <w:tab/>
      </w:r>
      <w:bookmarkStart w:id="3" w:name="OLE_LINK1"/>
      <w:bookmarkStart w:id="4" w:name="OLE_LINK2"/>
      <w:r w:rsidRPr="00FB691A">
        <w:rPr>
          <w:rFonts w:ascii="Arial" w:hAnsi="Arial" w:cs="Arial"/>
          <w:b/>
          <w:bCs/>
          <w:sz w:val="24"/>
        </w:rPr>
        <w:t>Nokia</w:t>
      </w:r>
      <w:bookmarkEnd w:id="3"/>
      <w:bookmarkEnd w:id="4"/>
      <w:r w:rsidRPr="00FB691A">
        <w:rPr>
          <w:rFonts w:ascii="Arial" w:hAnsi="Arial" w:cs="Arial"/>
          <w:b/>
          <w:bCs/>
          <w:sz w:val="24"/>
        </w:rPr>
        <w:t xml:space="preserve">, </w:t>
      </w:r>
      <w:r w:rsidR="00325946" w:rsidRPr="00FB691A">
        <w:rPr>
          <w:rFonts w:ascii="Arial" w:hAnsi="Arial" w:cs="Arial"/>
          <w:b/>
          <w:bCs/>
          <w:sz w:val="24"/>
        </w:rPr>
        <w:t>Nokia</w:t>
      </w:r>
      <w:r w:rsidRPr="00FB691A">
        <w:rPr>
          <w:rFonts w:ascii="Arial" w:hAnsi="Arial" w:cs="Arial"/>
          <w:b/>
          <w:bCs/>
          <w:sz w:val="24"/>
        </w:rPr>
        <w:t xml:space="preserve"> Shanghai Bell </w:t>
      </w:r>
    </w:p>
    <w:p w14:paraId="6433530E" w14:textId="1B03D8F7" w:rsidR="000C3073" w:rsidRPr="00FB691A" w:rsidRDefault="000C3073" w:rsidP="000C3073">
      <w:pPr>
        <w:ind w:left="1985" w:hanging="1985"/>
        <w:rPr>
          <w:rFonts w:ascii="Arial" w:hAnsi="Arial" w:cs="Arial"/>
          <w:b/>
          <w:bCs/>
          <w:sz w:val="24"/>
        </w:rPr>
      </w:pPr>
      <w:r w:rsidRPr="00FB691A">
        <w:rPr>
          <w:rFonts w:ascii="Arial" w:hAnsi="Arial" w:cs="Arial"/>
          <w:b/>
          <w:bCs/>
          <w:sz w:val="24"/>
        </w:rPr>
        <w:t>Title:</w:t>
      </w:r>
      <w:r w:rsidRPr="00FB691A">
        <w:rPr>
          <w:rFonts w:ascii="Arial" w:hAnsi="Arial" w:cs="Arial"/>
          <w:b/>
          <w:bCs/>
          <w:sz w:val="24"/>
        </w:rPr>
        <w:tab/>
      </w:r>
      <w:r w:rsidR="00061F29" w:rsidRPr="00FB691A">
        <w:rPr>
          <w:rFonts w:ascii="Arial" w:hAnsi="Arial" w:cs="Arial"/>
          <w:b/>
          <w:bCs/>
          <w:sz w:val="24"/>
        </w:rPr>
        <w:t>Initial active</w:t>
      </w:r>
      <w:r w:rsidR="00357CF7" w:rsidRPr="00FB691A">
        <w:rPr>
          <w:rFonts w:ascii="Arial" w:hAnsi="Arial" w:cs="Arial"/>
          <w:b/>
          <w:bCs/>
          <w:sz w:val="24"/>
        </w:rPr>
        <w:t xml:space="preserve"> </w:t>
      </w:r>
      <w:r w:rsidR="00632CC0" w:rsidRPr="00FB691A">
        <w:rPr>
          <w:rFonts w:ascii="Arial" w:hAnsi="Arial" w:cs="Arial"/>
          <w:b/>
          <w:bCs/>
          <w:sz w:val="24"/>
        </w:rPr>
        <w:t xml:space="preserve">BWP </w:t>
      </w:r>
      <w:r w:rsidR="00357CF7" w:rsidRPr="00FB691A">
        <w:rPr>
          <w:rFonts w:ascii="Arial" w:hAnsi="Arial" w:cs="Arial"/>
          <w:b/>
          <w:bCs/>
          <w:sz w:val="24"/>
        </w:rPr>
        <w:t>definition for RMSI multiplexing pattern 2 and 3</w:t>
      </w:r>
    </w:p>
    <w:p w14:paraId="29A0F6C8" w14:textId="77777777" w:rsidR="0034111C" w:rsidRPr="00FB691A" w:rsidRDefault="000C3073" w:rsidP="000C3073">
      <w:pPr>
        <w:rPr>
          <w:rFonts w:ascii="Arial" w:hAnsi="Arial" w:cs="Arial"/>
          <w:b/>
          <w:bCs/>
          <w:sz w:val="24"/>
        </w:rPr>
      </w:pPr>
      <w:r w:rsidRPr="00FB691A">
        <w:rPr>
          <w:rFonts w:ascii="Arial" w:hAnsi="Arial" w:cs="Arial"/>
          <w:b/>
          <w:bCs/>
          <w:sz w:val="24"/>
        </w:rPr>
        <w:t>Document for:</w:t>
      </w:r>
      <w:r w:rsidRPr="00FB691A">
        <w:rPr>
          <w:rFonts w:ascii="Arial" w:hAnsi="Arial" w:cs="Arial"/>
          <w:b/>
          <w:bCs/>
          <w:sz w:val="24"/>
        </w:rPr>
        <w:tab/>
      </w:r>
      <w:r w:rsidRPr="00FB691A">
        <w:rPr>
          <w:rFonts w:ascii="Arial" w:hAnsi="Arial" w:cs="Arial"/>
          <w:b/>
          <w:bCs/>
          <w:sz w:val="24"/>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1855497" w14:textId="1B60026A" w:rsidR="001F3AC5" w:rsidRPr="00413DDC" w:rsidRDefault="001F3AC5" w:rsidP="00E13EE4">
      <w:pPr>
        <w:spacing w:after="120"/>
        <w:jc w:val="both"/>
        <w:rPr>
          <w:bCs/>
        </w:rPr>
      </w:pPr>
      <w:r w:rsidRPr="00FB691A">
        <w:rPr>
          <w:bCs/>
        </w:rPr>
        <w:t xml:space="preserve">In this contribution we </w:t>
      </w:r>
      <w:r w:rsidR="00357CF7" w:rsidRPr="00FB691A">
        <w:rPr>
          <w:bCs/>
        </w:rPr>
        <w:t xml:space="preserve">continue the discussion </w:t>
      </w:r>
      <w:r w:rsidR="00915EA6" w:rsidRPr="00FB691A">
        <w:rPr>
          <w:bCs/>
        </w:rPr>
        <w:t xml:space="preserve">related to the </w:t>
      </w:r>
      <w:r w:rsidR="00802D09" w:rsidRPr="00FB691A">
        <w:rPr>
          <w:bCs/>
        </w:rPr>
        <w:t>determination of initial ac</w:t>
      </w:r>
      <w:r w:rsidR="00061F29" w:rsidRPr="00FB691A">
        <w:rPr>
          <w:bCs/>
        </w:rPr>
        <w:t>tive</w:t>
      </w:r>
      <w:r w:rsidR="00802D09" w:rsidRPr="00FB691A">
        <w:rPr>
          <w:bCs/>
        </w:rPr>
        <w:t xml:space="preserve"> BWP for RMSI multiplexing pattern 2 and 3. </w:t>
      </w:r>
    </w:p>
    <w:p w14:paraId="530B16F8" w14:textId="379025A4" w:rsidR="00D34956" w:rsidRDefault="008D4B8A" w:rsidP="00D34956">
      <w:pPr>
        <w:pStyle w:val="Heading1"/>
        <w:rPr>
          <w:color w:val="000000"/>
        </w:rPr>
      </w:pPr>
      <w:r w:rsidRPr="00B8625C">
        <w:rPr>
          <w:color w:val="000000"/>
        </w:rPr>
        <w:t>2</w:t>
      </w:r>
      <w:r w:rsidR="004B23AD" w:rsidRPr="00B8625C">
        <w:rPr>
          <w:color w:val="000000"/>
        </w:rPr>
        <w:tab/>
      </w:r>
      <w:bookmarkStart w:id="5" w:name="_Hlk513820272"/>
      <w:r w:rsidR="00061F29">
        <w:rPr>
          <w:color w:val="000000"/>
        </w:rPr>
        <w:t>Extension of Initial active DL BWP</w:t>
      </w:r>
      <w:bookmarkEnd w:id="5"/>
    </w:p>
    <w:p w14:paraId="06FC713C" w14:textId="2E479E26" w:rsidR="00802D09" w:rsidRDefault="00802D09" w:rsidP="00802D09">
      <w:pPr>
        <w:rPr>
          <w:rFonts w:ascii="Calibri" w:eastAsia="Calibri" w:hAnsi="Calibri" w:cs="Times New Roman"/>
        </w:rPr>
      </w:pPr>
      <w:r>
        <w:rPr>
          <w:rFonts w:ascii="Calibri" w:eastAsia="Calibri" w:hAnsi="Calibri" w:cs="Times New Roman"/>
        </w:rPr>
        <w:t>The option of changing the initial ac</w:t>
      </w:r>
      <w:r w:rsidR="00061F29">
        <w:rPr>
          <w:rFonts w:ascii="Calibri" w:eastAsia="Calibri" w:hAnsi="Calibri" w:cs="Times New Roman"/>
        </w:rPr>
        <w:t>tive</w:t>
      </w:r>
      <w:r>
        <w:rPr>
          <w:rFonts w:ascii="Calibri" w:eastAsia="Calibri" w:hAnsi="Calibri" w:cs="Times New Roman"/>
        </w:rPr>
        <w:t xml:space="preserve"> BWP definition for RMSI pattern 2 and pattern 3 has been discussed in past meetings </w:t>
      </w:r>
      <w:r>
        <w:rPr>
          <w:rFonts w:ascii="Calibri" w:eastAsia="Calibri" w:hAnsi="Calibri" w:cs="Times New Roman"/>
        </w:rPr>
        <w:fldChar w:fldCharType="begin"/>
      </w:r>
      <w:r>
        <w:rPr>
          <w:rFonts w:ascii="Calibri" w:eastAsia="Calibri" w:hAnsi="Calibri" w:cs="Times New Roman"/>
        </w:rPr>
        <w:instrText xml:space="preserve"> REF _Ref513560927 \r \h </w:instrText>
      </w:r>
      <w:r>
        <w:rPr>
          <w:rFonts w:ascii="Calibri" w:eastAsia="Calibri" w:hAnsi="Calibri" w:cs="Times New Roman"/>
        </w:rPr>
      </w:r>
      <w:r>
        <w:rPr>
          <w:rFonts w:ascii="Calibri" w:eastAsia="Calibri" w:hAnsi="Calibri" w:cs="Times New Roman"/>
        </w:rPr>
        <w:fldChar w:fldCharType="separate"/>
      </w:r>
      <w:r w:rsidR="00325C4B">
        <w:rPr>
          <w:rFonts w:ascii="Calibri" w:eastAsia="Calibri" w:hAnsi="Calibri" w:cs="Times New Roman"/>
        </w:rPr>
        <w:t>[3]</w:t>
      </w:r>
      <w:r>
        <w:rPr>
          <w:rFonts w:ascii="Calibri" w:eastAsia="Calibri" w:hAnsi="Calibri" w:cs="Times New Roman"/>
        </w:rPr>
        <w:fldChar w:fldCharType="end"/>
      </w:r>
      <w:r>
        <w:rPr>
          <w:rFonts w:ascii="Calibri" w:eastAsia="Calibri" w:hAnsi="Calibri" w:cs="Times New Roman"/>
        </w:rPr>
        <w:t xml:space="preserve"> </w:t>
      </w:r>
      <w:r>
        <w:rPr>
          <w:rFonts w:ascii="Calibri" w:eastAsia="Calibri" w:hAnsi="Calibri" w:cs="Times New Roman"/>
        </w:rPr>
        <w:fldChar w:fldCharType="begin"/>
      </w:r>
      <w:r>
        <w:rPr>
          <w:rFonts w:ascii="Calibri" w:eastAsia="Calibri" w:hAnsi="Calibri" w:cs="Times New Roman"/>
        </w:rPr>
        <w:instrText xml:space="preserve"> REF _Ref513560469 \r \h </w:instrText>
      </w:r>
      <w:r>
        <w:rPr>
          <w:rFonts w:ascii="Calibri" w:eastAsia="Calibri" w:hAnsi="Calibri" w:cs="Times New Roman"/>
        </w:rPr>
      </w:r>
      <w:r>
        <w:rPr>
          <w:rFonts w:ascii="Calibri" w:eastAsia="Calibri" w:hAnsi="Calibri" w:cs="Times New Roman"/>
        </w:rPr>
        <w:fldChar w:fldCharType="separate"/>
      </w:r>
      <w:r w:rsidR="00325C4B">
        <w:rPr>
          <w:rFonts w:ascii="Calibri" w:eastAsia="Calibri" w:hAnsi="Calibri" w:cs="Times New Roman"/>
        </w:rPr>
        <w:t>[4]</w:t>
      </w:r>
      <w:r>
        <w:rPr>
          <w:rFonts w:ascii="Calibri" w:eastAsia="Calibri" w:hAnsi="Calibri" w:cs="Times New Roman"/>
        </w:rPr>
        <w:fldChar w:fldCharType="end"/>
      </w:r>
      <w:r>
        <w:rPr>
          <w:rFonts w:ascii="Calibri" w:eastAsia="Calibri" w:hAnsi="Calibri" w:cs="Times New Roman"/>
        </w:rPr>
        <w:t>. The proposed approach has been to extend the initial ac</w:t>
      </w:r>
      <w:r w:rsidR="00061F29">
        <w:rPr>
          <w:rFonts w:ascii="Calibri" w:eastAsia="Calibri" w:hAnsi="Calibri" w:cs="Times New Roman"/>
        </w:rPr>
        <w:t>tive</w:t>
      </w:r>
      <w:r>
        <w:rPr>
          <w:rFonts w:ascii="Calibri" w:eastAsia="Calibri" w:hAnsi="Calibri" w:cs="Times New Roman"/>
        </w:rPr>
        <w:t xml:space="preserve"> BWP (for pattern 2 and patter 3) to cover all the bandwidth used by PBCH configured CORESET and SSB, like illustrated in </w:t>
      </w:r>
      <w:r w:rsidR="00673974">
        <w:rPr>
          <w:rFonts w:ascii="Calibri" w:eastAsia="Calibri" w:hAnsi="Calibri" w:cs="Times New Roman"/>
        </w:rPr>
        <w:fldChar w:fldCharType="begin"/>
      </w:r>
      <w:r w:rsidR="00673974">
        <w:rPr>
          <w:rFonts w:ascii="Calibri" w:eastAsia="Calibri" w:hAnsi="Calibri" w:cs="Times New Roman"/>
        </w:rPr>
        <w:instrText xml:space="preserve"> REF _Ref513561658 \h </w:instrText>
      </w:r>
      <w:r w:rsidR="00673974">
        <w:rPr>
          <w:rFonts w:ascii="Calibri" w:eastAsia="Calibri" w:hAnsi="Calibri" w:cs="Times New Roman"/>
        </w:rPr>
      </w:r>
      <w:r w:rsidR="00673974">
        <w:rPr>
          <w:rFonts w:ascii="Calibri" w:eastAsia="Calibri" w:hAnsi="Calibri" w:cs="Times New Roman"/>
        </w:rPr>
        <w:fldChar w:fldCharType="separate"/>
      </w:r>
      <w:r w:rsidR="00325C4B" w:rsidRPr="00413DDC">
        <w:rPr>
          <w:rFonts w:ascii="Calibri" w:eastAsia="Calibri" w:hAnsi="Calibri" w:cs="Times New Roman"/>
          <w:b/>
          <w:lang w:val="x-none" w:eastAsia="x-none"/>
        </w:rPr>
        <w:t xml:space="preserve">Figure </w:t>
      </w:r>
      <w:r w:rsidR="00325C4B">
        <w:rPr>
          <w:rFonts w:ascii="Calibri" w:eastAsia="Calibri" w:hAnsi="Calibri" w:cs="Times New Roman"/>
          <w:b/>
          <w:noProof/>
          <w:lang w:val="x-none" w:eastAsia="x-none"/>
        </w:rPr>
        <w:t>1</w:t>
      </w:r>
      <w:r w:rsidR="00673974">
        <w:rPr>
          <w:rFonts w:ascii="Calibri" w:eastAsia="Calibri" w:hAnsi="Calibri" w:cs="Times New Roman"/>
        </w:rPr>
        <w:fldChar w:fldCharType="end"/>
      </w:r>
      <w:r>
        <w:rPr>
          <w:rFonts w:ascii="Calibri" w:eastAsia="Calibri" w:hAnsi="Calibri" w:cs="Times New Roman"/>
        </w:rPr>
        <w:t xml:space="preserve">. </w:t>
      </w:r>
      <w:bookmarkStart w:id="6" w:name="_Hlk513820597"/>
      <w:r>
        <w:rPr>
          <w:rFonts w:ascii="Calibri" w:eastAsia="Calibri" w:hAnsi="Calibri" w:cs="Times New Roman"/>
        </w:rPr>
        <w:t>The merits of extending the initial ac</w:t>
      </w:r>
      <w:r w:rsidR="00061F29">
        <w:rPr>
          <w:rFonts w:ascii="Calibri" w:eastAsia="Calibri" w:hAnsi="Calibri" w:cs="Times New Roman"/>
        </w:rPr>
        <w:t>tive</w:t>
      </w:r>
      <w:r>
        <w:rPr>
          <w:rFonts w:ascii="Calibri" w:eastAsia="Calibri" w:hAnsi="Calibri" w:cs="Times New Roman"/>
        </w:rPr>
        <w:t xml:space="preserve"> BWP were discussed in </w:t>
      </w:r>
      <w:r>
        <w:rPr>
          <w:rFonts w:ascii="Calibri" w:eastAsia="Calibri" w:hAnsi="Calibri" w:cs="Times New Roman"/>
        </w:rPr>
        <w:fldChar w:fldCharType="begin"/>
      </w:r>
      <w:r>
        <w:rPr>
          <w:rFonts w:ascii="Calibri" w:eastAsia="Calibri" w:hAnsi="Calibri" w:cs="Times New Roman"/>
        </w:rPr>
        <w:instrText xml:space="preserve"> REF _Ref513560469 \r \h </w:instrText>
      </w:r>
      <w:r>
        <w:rPr>
          <w:rFonts w:ascii="Calibri" w:eastAsia="Calibri" w:hAnsi="Calibri" w:cs="Times New Roman"/>
        </w:rPr>
      </w:r>
      <w:r>
        <w:rPr>
          <w:rFonts w:ascii="Calibri" w:eastAsia="Calibri" w:hAnsi="Calibri" w:cs="Times New Roman"/>
        </w:rPr>
        <w:fldChar w:fldCharType="separate"/>
      </w:r>
      <w:r w:rsidR="00325C4B">
        <w:rPr>
          <w:rFonts w:ascii="Calibri" w:eastAsia="Calibri" w:hAnsi="Calibri" w:cs="Times New Roman"/>
        </w:rPr>
        <w:t>[4]</w:t>
      </w:r>
      <w:r>
        <w:rPr>
          <w:rFonts w:ascii="Calibri" w:eastAsia="Calibri" w:hAnsi="Calibri" w:cs="Times New Roman"/>
        </w:rPr>
        <w:fldChar w:fldCharType="end"/>
      </w:r>
      <w:r>
        <w:rPr>
          <w:rFonts w:ascii="Calibri" w:eastAsia="Calibri" w:hAnsi="Calibri" w:cs="Times New Roman"/>
        </w:rPr>
        <w:t xml:space="preserve"> </w:t>
      </w:r>
      <w:r w:rsidR="00673974">
        <w:rPr>
          <w:rFonts w:ascii="Calibri" w:eastAsia="Calibri" w:hAnsi="Calibri" w:cs="Times New Roman"/>
        </w:rPr>
        <w:t xml:space="preserve">e.g. </w:t>
      </w:r>
      <w:r>
        <w:rPr>
          <w:rFonts w:ascii="Calibri" w:eastAsia="Calibri" w:hAnsi="Calibri" w:cs="Times New Roman"/>
        </w:rPr>
        <w:t>through the utilization of full available bandwidth</w:t>
      </w:r>
      <w:r w:rsidR="009F4CE2">
        <w:rPr>
          <w:rFonts w:ascii="Calibri" w:eastAsia="Calibri" w:hAnsi="Calibri" w:cs="Times New Roman"/>
        </w:rPr>
        <w:t>.</w:t>
      </w:r>
      <w:r>
        <w:rPr>
          <w:rFonts w:ascii="Calibri" w:eastAsia="Calibri" w:hAnsi="Calibri" w:cs="Times New Roman"/>
        </w:rPr>
        <w:t xml:space="preserve"> </w:t>
      </w:r>
      <w:r w:rsidR="009F4CE2">
        <w:rPr>
          <w:rFonts w:ascii="Calibri" w:eastAsia="Calibri" w:hAnsi="Calibri" w:cs="Times New Roman"/>
        </w:rPr>
        <w:t>This</w:t>
      </w:r>
      <w:r>
        <w:rPr>
          <w:rFonts w:ascii="Calibri" w:eastAsia="Calibri" w:hAnsi="Calibri" w:cs="Times New Roman"/>
        </w:rPr>
        <w:t xml:space="preserve"> </w:t>
      </w:r>
      <w:r w:rsidR="00881306">
        <w:rPr>
          <w:rFonts w:ascii="Calibri" w:eastAsia="Calibri" w:hAnsi="Calibri" w:cs="Times New Roman"/>
        </w:rPr>
        <w:t xml:space="preserve">for example </w:t>
      </w:r>
      <w:r w:rsidRPr="00413DDC">
        <w:rPr>
          <w:rFonts w:ascii="Calibri" w:eastAsia="Calibri" w:hAnsi="Calibri" w:cs="Times New Roman"/>
        </w:rPr>
        <w:t xml:space="preserve">to limit the time required for beam sweep by </w:t>
      </w:r>
      <w:r>
        <w:rPr>
          <w:rFonts w:ascii="Calibri" w:eastAsia="Calibri" w:hAnsi="Calibri" w:cs="Times New Roman"/>
        </w:rPr>
        <w:t>enabling shorter</w:t>
      </w:r>
      <w:r w:rsidRPr="00413DDC">
        <w:rPr>
          <w:rFonts w:ascii="Calibri" w:eastAsia="Calibri" w:hAnsi="Calibri" w:cs="Times New Roman"/>
        </w:rPr>
        <w:t xml:space="preserve"> PDSCH duration (i.e. using mini-slots)</w:t>
      </w:r>
      <w:r>
        <w:rPr>
          <w:rFonts w:ascii="Calibri" w:eastAsia="Calibri" w:hAnsi="Calibri" w:cs="Times New Roman"/>
        </w:rPr>
        <w:t xml:space="preserve"> </w:t>
      </w:r>
      <w:r w:rsidR="00881306">
        <w:rPr>
          <w:rFonts w:ascii="Calibri" w:eastAsia="Calibri" w:hAnsi="Calibri" w:cs="Times New Roman"/>
        </w:rPr>
        <w:t>through wider FD allocation</w:t>
      </w:r>
      <w:r>
        <w:rPr>
          <w:rFonts w:ascii="Calibri" w:eastAsia="Calibri" w:hAnsi="Calibri" w:cs="Times New Roman"/>
        </w:rPr>
        <w:t>. It was also noted that i</w:t>
      </w:r>
      <w:r w:rsidRPr="00413DDC">
        <w:rPr>
          <w:rFonts w:ascii="Calibri" w:eastAsia="Calibri" w:hAnsi="Calibri" w:cs="Times New Roman"/>
        </w:rPr>
        <w:t>t could be typically expected that the UE keeps RX open over the combined bandwidth in order to detect SS/PBCH block for time and frequency synchronization tracking together with RMSI reception</w:t>
      </w:r>
      <w:r w:rsidR="009F4CE2">
        <w:rPr>
          <w:rFonts w:ascii="Calibri" w:eastAsia="Calibri" w:hAnsi="Calibri" w:cs="Times New Roman"/>
        </w:rPr>
        <w:t xml:space="preserve"> anyway</w:t>
      </w:r>
      <w:r>
        <w:rPr>
          <w:rFonts w:ascii="Calibri" w:eastAsia="Calibri" w:hAnsi="Calibri" w:cs="Times New Roman"/>
        </w:rPr>
        <w:t xml:space="preserve">, hence </w:t>
      </w:r>
      <w:r w:rsidR="009F4CE2">
        <w:rPr>
          <w:rFonts w:ascii="Calibri" w:eastAsia="Calibri" w:hAnsi="Calibri" w:cs="Times New Roman"/>
        </w:rPr>
        <w:t xml:space="preserve">including SSB within </w:t>
      </w:r>
      <w:r>
        <w:rPr>
          <w:rFonts w:ascii="Calibri" w:eastAsia="Calibri" w:hAnsi="Calibri" w:cs="Times New Roman"/>
        </w:rPr>
        <w:t>initial ac</w:t>
      </w:r>
      <w:r w:rsidR="00061F29">
        <w:rPr>
          <w:rFonts w:ascii="Calibri" w:eastAsia="Calibri" w:hAnsi="Calibri" w:cs="Times New Roman"/>
        </w:rPr>
        <w:t>tive</w:t>
      </w:r>
      <w:r>
        <w:rPr>
          <w:rFonts w:ascii="Calibri" w:eastAsia="Calibri" w:hAnsi="Calibri" w:cs="Times New Roman"/>
        </w:rPr>
        <w:t xml:space="preserve"> BWP would not complicate the UE design</w:t>
      </w:r>
      <w:r w:rsidR="009F4CE2">
        <w:rPr>
          <w:rFonts w:ascii="Calibri" w:eastAsia="Calibri" w:hAnsi="Calibri" w:cs="Times New Roman"/>
        </w:rPr>
        <w:t xml:space="preserve"> at all</w:t>
      </w:r>
      <w:r>
        <w:rPr>
          <w:rFonts w:ascii="Calibri" w:eastAsia="Calibri" w:hAnsi="Calibri" w:cs="Times New Roman"/>
        </w:rPr>
        <w:t>. Also RAN4 has agreed the UE minimum BW support to be 200MHz for FR2</w:t>
      </w:r>
      <w:r w:rsidR="00673974">
        <w:rPr>
          <w:rFonts w:ascii="Calibri" w:eastAsia="Calibri" w:hAnsi="Calibri" w:cs="Times New Roman"/>
        </w:rPr>
        <w:t xml:space="preserve"> and none of the current SSB and CORESET configurations exceed that (as by </w:t>
      </w:r>
      <w:r w:rsidR="00673974">
        <w:rPr>
          <w:rFonts w:ascii="Calibri" w:eastAsia="Calibri" w:hAnsi="Calibri" w:cs="Times New Roman"/>
        </w:rPr>
        <w:fldChar w:fldCharType="begin"/>
      </w:r>
      <w:r w:rsidR="00673974">
        <w:rPr>
          <w:rFonts w:ascii="Calibri" w:eastAsia="Calibri" w:hAnsi="Calibri" w:cs="Times New Roman"/>
        </w:rPr>
        <w:instrText xml:space="preserve"> REF _Ref513561730 \h </w:instrText>
      </w:r>
      <w:r w:rsidR="00673974">
        <w:rPr>
          <w:rFonts w:ascii="Calibri" w:eastAsia="Calibri" w:hAnsi="Calibri" w:cs="Times New Roman"/>
        </w:rPr>
      </w:r>
      <w:r w:rsidR="00673974">
        <w:rPr>
          <w:rFonts w:ascii="Calibri" w:eastAsia="Calibri" w:hAnsi="Calibri" w:cs="Times New Roman"/>
        </w:rPr>
        <w:fldChar w:fldCharType="separate"/>
      </w:r>
      <w:r w:rsidR="00325C4B" w:rsidRPr="00413DDC">
        <w:rPr>
          <w:rFonts w:ascii="Calibri" w:eastAsia="Calibri" w:hAnsi="Calibri" w:cs="Times New Roman"/>
          <w:b/>
          <w:lang w:val="x-none" w:eastAsia="x-none"/>
        </w:rPr>
        <w:t xml:space="preserve">Table </w:t>
      </w:r>
      <w:r w:rsidR="00325C4B">
        <w:rPr>
          <w:rFonts w:ascii="Calibri" w:eastAsia="Calibri" w:hAnsi="Calibri" w:cs="Times New Roman"/>
          <w:b/>
          <w:noProof/>
          <w:lang w:val="x-none" w:eastAsia="x-none"/>
        </w:rPr>
        <w:t>1</w:t>
      </w:r>
      <w:r w:rsidR="00673974">
        <w:rPr>
          <w:rFonts w:ascii="Calibri" w:eastAsia="Calibri" w:hAnsi="Calibri" w:cs="Times New Roman"/>
        </w:rPr>
        <w:fldChar w:fldCharType="end"/>
      </w:r>
      <w:r w:rsidR="00673974">
        <w:rPr>
          <w:rFonts w:ascii="Calibri" w:eastAsia="Calibri" w:hAnsi="Calibri" w:cs="Times New Roman"/>
        </w:rPr>
        <w:t>)</w:t>
      </w:r>
      <w:r>
        <w:rPr>
          <w:rFonts w:ascii="Calibri" w:eastAsia="Calibri" w:hAnsi="Calibri" w:cs="Times New Roman"/>
        </w:rPr>
        <w:t>.</w:t>
      </w:r>
      <w:r w:rsidR="00673974">
        <w:rPr>
          <w:rFonts w:ascii="Calibri" w:eastAsia="Calibri" w:hAnsi="Calibri" w:cs="Times New Roman"/>
        </w:rPr>
        <w:t xml:space="preserve"> </w:t>
      </w:r>
      <w:r>
        <w:rPr>
          <w:rFonts w:ascii="Calibri" w:eastAsia="Calibri" w:hAnsi="Calibri" w:cs="Times New Roman"/>
        </w:rPr>
        <w:t>Extending the initial ac</w:t>
      </w:r>
      <w:r w:rsidR="00061F29">
        <w:rPr>
          <w:rFonts w:ascii="Calibri" w:eastAsia="Calibri" w:hAnsi="Calibri" w:cs="Times New Roman"/>
        </w:rPr>
        <w:t>tive</w:t>
      </w:r>
      <w:r>
        <w:rPr>
          <w:rFonts w:ascii="Calibri" w:eastAsia="Calibri" w:hAnsi="Calibri" w:cs="Times New Roman"/>
        </w:rPr>
        <w:t xml:space="preserve"> BWP could also be </w:t>
      </w:r>
      <w:r w:rsidR="009F4CE2">
        <w:rPr>
          <w:rFonts w:ascii="Calibri" w:eastAsia="Calibri" w:hAnsi="Calibri" w:cs="Times New Roman"/>
        </w:rPr>
        <w:t>benefi</w:t>
      </w:r>
      <w:r w:rsidR="000105AE">
        <w:rPr>
          <w:rFonts w:ascii="Calibri" w:eastAsia="Calibri" w:hAnsi="Calibri" w:cs="Times New Roman"/>
        </w:rPr>
        <w:t>c</w:t>
      </w:r>
      <w:r w:rsidR="009F4CE2">
        <w:rPr>
          <w:rFonts w:ascii="Calibri" w:eastAsia="Calibri" w:hAnsi="Calibri" w:cs="Times New Roman"/>
        </w:rPr>
        <w:t>ial for</w:t>
      </w:r>
      <w:r>
        <w:rPr>
          <w:rFonts w:ascii="Calibri" w:eastAsia="Calibri" w:hAnsi="Calibri" w:cs="Times New Roman"/>
        </w:rPr>
        <w:t xml:space="preserve"> mobility and RLM operation, by ensuring that SSB </w:t>
      </w:r>
      <w:r w:rsidR="009F4CE2">
        <w:rPr>
          <w:rFonts w:ascii="Calibri" w:eastAsia="Calibri" w:hAnsi="Calibri" w:cs="Times New Roman"/>
        </w:rPr>
        <w:t>is</w:t>
      </w:r>
      <w:r>
        <w:rPr>
          <w:rFonts w:ascii="Calibri" w:eastAsia="Calibri" w:hAnsi="Calibri" w:cs="Times New Roman"/>
        </w:rPr>
        <w:t xml:space="preserve"> </w:t>
      </w:r>
      <w:r w:rsidR="000105AE">
        <w:rPr>
          <w:rFonts w:ascii="Calibri" w:eastAsia="Calibri" w:hAnsi="Calibri" w:cs="Times New Roman"/>
        </w:rPr>
        <w:t xml:space="preserve">always </w:t>
      </w:r>
      <w:r>
        <w:rPr>
          <w:rFonts w:ascii="Calibri" w:eastAsia="Calibri" w:hAnsi="Calibri" w:cs="Times New Roman"/>
        </w:rPr>
        <w:t>in</w:t>
      </w:r>
      <w:r w:rsidR="000105AE">
        <w:rPr>
          <w:rFonts w:ascii="Calibri" w:eastAsia="Calibri" w:hAnsi="Calibri" w:cs="Times New Roman"/>
        </w:rPr>
        <w:t>side</w:t>
      </w:r>
      <w:r>
        <w:rPr>
          <w:rFonts w:ascii="Calibri" w:eastAsia="Calibri" w:hAnsi="Calibri" w:cs="Times New Roman"/>
        </w:rPr>
        <w:t xml:space="preserve"> the active BWP from the beginning of the </w:t>
      </w:r>
      <w:r w:rsidR="000105AE">
        <w:rPr>
          <w:rFonts w:ascii="Calibri" w:eastAsia="Calibri" w:hAnsi="Calibri" w:cs="Times New Roman"/>
        </w:rPr>
        <w:t>access procedure</w:t>
      </w:r>
      <w:bookmarkEnd w:id="6"/>
      <w:r>
        <w:rPr>
          <w:rFonts w:ascii="Calibri" w:eastAsia="Calibri" w:hAnsi="Calibri" w:cs="Times New Roman"/>
        </w:rPr>
        <w:t xml:space="preserve">. </w:t>
      </w:r>
    </w:p>
    <w:p w14:paraId="7A0AA23C" w14:textId="5ED26A67" w:rsidR="00802D09" w:rsidRPr="00413DDC" w:rsidRDefault="00802D09" w:rsidP="00802D09">
      <w:pPr>
        <w:rPr>
          <w:rFonts w:ascii="Calibri" w:eastAsia="Calibri" w:hAnsi="Calibri" w:cs="Times New Roman"/>
        </w:rPr>
      </w:pPr>
      <w:r w:rsidRPr="00413DDC">
        <w:rPr>
          <w:rFonts w:ascii="Calibri" w:eastAsia="Calibri" w:hAnsi="Calibri" w:cs="Times New Roman"/>
          <w:b/>
        </w:rPr>
        <w:t>Observation:</w:t>
      </w:r>
      <w:r w:rsidRPr="00413DDC">
        <w:rPr>
          <w:rFonts w:ascii="Calibri" w:eastAsia="Calibri" w:hAnsi="Calibri" w:cs="Times New Roman"/>
        </w:rPr>
        <w:t xml:space="preserve"> For </w:t>
      </w:r>
      <w:r>
        <w:rPr>
          <w:rFonts w:ascii="Calibri" w:eastAsia="Calibri" w:hAnsi="Calibri" w:cs="Times New Roman"/>
        </w:rPr>
        <w:t>RMSI</w:t>
      </w:r>
      <w:r w:rsidRPr="00413DDC">
        <w:rPr>
          <w:rFonts w:ascii="Calibri" w:eastAsia="Calibri" w:hAnsi="Calibri" w:cs="Times New Roman"/>
        </w:rPr>
        <w:t xml:space="preserve"> multiplexing pattern 2 and 3 it would seem beneficial to enable extending the </w:t>
      </w:r>
      <w:r>
        <w:rPr>
          <w:rFonts w:ascii="Calibri" w:eastAsia="Calibri" w:hAnsi="Calibri" w:cs="Times New Roman"/>
        </w:rPr>
        <w:t>initial ac</w:t>
      </w:r>
      <w:r w:rsidR="00061F29">
        <w:rPr>
          <w:rFonts w:ascii="Calibri" w:eastAsia="Calibri" w:hAnsi="Calibri" w:cs="Times New Roman"/>
        </w:rPr>
        <w:t>tive</w:t>
      </w:r>
      <w:r>
        <w:rPr>
          <w:rFonts w:ascii="Calibri" w:eastAsia="Calibri" w:hAnsi="Calibri" w:cs="Times New Roman"/>
        </w:rPr>
        <w:t xml:space="preserve"> </w:t>
      </w:r>
      <w:r w:rsidRPr="00413DDC">
        <w:rPr>
          <w:rFonts w:ascii="Calibri" w:eastAsia="Calibri" w:hAnsi="Calibri" w:cs="Times New Roman"/>
        </w:rPr>
        <w:t>BWP</w:t>
      </w:r>
      <w:r w:rsidR="009F4CE2">
        <w:rPr>
          <w:rFonts w:ascii="Calibri" w:eastAsia="Calibri" w:hAnsi="Calibri" w:cs="Times New Roman"/>
        </w:rPr>
        <w:t xml:space="preserve"> by BW of </w:t>
      </w:r>
      <w:r w:rsidR="00F24255">
        <w:rPr>
          <w:rFonts w:ascii="Calibri" w:eastAsia="Calibri" w:hAnsi="Calibri" w:cs="Times New Roman"/>
        </w:rPr>
        <w:t>the</w:t>
      </w:r>
      <w:r w:rsidR="009F4CE2">
        <w:rPr>
          <w:rFonts w:ascii="Calibri" w:eastAsia="Calibri" w:hAnsi="Calibri" w:cs="Times New Roman"/>
        </w:rPr>
        <w:t xml:space="preserve"> SSB</w:t>
      </w:r>
      <w:r w:rsidRPr="00413DDC">
        <w:rPr>
          <w:rFonts w:ascii="Calibri" w:eastAsia="Calibri" w:hAnsi="Calibri" w:cs="Times New Roman"/>
        </w:rPr>
        <w:t>.</w:t>
      </w:r>
    </w:p>
    <w:p w14:paraId="05A696B5" w14:textId="50734F56" w:rsidR="00802D09" w:rsidRPr="00413DDC" w:rsidRDefault="00673974" w:rsidP="00802D09">
      <w:pPr>
        <w:jc w:val="center"/>
        <w:rPr>
          <w:rFonts w:ascii="Calibri" w:eastAsia="Calibri" w:hAnsi="Calibri" w:cs="Times New Roman"/>
        </w:rPr>
      </w:pPr>
      <w:r w:rsidRPr="00673974">
        <w:rPr>
          <w:noProof/>
        </w:rPr>
        <w:drawing>
          <wp:inline distT="0" distB="0" distL="0" distR="0" wp14:anchorId="344277D5" wp14:editId="66ADB8F4">
            <wp:extent cx="2610000" cy="245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0000" cy="2458800"/>
                    </a:xfrm>
                    <a:prstGeom prst="rect">
                      <a:avLst/>
                    </a:prstGeom>
                    <a:noFill/>
                    <a:ln>
                      <a:noFill/>
                    </a:ln>
                  </pic:spPr>
                </pic:pic>
              </a:graphicData>
            </a:graphic>
          </wp:inline>
        </w:drawing>
      </w:r>
      <w:r w:rsidR="00802D09" w:rsidRPr="00413DDC" w:rsidDel="00EF7DA6">
        <w:rPr>
          <w:rFonts w:ascii="Calibri" w:eastAsia="Calibri" w:hAnsi="Calibri" w:cs="Times New Roman"/>
        </w:rPr>
        <w:t xml:space="preserve"> </w:t>
      </w:r>
    </w:p>
    <w:p w14:paraId="62F05772" w14:textId="654773F3" w:rsidR="00802D09" w:rsidRPr="00413DDC" w:rsidRDefault="00802D09" w:rsidP="00802D09">
      <w:pPr>
        <w:spacing w:before="120" w:after="120"/>
        <w:jc w:val="center"/>
        <w:rPr>
          <w:rFonts w:ascii="Calibri" w:eastAsia="Calibri" w:hAnsi="Calibri" w:cs="Times New Roman"/>
          <w:b/>
          <w:lang w:eastAsia="x-none"/>
        </w:rPr>
      </w:pPr>
      <w:bookmarkStart w:id="7" w:name="_Ref513561658"/>
      <w:r w:rsidRPr="00413DDC">
        <w:rPr>
          <w:rFonts w:ascii="Calibri" w:eastAsia="Calibri" w:hAnsi="Calibri" w:cs="Times New Roman"/>
          <w:b/>
          <w:lang w:val="x-none" w:eastAsia="x-none"/>
        </w:rPr>
        <w:t xml:space="preserve">Figure </w:t>
      </w:r>
      <w:r w:rsidRPr="00413DDC">
        <w:rPr>
          <w:rFonts w:ascii="Calibri" w:eastAsia="Calibri" w:hAnsi="Calibri" w:cs="Times New Roman"/>
          <w:b/>
          <w:lang w:val="x-none" w:eastAsia="x-none"/>
        </w:rPr>
        <w:fldChar w:fldCharType="begin"/>
      </w:r>
      <w:r w:rsidRPr="00413DDC">
        <w:rPr>
          <w:rFonts w:ascii="Calibri" w:eastAsia="Calibri" w:hAnsi="Calibri" w:cs="Times New Roman"/>
          <w:b/>
          <w:lang w:val="x-none" w:eastAsia="x-none"/>
        </w:rPr>
        <w:instrText xml:space="preserve"> SEQ Figure \* ARABIC </w:instrText>
      </w:r>
      <w:r w:rsidRPr="00413DDC">
        <w:rPr>
          <w:rFonts w:ascii="Calibri" w:eastAsia="Calibri" w:hAnsi="Calibri" w:cs="Times New Roman"/>
          <w:b/>
          <w:lang w:val="x-none" w:eastAsia="x-none"/>
        </w:rPr>
        <w:fldChar w:fldCharType="separate"/>
      </w:r>
      <w:r w:rsidR="00061F29">
        <w:rPr>
          <w:rFonts w:ascii="Calibri" w:eastAsia="Calibri" w:hAnsi="Calibri" w:cs="Times New Roman"/>
          <w:b/>
          <w:noProof/>
          <w:lang w:val="x-none" w:eastAsia="x-none"/>
        </w:rPr>
        <w:t>1</w:t>
      </w:r>
      <w:r w:rsidRPr="00413DDC">
        <w:rPr>
          <w:rFonts w:ascii="Calibri" w:eastAsia="Calibri" w:hAnsi="Calibri" w:cs="Times New Roman"/>
          <w:b/>
          <w:noProof/>
          <w:lang w:val="x-none" w:eastAsia="x-none"/>
        </w:rPr>
        <w:fldChar w:fldCharType="end"/>
      </w:r>
      <w:bookmarkEnd w:id="7"/>
      <w:r w:rsidRPr="00413DDC">
        <w:rPr>
          <w:rFonts w:ascii="Calibri" w:eastAsia="Calibri" w:hAnsi="Calibri" w:cs="Times New Roman"/>
          <w:b/>
          <w:lang w:eastAsia="x-none"/>
        </w:rPr>
        <w:t xml:space="preserve">. </w:t>
      </w:r>
      <w:r w:rsidR="00325C4B">
        <w:rPr>
          <w:rFonts w:ascii="Calibri" w:eastAsia="Calibri" w:hAnsi="Calibri" w:cs="Times New Roman"/>
          <w:lang w:eastAsia="x-none"/>
        </w:rPr>
        <w:t>Illustration of extended in</w:t>
      </w:r>
      <w:r w:rsidR="00CE6191">
        <w:rPr>
          <w:rFonts w:ascii="Calibri" w:eastAsia="Calibri" w:hAnsi="Calibri" w:cs="Times New Roman"/>
          <w:lang w:eastAsia="x-none"/>
        </w:rPr>
        <w:t>i</w:t>
      </w:r>
      <w:r w:rsidR="00325C4B">
        <w:rPr>
          <w:rFonts w:ascii="Calibri" w:eastAsia="Calibri" w:hAnsi="Calibri" w:cs="Times New Roman"/>
          <w:lang w:eastAsia="x-none"/>
        </w:rPr>
        <w:t>tial ac</w:t>
      </w:r>
      <w:r w:rsidR="00061F29">
        <w:rPr>
          <w:rFonts w:ascii="Calibri" w:eastAsia="Calibri" w:hAnsi="Calibri" w:cs="Times New Roman"/>
          <w:lang w:eastAsia="x-none"/>
        </w:rPr>
        <w:t>tive</w:t>
      </w:r>
      <w:r w:rsidR="00325C4B">
        <w:rPr>
          <w:rFonts w:ascii="Calibri" w:eastAsia="Calibri" w:hAnsi="Calibri" w:cs="Times New Roman"/>
          <w:lang w:eastAsia="x-none"/>
        </w:rPr>
        <w:t xml:space="preserve"> DL </w:t>
      </w:r>
      <w:r w:rsidRPr="00413DDC">
        <w:rPr>
          <w:rFonts w:ascii="Calibri" w:eastAsia="Calibri" w:hAnsi="Calibri" w:cs="Times New Roman"/>
          <w:lang w:eastAsia="x-none"/>
        </w:rPr>
        <w:t>BWP</w:t>
      </w:r>
    </w:p>
    <w:p w14:paraId="5245731B" w14:textId="77777777" w:rsidR="00802D09" w:rsidRDefault="00802D09" w:rsidP="00802D09">
      <w:pPr>
        <w:rPr>
          <w:rFonts w:ascii="Calibri" w:eastAsia="Calibri" w:hAnsi="Calibri" w:cs="Times New Roman"/>
        </w:rPr>
      </w:pPr>
    </w:p>
    <w:p w14:paraId="303CA9B0" w14:textId="77777777" w:rsidR="00CE6191" w:rsidRPr="00413DDC" w:rsidRDefault="00CE6191" w:rsidP="00CE6191">
      <w:pPr>
        <w:keepNext/>
        <w:keepLines/>
        <w:spacing w:before="120" w:after="120"/>
        <w:rPr>
          <w:rFonts w:ascii="Calibri" w:eastAsia="Calibri" w:hAnsi="Calibri" w:cs="Times New Roman"/>
          <w:b/>
          <w:lang w:eastAsia="x-none"/>
        </w:rPr>
      </w:pPr>
      <w:bookmarkStart w:id="8" w:name="_Ref513561730"/>
      <w:r w:rsidRPr="00413DDC">
        <w:rPr>
          <w:rFonts w:ascii="Calibri" w:eastAsia="Calibri" w:hAnsi="Calibri" w:cs="Times New Roman"/>
          <w:b/>
          <w:lang w:val="x-none" w:eastAsia="x-none"/>
        </w:rPr>
        <w:t xml:space="preserve">Table </w:t>
      </w:r>
      <w:r w:rsidRPr="00413DDC">
        <w:rPr>
          <w:rFonts w:ascii="Calibri" w:eastAsia="Calibri" w:hAnsi="Calibri" w:cs="Times New Roman"/>
          <w:b/>
          <w:lang w:val="x-none" w:eastAsia="x-none"/>
        </w:rPr>
        <w:fldChar w:fldCharType="begin"/>
      </w:r>
      <w:r w:rsidRPr="00413DDC">
        <w:rPr>
          <w:rFonts w:ascii="Calibri" w:eastAsia="Calibri" w:hAnsi="Calibri" w:cs="Times New Roman"/>
          <w:b/>
          <w:lang w:val="x-none" w:eastAsia="x-none"/>
        </w:rPr>
        <w:instrText xml:space="preserve"> SEQ Table \* ARABIC </w:instrText>
      </w:r>
      <w:r w:rsidRPr="00413DDC">
        <w:rPr>
          <w:rFonts w:ascii="Calibri" w:eastAsia="Calibri" w:hAnsi="Calibri" w:cs="Times New Roman"/>
          <w:b/>
          <w:lang w:val="x-none" w:eastAsia="x-none"/>
        </w:rPr>
        <w:fldChar w:fldCharType="separate"/>
      </w:r>
      <w:r>
        <w:rPr>
          <w:rFonts w:ascii="Calibri" w:eastAsia="Calibri" w:hAnsi="Calibri" w:cs="Times New Roman"/>
          <w:b/>
          <w:noProof/>
          <w:lang w:val="x-none" w:eastAsia="x-none"/>
        </w:rPr>
        <w:t>1</w:t>
      </w:r>
      <w:r w:rsidRPr="00413DDC">
        <w:rPr>
          <w:rFonts w:ascii="Calibri" w:eastAsia="Calibri" w:hAnsi="Calibri" w:cs="Times New Roman"/>
          <w:b/>
          <w:noProof/>
          <w:lang w:val="x-none" w:eastAsia="x-none"/>
        </w:rPr>
        <w:fldChar w:fldCharType="end"/>
      </w:r>
      <w:bookmarkEnd w:id="8"/>
      <w:r w:rsidRPr="00413DDC">
        <w:rPr>
          <w:rFonts w:ascii="Calibri" w:eastAsia="Calibri" w:hAnsi="Calibri" w:cs="Times New Roman"/>
          <w:b/>
          <w:lang w:eastAsia="x-none"/>
        </w:rPr>
        <w:t xml:space="preserve">. </w:t>
      </w:r>
      <w:r w:rsidRPr="00413DDC">
        <w:rPr>
          <w:rFonts w:ascii="Calibri" w:eastAsia="Calibri" w:hAnsi="Calibri" w:cs="Times New Roman"/>
          <w:lang w:eastAsia="x-none"/>
        </w:rPr>
        <w:t>BWP sizes for different multiplexing patterns</w:t>
      </w:r>
    </w:p>
    <w:tbl>
      <w:tblPr>
        <w:tblStyle w:val="TableGrid1"/>
        <w:tblW w:w="0" w:type="auto"/>
        <w:tblLook w:val="04A0" w:firstRow="1" w:lastRow="0" w:firstColumn="1" w:lastColumn="0" w:noHBand="0" w:noVBand="1"/>
      </w:tblPr>
      <w:tblGrid>
        <w:gridCol w:w="1838"/>
        <w:gridCol w:w="709"/>
        <w:gridCol w:w="1026"/>
        <w:gridCol w:w="1103"/>
        <w:gridCol w:w="813"/>
        <w:gridCol w:w="743"/>
        <w:gridCol w:w="1276"/>
        <w:gridCol w:w="652"/>
        <w:gridCol w:w="1418"/>
      </w:tblGrid>
      <w:tr w:rsidR="00CE6191" w:rsidRPr="00413DDC" w14:paraId="4DC07C8D" w14:textId="77777777" w:rsidTr="001B48C2">
        <w:trPr>
          <w:trHeight w:val="300"/>
        </w:trPr>
        <w:tc>
          <w:tcPr>
            <w:tcW w:w="1838" w:type="dxa"/>
            <w:tcBorders>
              <w:bottom w:val="double" w:sz="4" w:space="0" w:color="auto"/>
            </w:tcBorders>
            <w:noWrap/>
            <w:vAlign w:val="center"/>
            <w:hideMark/>
          </w:tcPr>
          <w:p w14:paraId="22469B4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SS/PBCH block and CORESET multiplexing pattern</w:t>
            </w:r>
          </w:p>
        </w:tc>
        <w:tc>
          <w:tcPr>
            <w:tcW w:w="709" w:type="dxa"/>
            <w:tcBorders>
              <w:bottom w:val="double" w:sz="4" w:space="0" w:color="auto"/>
            </w:tcBorders>
            <w:noWrap/>
            <w:vAlign w:val="center"/>
            <w:hideMark/>
          </w:tcPr>
          <w:p w14:paraId="09BEF00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RMSI scs</w:t>
            </w:r>
          </w:p>
          <w:p w14:paraId="7D0BB14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[kHz]</w:t>
            </w:r>
          </w:p>
        </w:tc>
        <w:tc>
          <w:tcPr>
            <w:tcW w:w="1026" w:type="dxa"/>
            <w:tcBorders>
              <w:bottom w:val="double" w:sz="4" w:space="0" w:color="auto"/>
            </w:tcBorders>
            <w:noWrap/>
            <w:vAlign w:val="center"/>
            <w:hideMark/>
          </w:tcPr>
          <w:p w14:paraId="449C13F5" w14:textId="77777777" w:rsidR="00CE6191" w:rsidRPr="00413DDC" w:rsidRDefault="00674E8D" w:rsidP="001B48C2">
            <w:pPr>
              <w:keepNext/>
              <w:spacing w:after="0" w:line="240" w:lineRule="auto"/>
              <w:jc w:val="center"/>
              <w:rPr>
                <w:rFonts w:ascii="Times New Roman" w:eastAsia="SimSun" w:hAnsi="Times New Roman" w:cs="Times New Roman"/>
                <w:sz w:val="16"/>
                <w:szCs w:val="16"/>
              </w:rPr>
            </w:pPr>
            <m:oMathPara>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RB</m:t>
                    </m:r>
                  </m:sub>
                  <m:sup>
                    <m:r>
                      <w:rPr>
                        <w:rFonts w:ascii="Cambria Math" w:eastAsia="SimSun" w:hAnsi="Cambria Math" w:cs="Times New Roman"/>
                        <w:sz w:val="20"/>
                        <w:szCs w:val="20"/>
                      </w:rPr>
                      <m:t>CORESET</m:t>
                    </m:r>
                  </m:sup>
                </m:sSubSup>
              </m:oMath>
            </m:oMathPara>
          </w:p>
          <w:p w14:paraId="32B675E5"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[PRB]</w:t>
            </w:r>
          </w:p>
        </w:tc>
        <w:tc>
          <w:tcPr>
            <w:tcW w:w="1103" w:type="dxa"/>
            <w:tcBorders>
              <w:bottom w:val="double" w:sz="4" w:space="0" w:color="auto"/>
            </w:tcBorders>
            <w:noWrap/>
            <w:vAlign w:val="center"/>
            <w:hideMark/>
          </w:tcPr>
          <w:p w14:paraId="1CD5AE8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Initial DL BWP</w:t>
            </w:r>
          </w:p>
          <w:p w14:paraId="4C945C4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813" w:type="dxa"/>
            <w:tcBorders>
              <w:bottom w:val="double" w:sz="4" w:space="0" w:color="auto"/>
            </w:tcBorders>
            <w:vAlign w:val="center"/>
          </w:tcPr>
          <w:p w14:paraId="72A62D8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SSB scs</w:t>
            </w:r>
          </w:p>
          <w:p w14:paraId="6C2E2E7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[kHz]</w:t>
            </w:r>
          </w:p>
        </w:tc>
        <w:tc>
          <w:tcPr>
            <w:tcW w:w="743" w:type="dxa"/>
            <w:tcBorders>
              <w:bottom w:val="double" w:sz="4" w:space="0" w:color="auto"/>
            </w:tcBorders>
            <w:noWrap/>
            <w:vAlign w:val="center"/>
            <w:hideMark/>
          </w:tcPr>
          <w:p w14:paraId="42B8BC7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SSB BW</w:t>
            </w:r>
          </w:p>
          <w:p w14:paraId="44239845"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1276" w:type="dxa"/>
            <w:tcBorders>
              <w:bottom w:val="double" w:sz="4" w:space="0" w:color="auto"/>
            </w:tcBorders>
            <w:vAlign w:val="center"/>
          </w:tcPr>
          <w:p w14:paraId="249563E3"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Gap</w:t>
            </w:r>
          </w:p>
          <w:p w14:paraId="1225C69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[RB, RMSI scs]</w:t>
            </w:r>
          </w:p>
        </w:tc>
        <w:tc>
          <w:tcPr>
            <w:tcW w:w="652" w:type="dxa"/>
            <w:tcBorders>
              <w:bottom w:val="double" w:sz="4" w:space="0" w:color="auto"/>
            </w:tcBorders>
            <w:noWrap/>
            <w:vAlign w:val="center"/>
            <w:hideMark/>
          </w:tcPr>
          <w:p w14:paraId="4E417C5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Sum BW</w:t>
            </w:r>
          </w:p>
          <w:p w14:paraId="414C8A8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[MHz]</w:t>
            </w:r>
          </w:p>
        </w:tc>
        <w:tc>
          <w:tcPr>
            <w:tcW w:w="1418" w:type="dxa"/>
            <w:tcBorders>
              <w:bottom w:val="double" w:sz="4" w:space="0" w:color="auto"/>
            </w:tcBorders>
            <w:noWrap/>
            <w:vAlign w:val="center"/>
            <w:hideMark/>
          </w:tcPr>
          <w:p w14:paraId="306BEE6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Sum BW</w:t>
            </w:r>
          </w:p>
          <w:p w14:paraId="37A4F10E"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[PRB, RMSI scs]</w:t>
            </w:r>
          </w:p>
        </w:tc>
      </w:tr>
      <w:tr w:rsidR="00CE6191" w:rsidRPr="00413DDC" w14:paraId="75B714C4" w14:textId="77777777" w:rsidTr="001B48C2">
        <w:trPr>
          <w:trHeight w:val="300"/>
        </w:trPr>
        <w:tc>
          <w:tcPr>
            <w:tcW w:w="1838" w:type="dxa"/>
            <w:tcBorders>
              <w:top w:val="double" w:sz="4" w:space="0" w:color="auto"/>
            </w:tcBorders>
            <w:shd w:val="clear" w:color="auto" w:fill="BFBFBF"/>
            <w:noWrap/>
            <w:hideMark/>
          </w:tcPr>
          <w:p w14:paraId="6C771E96" w14:textId="77777777" w:rsidR="00CE6191" w:rsidRPr="00413DDC" w:rsidRDefault="00CE6191" w:rsidP="001B48C2">
            <w:pPr>
              <w:keepNext/>
              <w:spacing w:after="0" w:line="240" w:lineRule="auto"/>
              <w:rPr>
                <w:rFonts w:ascii="Times New Roman" w:eastAsia="SimSun" w:hAnsi="Times New Roman" w:cs="Times New Roman"/>
                <w:sz w:val="16"/>
                <w:szCs w:val="16"/>
              </w:rPr>
            </w:pPr>
            <w:r w:rsidRPr="00413DDC">
              <w:rPr>
                <w:rFonts w:ascii="Times New Roman" w:eastAsia="SimSun" w:hAnsi="Times New Roman" w:cs="Times New Roman"/>
                <w:sz w:val="16"/>
                <w:szCs w:val="16"/>
              </w:rPr>
              <w:t>Pattern2</w:t>
            </w:r>
          </w:p>
        </w:tc>
        <w:tc>
          <w:tcPr>
            <w:tcW w:w="709" w:type="dxa"/>
            <w:tcBorders>
              <w:top w:val="double" w:sz="4" w:space="0" w:color="auto"/>
            </w:tcBorders>
            <w:shd w:val="clear" w:color="auto" w:fill="BFBFBF"/>
            <w:noWrap/>
          </w:tcPr>
          <w:p w14:paraId="30DD59E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026" w:type="dxa"/>
            <w:tcBorders>
              <w:top w:val="double" w:sz="4" w:space="0" w:color="auto"/>
            </w:tcBorders>
            <w:shd w:val="clear" w:color="auto" w:fill="BFBFBF"/>
            <w:noWrap/>
          </w:tcPr>
          <w:p w14:paraId="36CDCA1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103" w:type="dxa"/>
            <w:tcBorders>
              <w:top w:val="double" w:sz="4" w:space="0" w:color="auto"/>
            </w:tcBorders>
            <w:shd w:val="clear" w:color="auto" w:fill="BFBFBF"/>
            <w:noWrap/>
          </w:tcPr>
          <w:p w14:paraId="0FCF3E9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813" w:type="dxa"/>
            <w:tcBorders>
              <w:top w:val="double" w:sz="4" w:space="0" w:color="auto"/>
            </w:tcBorders>
            <w:shd w:val="clear" w:color="auto" w:fill="BFBFBF"/>
          </w:tcPr>
          <w:p w14:paraId="1CA0ACA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743" w:type="dxa"/>
            <w:tcBorders>
              <w:top w:val="double" w:sz="4" w:space="0" w:color="auto"/>
            </w:tcBorders>
            <w:shd w:val="clear" w:color="auto" w:fill="BFBFBF"/>
            <w:noWrap/>
          </w:tcPr>
          <w:p w14:paraId="5B0B4F70"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276" w:type="dxa"/>
            <w:tcBorders>
              <w:top w:val="double" w:sz="4" w:space="0" w:color="auto"/>
            </w:tcBorders>
            <w:shd w:val="clear" w:color="auto" w:fill="BFBFBF"/>
          </w:tcPr>
          <w:p w14:paraId="5BF3694E"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652" w:type="dxa"/>
            <w:tcBorders>
              <w:top w:val="double" w:sz="4" w:space="0" w:color="auto"/>
            </w:tcBorders>
            <w:shd w:val="clear" w:color="auto" w:fill="BFBFBF"/>
            <w:noWrap/>
          </w:tcPr>
          <w:p w14:paraId="241BCB93"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418" w:type="dxa"/>
            <w:tcBorders>
              <w:top w:val="double" w:sz="4" w:space="0" w:color="auto"/>
            </w:tcBorders>
            <w:shd w:val="clear" w:color="auto" w:fill="BFBFBF"/>
            <w:noWrap/>
          </w:tcPr>
          <w:p w14:paraId="595D920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r>
      <w:tr w:rsidR="00CE6191" w:rsidRPr="00413DDC" w14:paraId="2A77959D" w14:textId="77777777" w:rsidTr="001B48C2">
        <w:trPr>
          <w:trHeight w:val="300"/>
        </w:trPr>
        <w:tc>
          <w:tcPr>
            <w:tcW w:w="1838" w:type="dxa"/>
            <w:tcBorders>
              <w:top w:val="double" w:sz="4" w:space="0" w:color="auto"/>
            </w:tcBorders>
            <w:shd w:val="clear" w:color="auto" w:fill="auto"/>
            <w:noWrap/>
            <w:vAlign w:val="center"/>
          </w:tcPr>
          <w:p w14:paraId="0BA48C55"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{120,60} kHz</w:t>
            </w:r>
          </w:p>
        </w:tc>
        <w:tc>
          <w:tcPr>
            <w:tcW w:w="709" w:type="dxa"/>
            <w:tcBorders>
              <w:top w:val="double" w:sz="4" w:space="0" w:color="auto"/>
            </w:tcBorders>
            <w:shd w:val="clear" w:color="auto" w:fill="auto"/>
            <w:noWrap/>
            <w:vAlign w:val="center"/>
          </w:tcPr>
          <w:p w14:paraId="42A8465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1026" w:type="dxa"/>
            <w:tcBorders>
              <w:top w:val="double" w:sz="4" w:space="0" w:color="auto"/>
            </w:tcBorders>
            <w:shd w:val="clear" w:color="auto" w:fill="auto"/>
            <w:noWrap/>
            <w:vAlign w:val="center"/>
          </w:tcPr>
          <w:p w14:paraId="4CA01B13"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48</w:t>
            </w:r>
          </w:p>
        </w:tc>
        <w:tc>
          <w:tcPr>
            <w:tcW w:w="1103" w:type="dxa"/>
            <w:tcBorders>
              <w:top w:val="double" w:sz="4" w:space="0" w:color="auto"/>
            </w:tcBorders>
            <w:shd w:val="clear" w:color="auto" w:fill="auto"/>
            <w:noWrap/>
            <w:vAlign w:val="center"/>
          </w:tcPr>
          <w:p w14:paraId="353B981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tcBorders>
              <w:top w:val="double" w:sz="4" w:space="0" w:color="auto"/>
            </w:tcBorders>
            <w:vAlign w:val="center"/>
          </w:tcPr>
          <w:p w14:paraId="4A45C12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743" w:type="dxa"/>
            <w:tcBorders>
              <w:top w:val="double" w:sz="4" w:space="0" w:color="auto"/>
            </w:tcBorders>
            <w:shd w:val="clear" w:color="auto" w:fill="auto"/>
            <w:noWrap/>
            <w:vAlign w:val="center"/>
          </w:tcPr>
          <w:p w14:paraId="710FF47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tcBorders>
              <w:top w:val="double" w:sz="4" w:space="0" w:color="auto"/>
            </w:tcBorders>
            <w:shd w:val="clear" w:color="auto" w:fill="auto"/>
            <w:vAlign w:val="center"/>
          </w:tcPr>
          <w:p w14:paraId="0C2290B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tcBorders>
              <w:top w:val="double" w:sz="4" w:space="0" w:color="auto"/>
            </w:tcBorders>
            <w:shd w:val="clear" w:color="auto" w:fill="auto"/>
            <w:noWrap/>
            <w:vAlign w:val="bottom"/>
          </w:tcPr>
          <w:p w14:paraId="251760E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64,8</w:t>
            </w:r>
          </w:p>
        </w:tc>
        <w:tc>
          <w:tcPr>
            <w:tcW w:w="1418" w:type="dxa"/>
            <w:tcBorders>
              <w:top w:val="double" w:sz="4" w:space="0" w:color="auto"/>
            </w:tcBorders>
            <w:noWrap/>
            <w:vAlign w:val="center"/>
          </w:tcPr>
          <w:p w14:paraId="0CEE3BC4"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90</w:t>
            </w:r>
          </w:p>
        </w:tc>
      </w:tr>
      <w:tr w:rsidR="00CE6191" w:rsidRPr="00413DDC" w14:paraId="1CD063D2" w14:textId="77777777" w:rsidTr="001B48C2">
        <w:trPr>
          <w:trHeight w:val="300"/>
        </w:trPr>
        <w:tc>
          <w:tcPr>
            <w:tcW w:w="1838" w:type="dxa"/>
            <w:noWrap/>
            <w:vAlign w:val="center"/>
            <w:hideMark/>
          </w:tcPr>
          <w:p w14:paraId="48B35F7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{120,60} kHz</w:t>
            </w:r>
          </w:p>
        </w:tc>
        <w:tc>
          <w:tcPr>
            <w:tcW w:w="709" w:type="dxa"/>
            <w:noWrap/>
            <w:vAlign w:val="center"/>
            <w:hideMark/>
          </w:tcPr>
          <w:p w14:paraId="2462DB69"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1026" w:type="dxa"/>
            <w:noWrap/>
            <w:vAlign w:val="center"/>
            <w:hideMark/>
          </w:tcPr>
          <w:p w14:paraId="7F8809EE"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96</w:t>
            </w:r>
          </w:p>
        </w:tc>
        <w:tc>
          <w:tcPr>
            <w:tcW w:w="1103" w:type="dxa"/>
            <w:noWrap/>
            <w:vAlign w:val="center"/>
            <w:hideMark/>
          </w:tcPr>
          <w:p w14:paraId="20F1F7E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69,12</w:t>
            </w:r>
          </w:p>
        </w:tc>
        <w:tc>
          <w:tcPr>
            <w:tcW w:w="813" w:type="dxa"/>
            <w:vAlign w:val="center"/>
          </w:tcPr>
          <w:p w14:paraId="7DC0504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60</w:t>
            </w:r>
          </w:p>
        </w:tc>
        <w:tc>
          <w:tcPr>
            <w:tcW w:w="743" w:type="dxa"/>
            <w:noWrap/>
            <w:vAlign w:val="center"/>
            <w:hideMark/>
          </w:tcPr>
          <w:p w14:paraId="55D49B3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58529A1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bottom"/>
            <w:hideMark/>
          </w:tcPr>
          <w:p w14:paraId="73EF3947"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99,36</w:t>
            </w:r>
          </w:p>
        </w:tc>
        <w:tc>
          <w:tcPr>
            <w:tcW w:w="1418" w:type="dxa"/>
            <w:noWrap/>
            <w:vAlign w:val="center"/>
            <w:hideMark/>
          </w:tcPr>
          <w:p w14:paraId="3B754477"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138</w:t>
            </w:r>
          </w:p>
        </w:tc>
      </w:tr>
      <w:tr w:rsidR="00CE6191" w:rsidRPr="00413DDC" w14:paraId="443E54EA" w14:textId="77777777" w:rsidTr="001B48C2">
        <w:trPr>
          <w:trHeight w:val="300"/>
        </w:trPr>
        <w:tc>
          <w:tcPr>
            <w:tcW w:w="1838" w:type="dxa"/>
            <w:noWrap/>
            <w:vAlign w:val="center"/>
            <w:hideMark/>
          </w:tcPr>
          <w:p w14:paraId="019239E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{240,120} kHz</w:t>
            </w:r>
          </w:p>
        </w:tc>
        <w:tc>
          <w:tcPr>
            <w:tcW w:w="709" w:type="dxa"/>
            <w:noWrap/>
            <w:vAlign w:val="center"/>
            <w:hideMark/>
          </w:tcPr>
          <w:p w14:paraId="61C4C2E9"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54765CF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w:t>
            </w:r>
          </w:p>
        </w:tc>
        <w:tc>
          <w:tcPr>
            <w:tcW w:w="1103" w:type="dxa"/>
            <w:noWrap/>
            <w:vAlign w:val="center"/>
            <w:hideMark/>
          </w:tcPr>
          <w:p w14:paraId="5BD9E38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vAlign w:val="center"/>
          </w:tcPr>
          <w:p w14:paraId="50FB4DF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53EA1FD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57,6</w:t>
            </w:r>
          </w:p>
        </w:tc>
        <w:tc>
          <w:tcPr>
            <w:tcW w:w="1276" w:type="dxa"/>
            <w:vAlign w:val="center"/>
          </w:tcPr>
          <w:p w14:paraId="57D38C23"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bottom"/>
            <w:hideMark/>
          </w:tcPr>
          <w:p w14:paraId="69B3F42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color w:val="000000"/>
                <w:sz w:val="16"/>
                <w:szCs w:val="16"/>
              </w:rPr>
              <w:t>95,04</w:t>
            </w:r>
          </w:p>
        </w:tc>
        <w:tc>
          <w:tcPr>
            <w:tcW w:w="1418" w:type="dxa"/>
            <w:noWrap/>
            <w:vAlign w:val="center"/>
            <w:hideMark/>
          </w:tcPr>
          <w:p w14:paraId="37AB5DE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66</w:t>
            </w:r>
          </w:p>
        </w:tc>
      </w:tr>
      <w:tr w:rsidR="00CE6191" w:rsidRPr="00413DDC" w14:paraId="3211D0E5" w14:textId="77777777" w:rsidTr="001B48C2">
        <w:trPr>
          <w:trHeight w:val="300"/>
        </w:trPr>
        <w:tc>
          <w:tcPr>
            <w:tcW w:w="1838" w:type="dxa"/>
            <w:noWrap/>
            <w:hideMark/>
          </w:tcPr>
          <w:p w14:paraId="264C615D" w14:textId="77777777" w:rsidR="00CE6191" w:rsidRPr="00413DDC" w:rsidRDefault="00CE6191" w:rsidP="001B48C2">
            <w:pPr>
              <w:keepNext/>
              <w:spacing w:after="0" w:line="240" w:lineRule="auto"/>
              <w:rPr>
                <w:rFonts w:ascii="Times New Roman" w:eastAsia="SimSun" w:hAnsi="Times New Roman" w:cs="Times New Roman"/>
                <w:sz w:val="16"/>
                <w:szCs w:val="16"/>
              </w:rPr>
            </w:pPr>
          </w:p>
        </w:tc>
        <w:tc>
          <w:tcPr>
            <w:tcW w:w="709" w:type="dxa"/>
            <w:noWrap/>
            <w:hideMark/>
          </w:tcPr>
          <w:p w14:paraId="5B3FE3C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026" w:type="dxa"/>
            <w:noWrap/>
            <w:hideMark/>
          </w:tcPr>
          <w:p w14:paraId="3D1255E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103" w:type="dxa"/>
            <w:noWrap/>
            <w:hideMark/>
          </w:tcPr>
          <w:p w14:paraId="0377895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813" w:type="dxa"/>
          </w:tcPr>
          <w:p w14:paraId="1BDCAE7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743" w:type="dxa"/>
            <w:noWrap/>
            <w:hideMark/>
          </w:tcPr>
          <w:p w14:paraId="7C1CE4B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276" w:type="dxa"/>
            <w:vAlign w:val="center"/>
          </w:tcPr>
          <w:p w14:paraId="7B800FA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652" w:type="dxa"/>
            <w:noWrap/>
            <w:hideMark/>
          </w:tcPr>
          <w:p w14:paraId="7AE4A61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418" w:type="dxa"/>
            <w:noWrap/>
            <w:hideMark/>
          </w:tcPr>
          <w:p w14:paraId="30C5DF3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r>
      <w:tr w:rsidR="00CE6191" w:rsidRPr="00413DDC" w14:paraId="28A85109" w14:textId="77777777" w:rsidTr="001B48C2">
        <w:trPr>
          <w:trHeight w:val="300"/>
        </w:trPr>
        <w:tc>
          <w:tcPr>
            <w:tcW w:w="1838" w:type="dxa"/>
            <w:shd w:val="clear" w:color="auto" w:fill="BFBFBF"/>
            <w:noWrap/>
          </w:tcPr>
          <w:p w14:paraId="7087C1B2" w14:textId="77777777" w:rsidR="00CE6191" w:rsidRPr="00413DDC" w:rsidRDefault="00CE6191" w:rsidP="001B48C2">
            <w:pPr>
              <w:keepNext/>
              <w:spacing w:after="0" w:line="240" w:lineRule="auto"/>
              <w:rPr>
                <w:rFonts w:ascii="Times New Roman" w:eastAsia="SimSun" w:hAnsi="Times New Roman" w:cs="Times New Roman"/>
                <w:sz w:val="16"/>
                <w:szCs w:val="16"/>
              </w:rPr>
            </w:pPr>
            <w:r w:rsidRPr="00413DDC">
              <w:rPr>
                <w:rFonts w:ascii="Times New Roman" w:eastAsia="SimSun" w:hAnsi="Times New Roman" w:cs="Times New Roman"/>
                <w:sz w:val="16"/>
                <w:szCs w:val="16"/>
              </w:rPr>
              <w:t>Pattern3</w:t>
            </w:r>
          </w:p>
        </w:tc>
        <w:tc>
          <w:tcPr>
            <w:tcW w:w="709" w:type="dxa"/>
            <w:shd w:val="clear" w:color="auto" w:fill="BFBFBF"/>
            <w:noWrap/>
          </w:tcPr>
          <w:p w14:paraId="231EC81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026" w:type="dxa"/>
            <w:shd w:val="clear" w:color="auto" w:fill="BFBFBF"/>
            <w:noWrap/>
          </w:tcPr>
          <w:p w14:paraId="6EEE1E7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103" w:type="dxa"/>
            <w:shd w:val="clear" w:color="auto" w:fill="BFBFBF"/>
            <w:noWrap/>
          </w:tcPr>
          <w:p w14:paraId="4014E4A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813" w:type="dxa"/>
            <w:shd w:val="clear" w:color="auto" w:fill="BFBFBF"/>
          </w:tcPr>
          <w:p w14:paraId="7C95821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743" w:type="dxa"/>
            <w:shd w:val="clear" w:color="auto" w:fill="BFBFBF"/>
            <w:noWrap/>
          </w:tcPr>
          <w:p w14:paraId="0EAD4E0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276" w:type="dxa"/>
            <w:shd w:val="clear" w:color="auto" w:fill="BFBFBF"/>
            <w:vAlign w:val="center"/>
          </w:tcPr>
          <w:p w14:paraId="29974513"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652" w:type="dxa"/>
            <w:shd w:val="clear" w:color="auto" w:fill="BFBFBF"/>
            <w:noWrap/>
          </w:tcPr>
          <w:p w14:paraId="2B41BE4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c>
          <w:tcPr>
            <w:tcW w:w="1418" w:type="dxa"/>
            <w:shd w:val="clear" w:color="auto" w:fill="BFBFBF"/>
            <w:noWrap/>
          </w:tcPr>
          <w:p w14:paraId="142D4B24"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p>
        </w:tc>
      </w:tr>
      <w:tr w:rsidR="00CE6191" w:rsidRPr="00413DDC" w14:paraId="00A7BE8C" w14:textId="77777777" w:rsidTr="001B48C2">
        <w:trPr>
          <w:trHeight w:val="300"/>
        </w:trPr>
        <w:tc>
          <w:tcPr>
            <w:tcW w:w="1838" w:type="dxa"/>
            <w:noWrap/>
            <w:vAlign w:val="center"/>
            <w:hideMark/>
          </w:tcPr>
          <w:p w14:paraId="5C399F82"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{120,120} kHz</w:t>
            </w:r>
          </w:p>
        </w:tc>
        <w:tc>
          <w:tcPr>
            <w:tcW w:w="709" w:type="dxa"/>
            <w:noWrap/>
            <w:vAlign w:val="center"/>
            <w:hideMark/>
          </w:tcPr>
          <w:p w14:paraId="29A924E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58F89FBB"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24</w:t>
            </w:r>
          </w:p>
        </w:tc>
        <w:tc>
          <w:tcPr>
            <w:tcW w:w="1103" w:type="dxa"/>
            <w:noWrap/>
            <w:vAlign w:val="center"/>
            <w:hideMark/>
          </w:tcPr>
          <w:p w14:paraId="5514BA8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34,56</w:t>
            </w:r>
          </w:p>
        </w:tc>
        <w:tc>
          <w:tcPr>
            <w:tcW w:w="813" w:type="dxa"/>
            <w:vAlign w:val="center"/>
          </w:tcPr>
          <w:p w14:paraId="17448E9C"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3C1FA7A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257069B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center"/>
            <w:hideMark/>
          </w:tcPr>
          <w:p w14:paraId="64958C5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66,24</w:t>
            </w:r>
          </w:p>
        </w:tc>
        <w:tc>
          <w:tcPr>
            <w:tcW w:w="1418" w:type="dxa"/>
            <w:noWrap/>
            <w:vAlign w:val="center"/>
            <w:hideMark/>
          </w:tcPr>
          <w:p w14:paraId="5834E7A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46</w:t>
            </w:r>
          </w:p>
        </w:tc>
      </w:tr>
      <w:tr w:rsidR="00CE6191" w:rsidRPr="00413DDC" w14:paraId="28BA2A5B" w14:textId="77777777" w:rsidTr="001B48C2">
        <w:trPr>
          <w:trHeight w:val="243"/>
        </w:trPr>
        <w:tc>
          <w:tcPr>
            <w:tcW w:w="1838" w:type="dxa"/>
            <w:noWrap/>
            <w:vAlign w:val="center"/>
            <w:hideMark/>
          </w:tcPr>
          <w:p w14:paraId="3E45C24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{120,120} kHz</w:t>
            </w:r>
          </w:p>
        </w:tc>
        <w:tc>
          <w:tcPr>
            <w:tcW w:w="709" w:type="dxa"/>
            <w:noWrap/>
            <w:vAlign w:val="center"/>
            <w:hideMark/>
          </w:tcPr>
          <w:p w14:paraId="153AC0D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1026" w:type="dxa"/>
            <w:noWrap/>
            <w:vAlign w:val="center"/>
            <w:hideMark/>
          </w:tcPr>
          <w:p w14:paraId="0A059D87"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48</w:t>
            </w:r>
          </w:p>
        </w:tc>
        <w:tc>
          <w:tcPr>
            <w:tcW w:w="1103" w:type="dxa"/>
            <w:noWrap/>
            <w:vAlign w:val="center"/>
            <w:hideMark/>
          </w:tcPr>
          <w:p w14:paraId="14790336"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69,12</w:t>
            </w:r>
          </w:p>
        </w:tc>
        <w:tc>
          <w:tcPr>
            <w:tcW w:w="813" w:type="dxa"/>
            <w:vAlign w:val="center"/>
          </w:tcPr>
          <w:p w14:paraId="017CE6D1"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120</w:t>
            </w:r>
          </w:p>
        </w:tc>
        <w:tc>
          <w:tcPr>
            <w:tcW w:w="743" w:type="dxa"/>
            <w:noWrap/>
            <w:vAlign w:val="center"/>
            <w:hideMark/>
          </w:tcPr>
          <w:p w14:paraId="2FAF9C3F"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28,8</w:t>
            </w:r>
          </w:p>
        </w:tc>
        <w:tc>
          <w:tcPr>
            <w:tcW w:w="1276" w:type="dxa"/>
            <w:vAlign w:val="center"/>
          </w:tcPr>
          <w:p w14:paraId="7F09D8D4"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2</w:t>
            </w:r>
          </w:p>
        </w:tc>
        <w:tc>
          <w:tcPr>
            <w:tcW w:w="652" w:type="dxa"/>
            <w:noWrap/>
            <w:vAlign w:val="center"/>
            <w:hideMark/>
          </w:tcPr>
          <w:p w14:paraId="37D02E58"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100,8</w:t>
            </w:r>
          </w:p>
        </w:tc>
        <w:tc>
          <w:tcPr>
            <w:tcW w:w="1418" w:type="dxa"/>
            <w:noWrap/>
            <w:vAlign w:val="center"/>
            <w:hideMark/>
          </w:tcPr>
          <w:p w14:paraId="488EC8CD" w14:textId="77777777" w:rsidR="00CE6191" w:rsidRPr="00413DDC" w:rsidRDefault="00CE6191" w:rsidP="001B48C2">
            <w:pPr>
              <w:keepNext/>
              <w:spacing w:after="0" w:line="240" w:lineRule="auto"/>
              <w:jc w:val="center"/>
              <w:rPr>
                <w:rFonts w:ascii="Times New Roman" w:eastAsia="SimSun" w:hAnsi="Times New Roman" w:cs="Times New Roman"/>
                <w:sz w:val="16"/>
                <w:szCs w:val="16"/>
              </w:rPr>
            </w:pPr>
            <w:r w:rsidRPr="00413DDC">
              <w:rPr>
                <w:rFonts w:ascii="Times New Roman" w:eastAsia="SimSun" w:hAnsi="Times New Roman" w:cs="Times New Roman"/>
                <w:sz w:val="16"/>
                <w:szCs w:val="16"/>
              </w:rPr>
              <w:t>70</w:t>
            </w:r>
          </w:p>
        </w:tc>
      </w:tr>
    </w:tbl>
    <w:p w14:paraId="1A11998E" w14:textId="77777777" w:rsidR="00CE6191" w:rsidRDefault="00CE6191" w:rsidP="00802D09">
      <w:pPr>
        <w:rPr>
          <w:rFonts w:ascii="Calibri" w:eastAsia="Calibri" w:hAnsi="Calibri" w:cs="Times New Roman"/>
        </w:rPr>
      </w:pPr>
    </w:p>
    <w:p w14:paraId="43D20937" w14:textId="1CE50C32" w:rsidR="00802D09" w:rsidRDefault="00802D09" w:rsidP="00802D09">
      <w:pPr>
        <w:rPr>
          <w:rFonts w:ascii="Calibri" w:eastAsia="Calibri" w:hAnsi="Calibri" w:cs="Times New Roman"/>
        </w:rPr>
      </w:pPr>
      <w:r>
        <w:rPr>
          <w:rFonts w:ascii="Calibri" w:eastAsia="Calibri" w:hAnsi="Calibri" w:cs="Times New Roman"/>
        </w:rPr>
        <w:t xml:space="preserve">Independent of this discussion, during RAN1#92bis, in control channel related discussions, RAN1 made an agreement to determine the starting location (i.e. PRB#0) for PDSCH when DCI format 1-0 in CCS is used: </w:t>
      </w:r>
    </w:p>
    <w:tbl>
      <w:tblPr>
        <w:tblStyle w:val="TableGrid"/>
        <w:tblW w:w="0" w:type="auto"/>
        <w:tblLook w:val="04A0" w:firstRow="1" w:lastRow="0" w:firstColumn="1" w:lastColumn="0" w:noHBand="0" w:noVBand="1"/>
      </w:tblPr>
      <w:tblGrid>
        <w:gridCol w:w="9629"/>
      </w:tblGrid>
      <w:tr w:rsidR="00802D09" w:rsidRPr="00AB0F98" w14:paraId="1C61FC62" w14:textId="77777777" w:rsidTr="00802D09">
        <w:tc>
          <w:tcPr>
            <w:tcW w:w="9629" w:type="dxa"/>
          </w:tcPr>
          <w:p w14:paraId="2FD26027" w14:textId="77777777" w:rsidR="00802D09" w:rsidRPr="00802D09" w:rsidRDefault="00802D09" w:rsidP="00802D09">
            <w:pPr>
              <w:spacing w:after="0" w:line="240" w:lineRule="auto"/>
              <w:rPr>
                <w:rFonts w:ascii="Times" w:eastAsia="Batang" w:hAnsi="Times" w:cs="Times New Roman"/>
                <w:sz w:val="20"/>
                <w:szCs w:val="20"/>
              </w:rPr>
            </w:pPr>
            <w:r w:rsidRPr="00802D09">
              <w:rPr>
                <w:rFonts w:ascii="Times" w:eastAsia="Batang" w:hAnsi="Times" w:cs="Times New Roman"/>
                <w:sz w:val="20"/>
                <w:szCs w:val="20"/>
                <w:highlight w:val="green"/>
              </w:rPr>
              <w:t>Agreements</w:t>
            </w:r>
            <w:r w:rsidRPr="00802D09">
              <w:rPr>
                <w:rFonts w:ascii="Times" w:eastAsia="Batang" w:hAnsi="Times" w:cs="Times New Roman"/>
                <w:sz w:val="20"/>
                <w:szCs w:val="20"/>
              </w:rPr>
              <w:t>:</w:t>
            </w:r>
          </w:p>
          <w:p w14:paraId="34BF94B5" w14:textId="77777777" w:rsidR="00802D09" w:rsidRPr="00802D09" w:rsidRDefault="00802D09" w:rsidP="00802D09">
            <w:pPr>
              <w:numPr>
                <w:ilvl w:val="0"/>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For DCI format 1-0 in CSS with P-RNTI, SI-RNTI, RA-RNTI, C-RNTI, CS-RNTI, or TC-RNTI:</w:t>
            </w:r>
          </w:p>
          <w:p w14:paraId="34B8A3BE" w14:textId="77777777" w:rsidR="00802D09" w:rsidRPr="00802D09" w:rsidRDefault="00802D09" w:rsidP="00802D09">
            <w:pPr>
              <w:numPr>
                <w:ilvl w:val="1"/>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the RB numbering for the scheduled PDSCH starts from the lowest RB in the CORESET the DCI is received in</w:t>
            </w:r>
          </w:p>
          <w:p w14:paraId="2A6E8E82" w14:textId="77777777" w:rsidR="00802D09" w:rsidRPr="00802D09" w:rsidRDefault="00802D09" w:rsidP="00802D09">
            <w:pPr>
              <w:numPr>
                <w:ilvl w:val="1"/>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the maximum number of RBs possible to indicate in the DCI is given by the size of the initial DL BWP.</w:t>
            </w:r>
          </w:p>
          <w:p w14:paraId="6E5DECF0" w14:textId="77777777" w:rsidR="00802D09" w:rsidRPr="00802D09" w:rsidRDefault="00802D09" w:rsidP="00802D09">
            <w:pPr>
              <w:numPr>
                <w:ilvl w:val="1"/>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The case of TC-RNTI is a working assumption</w:t>
            </w:r>
          </w:p>
          <w:p w14:paraId="2457999E" w14:textId="77777777" w:rsidR="00802D09" w:rsidRPr="00802D09" w:rsidRDefault="00802D09" w:rsidP="00802D09">
            <w:pPr>
              <w:numPr>
                <w:ilvl w:val="1"/>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The case of C-RNTI/CS-RNTI is at least applicable to non-CA case and Pcell in CA</w:t>
            </w:r>
          </w:p>
          <w:p w14:paraId="4FAD0190" w14:textId="77777777" w:rsidR="00802D09" w:rsidRPr="00802D09" w:rsidRDefault="00802D09" w:rsidP="00802D09">
            <w:pPr>
              <w:numPr>
                <w:ilvl w:val="2"/>
                <w:numId w:val="30"/>
              </w:numPr>
              <w:spacing w:after="0" w:line="240" w:lineRule="auto"/>
              <w:rPr>
                <w:rFonts w:ascii="Times" w:eastAsia="Batang" w:hAnsi="Times" w:cs="Times New Roman"/>
                <w:sz w:val="20"/>
                <w:szCs w:val="20"/>
              </w:rPr>
            </w:pPr>
            <w:r w:rsidRPr="00802D09">
              <w:rPr>
                <w:rFonts w:ascii="Times" w:eastAsia="Batang" w:hAnsi="Times" w:cs="Times New Roman"/>
                <w:sz w:val="20"/>
                <w:szCs w:val="20"/>
              </w:rPr>
              <w:t>FFS other cases</w:t>
            </w:r>
          </w:p>
          <w:p w14:paraId="5178A515" w14:textId="77777777" w:rsidR="00802D09" w:rsidRPr="00413DDC" w:rsidRDefault="00802D09" w:rsidP="00802D09">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1B0A133F" w14:textId="319D6852" w:rsidR="00802D09" w:rsidRDefault="00802D09" w:rsidP="00413DDC">
      <w:pPr>
        <w:rPr>
          <w:rFonts w:ascii="Calibri" w:eastAsia="Calibri" w:hAnsi="Calibri" w:cs="Times New Roman"/>
        </w:rPr>
      </w:pPr>
    </w:p>
    <w:p w14:paraId="7EB7D90B" w14:textId="68D53CE9" w:rsidR="00673974" w:rsidRPr="00CE6191" w:rsidRDefault="00673974" w:rsidP="00413DDC">
      <w:pPr>
        <w:rPr>
          <w:rFonts w:ascii="Calibri" w:eastAsia="Calibri" w:hAnsi="Calibri" w:cs="Times New Roman"/>
        </w:rPr>
      </w:pPr>
      <w:r>
        <w:rPr>
          <w:rFonts w:ascii="Calibri" w:eastAsia="Calibri" w:hAnsi="Calibri" w:cs="Times New Roman"/>
        </w:rPr>
        <w:t xml:space="preserve">Hence, it follows from this that, even if the initial active DL BWP is extended, it would not </w:t>
      </w:r>
      <w:r w:rsidR="009F4CE2">
        <w:rPr>
          <w:rFonts w:ascii="Calibri" w:eastAsia="Calibri" w:hAnsi="Calibri" w:cs="Times New Roman"/>
        </w:rPr>
        <w:t xml:space="preserve">be </w:t>
      </w:r>
      <w:r>
        <w:rPr>
          <w:rFonts w:ascii="Calibri" w:eastAsia="Calibri" w:hAnsi="Calibri" w:cs="Times New Roman"/>
        </w:rPr>
        <w:t xml:space="preserve">possible to use the </w:t>
      </w:r>
      <w:r w:rsidR="000105AE">
        <w:rPr>
          <w:rFonts w:ascii="Calibri" w:eastAsia="Calibri" w:hAnsi="Calibri" w:cs="Times New Roman"/>
        </w:rPr>
        <w:t>full</w:t>
      </w:r>
      <w:r>
        <w:rPr>
          <w:rFonts w:ascii="Calibri" w:eastAsia="Calibri" w:hAnsi="Calibri" w:cs="Times New Roman"/>
        </w:rPr>
        <w:t xml:space="preserve"> </w:t>
      </w:r>
      <w:r w:rsidR="000105AE">
        <w:rPr>
          <w:rFonts w:ascii="Calibri" w:eastAsia="Calibri" w:hAnsi="Calibri" w:cs="Times New Roman"/>
        </w:rPr>
        <w:t xml:space="preserve">initial access DL </w:t>
      </w:r>
      <w:r>
        <w:rPr>
          <w:rFonts w:ascii="Calibri" w:eastAsia="Calibri" w:hAnsi="Calibri" w:cs="Times New Roman"/>
        </w:rPr>
        <w:t>BWP for</w:t>
      </w:r>
      <w:r w:rsidR="009F4CE2">
        <w:rPr>
          <w:rFonts w:ascii="Calibri" w:eastAsia="Calibri" w:hAnsi="Calibri" w:cs="Times New Roman"/>
        </w:rPr>
        <w:t xml:space="preserve"> scheduling the</w:t>
      </w:r>
      <w:r>
        <w:rPr>
          <w:rFonts w:ascii="Calibri" w:eastAsia="Calibri" w:hAnsi="Calibri" w:cs="Times New Roman"/>
        </w:rPr>
        <w:t xml:space="preserve"> PDSCH</w:t>
      </w:r>
      <w:r w:rsidR="009F4CE2">
        <w:rPr>
          <w:rFonts w:ascii="Calibri" w:eastAsia="Calibri" w:hAnsi="Calibri" w:cs="Times New Roman"/>
        </w:rPr>
        <w:t xml:space="preserve"> for all the </w:t>
      </w:r>
      <w:r w:rsidR="000105AE">
        <w:rPr>
          <w:rFonts w:ascii="Calibri" w:eastAsia="Calibri" w:hAnsi="Calibri" w:cs="Times New Roman"/>
        </w:rPr>
        <w:t>placements</w:t>
      </w:r>
      <w:r w:rsidR="009F4CE2">
        <w:rPr>
          <w:rFonts w:ascii="Calibri" w:eastAsia="Calibri" w:hAnsi="Calibri" w:cs="Times New Roman"/>
        </w:rPr>
        <w:t xml:space="preserve"> of SSB and CORESET#0</w:t>
      </w:r>
      <w:r>
        <w:rPr>
          <w:rFonts w:ascii="Calibri" w:eastAsia="Calibri" w:hAnsi="Calibri" w:cs="Times New Roman"/>
        </w:rPr>
        <w:t>. I.e. in the case that CORESET</w:t>
      </w:r>
      <w:r w:rsidR="009F4CE2">
        <w:rPr>
          <w:rFonts w:ascii="Calibri" w:eastAsia="Calibri" w:hAnsi="Calibri" w:cs="Times New Roman"/>
        </w:rPr>
        <w:t>#0</w:t>
      </w:r>
      <w:r>
        <w:rPr>
          <w:rFonts w:ascii="Calibri" w:eastAsia="Calibri" w:hAnsi="Calibri" w:cs="Times New Roman"/>
        </w:rPr>
        <w:t xml:space="preserve"> is located above the SSB in frequency domain, the start of the PDSCH allocation would be restricted to the start of the CORESET, as show in </w:t>
      </w:r>
      <w:r w:rsidR="00CE6191">
        <w:rPr>
          <w:rFonts w:ascii="Calibri" w:eastAsia="Calibri" w:hAnsi="Calibri" w:cs="Times New Roman"/>
        </w:rPr>
        <w:fldChar w:fldCharType="begin"/>
      </w:r>
      <w:r w:rsidR="00CE6191">
        <w:rPr>
          <w:rFonts w:ascii="Calibri" w:eastAsia="Calibri" w:hAnsi="Calibri" w:cs="Times New Roman"/>
        </w:rPr>
        <w:instrText xml:space="preserve"> REF _Ref513563060 \h </w:instrText>
      </w:r>
      <w:r w:rsidR="00CE6191">
        <w:rPr>
          <w:rFonts w:ascii="Calibri" w:eastAsia="Calibri" w:hAnsi="Calibri" w:cs="Times New Roman"/>
        </w:rPr>
      </w:r>
      <w:r w:rsidR="00CE6191">
        <w:rPr>
          <w:rFonts w:ascii="Calibri" w:eastAsia="Calibri" w:hAnsi="Calibri" w:cs="Times New Roman"/>
        </w:rPr>
        <w:fldChar w:fldCharType="separate"/>
      </w:r>
      <w:r w:rsidR="00CE6191" w:rsidRPr="00413DDC">
        <w:rPr>
          <w:rFonts w:ascii="Calibri" w:eastAsia="Calibri" w:hAnsi="Calibri" w:cs="Times New Roman"/>
          <w:b/>
          <w:lang w:val="x-none" w:eastAsia="x-none"/>
        </w:rPr>
        <w:t xml:space="preserve">Figure </w:t>
      </w:r>
      <w:r w:rsidR="00CE6191">
        <w:rPr>
          <w:rFonts w:ascii="Calibri" w:eastAsia="Calibri" w:hAnsi="Calibri" w:cs="Times New Roman"/>
          <w:b/>
          <w:noProof/>
          <w:lang w:val="x-none" w:eastAsia="x-none"/>
        </w:rPr>
        <w:t>2</w:t>
      </w:r>
      <w:r w:rsidR="00CE6191">
        <w:rPr>
          <w:rFonts w:ascii="Calibri" w:eastAsia="Calibri" w:hAnsi="Calibri" w:cs="Times New Roman"/>
        </w:rPr>
        <w:fldChar w:fldCharType="end"/>
      </w:r>
      <w:r w:rsidR="00CE6191">
        <w:rPr>
          <w:rFonts w:ascii="Calibri" w:eastAsia="Calibri" w:hAnsi="Calibri" w:cs="Times New Roman"/>
        </w:rPr>
        <w:t xml:space="preserve"> </w:t>
      </w:r>
      <w:r w:rsidR="00CE6191" w:rsidRPr="00CE6191">
        <w:rPr>
          <w:rFonts w:ascii="Calibri" w:eastAsia="Calibri" w:hAnsi="Calibri" w:cs="Times New Roman"/>
          <w:b/>
        </w:rPr>
        <w:t>(a)</w:t>
      </w:r>
      <w:r w:rsidR="00CE6191">
        <w:rPr>
          <w:rFonts w:ascii="Calibri" w:eastAsia="Calibri" w:hAnsi="Calibri" w:cs="Times New Roman"/>
        </w:rPr>
        <w:t xml:space="preserve">. </w:t>
      </w:r>
      <w:r w:rsidR="000105AE">
        <w:rPr>
          <w:rFonts w:ascii="Calibri" w:eastAsia="Calibri" w:hAnsi="Calibri" w:cs="Times New Roman"/>
        </w:rPr>
        <w:t>However, i</w:t>
      </w:r>
      <w:r w:rsidR="00CE6191">
        <w:rPr>
          <w:rFonts w:ascii="Calibri" w:eastAsia="Calibri" w:hAnsi="Calibri" w:cs="Times New Roman"/>
        </w:rPr>
        <w:t>n the case that CORESET</w:t>
      </w:r>
      <w:r w:rsidR="009F4CE2">
        <w:rPr>
          <w:rFonts w:ascii="Calibri" w:eastAsia="Calibri" w:hAnsi="Calibri" w:cs="Times New Roman"/>
        </w:rPr>
        <w:t>#0</w:t>
      </w:r>
      <w:r w:rsidR="00CE6191">
        <w:rPr>
          <w:rFonts w:ascii="Calibri" w:eastAsia="Calibri" w:hAnsi="Calibri" w:cs="Times New Roman"/>
        </w:rPr>
        <w:t xml:space="preserve"> would be located below the SSB in frequency domain</w:t>
      </w:r>
      <w:r w:rsidR="00881306">
        <w:rPr>
          <w:rFonts w:ascii="Calibri" w:eastAsia="Calibri" w:hAnsi="Calibri" w:cs="Times New Roman"/>
        </w:rPr>
        <w:t>, and the initial active DL BWP</w:t>
      </w:r>
      <w:r w:rsidR="009F4CE2">
        <w:rPr>
          <w:rFonts w:ascii="Calibri" w:eastAsia="Calibri" w:hAnsi="Calibri" w:cs="Times New Roman"/>
        </w:rPr>
        <w:t>,</w:t>
      </w:r>
      <w:r w:rsidR="00CE6191">
        <w:rPr>
          <w:rFonts w:ascii="Calibri" w:eastAsia="Calibri" w:hAnsi="Calibri" w:cs="Times New Roman"/>
        </w:rPr>
        <w:t xml:space="preserve"> the PDSCH could be extended to cover whole (proposed) initial active DL BWP (e.g. </w:t>
      </w:r>
      <w:r w:rsidR="00CE6191">
        <w:rPr>
          <w:rFonts w:ascii="Calibri" w:eastAsia="Calibri" w:hAnsi="Calibri" w:cs="Times New Roman"/>
        </w:rPr>
        <w:fldChar w:fldCharType="begin"/>
      </w:r>
      <w:r w:rsidR="00CE6191">
        <w:rPr>
          <w:rFonts w:ascii="Calibri" w:eastAsia="Calibri" w:hAnsi="Calibri" w:cs="Times New Roman"/>
        </w:rPr>
        <w:instrText xml:space="preserve"> REF _Ref513563060 \h </w:instrText>
      </w:r>
      <w:r w:rsidR="00CE6191">
        <w:rPr>
          <w:rFonts w:ascii="Calibri" w:eastAsia="Calibri" w:hAnsi="Calibri" w:cs="Times New Roman"/>
        </w:rPr>
      </w:r>
      <w:r w:rsidR="00CE6191">
        <w:rPr>
          <w:rFonts w:ascii="Calibri" w:eastAsia="Calibri" w:hAnsi="Calibri" w:cs="Times New Roman"/>
        </w:rPr>
        <w:fldChar w:fldCharType="separate"/>
      </w:r>
      <w:r w:rsidR="00CE6191" w:rsidRPr="00413DDC">
        <w:rPr>
          <w:rFonts w:ascii="Calibri" w:eastAsia="Calibri" w:hAnsi="Calibri" w:cs="Times New Roman"/>
          <w:b/>
          <w:lang w:val="x-none" w:eastAsia="x-none"/>
        </w:rPr>
        <w:t xml:space="preserve">Figure </w:t>
      </w:r>
      <w:r w:rsidR="00CE6191">
        <w:rPr>
          <w:rFonts w:ascii="Calibri" w:eastAsia="Calibri" w:hAnsi="Calibri" w:cs="Times New Roman"/>
          <w:b/>
          <w:noProof/>
          <w:lang w:val="x-none" w:eastAsia="x-none"/>
        </w:rPr>
        <w:t>2</w:t>
      </w:r>
      <w:r w:rsidR="00CE6191">
        <w:rPr>
          <w:rFonts w:ascii="Calibri" w:eastAsia="Calibri" w:hAnsi="Calibri" w:cs="Times New Roman"/>
        </w:rPr>
        <w:fldChar w:fldCharType="end"/>
      </w:r>
      <w:r w:rsidR="00CE6191">
        <w:rPr>
          <w:rFonts w:ascii="Calibri" w:eastAsia="Calibri" w:hAnsi="Calibri" w:cs="Times New Roman"/>
        </w:rPr>
        <w:t xml:space="preserve"> </w:t>
      </w:r>
      <w:r w:rsidR="00CE6191" w:rsidRPr="00CE6191">
        <w:rPr>
          <w:rFonts w:ascii="Calibri" w:eastAsia="Calibri" w:hAnsi="Calibri" w:cs="Times New Roman"/>
          <w:b/>
        </w:rPr>
        <w:t>(b)</w:t>
      </w:r>
      <w:r w:rsidR="00881306" w:rsidRPr="00881306">
        <w:rPr>
          <w:rFonts w:ascii="Calibri" w:eastAsia="Calibri" w:hAnsi="Calibri" w:cs="Times New Roman"/>
        </w:rPr>
        <w:t>)</w:t>
      </w:r>
      <w:r w:rsidR="00CE6191">
        <w:rPr>
          <w:rFonts w:ascii="Calibri" w:eastAsia="Calibri" w:hAnsi="Calibri" w:cs="Times New Roman"/>
        </w:rPr>
        <w:t>. Hence, it is evident that if the initial ac</w:t>
      </w:r>
      <w:r w:rsidR="00061F29">
        <w:rPr>
          <w:rFonts w:ascii="Calibri" w:eastAsia="Calibri" w:hAnsi="Calibri" w:cs="Times New Roman"/>
        </w:rPr>
        <w:t>tive</w:t>
      </w:r>
      <w:r w:rsidR="00CE6191">
        <w:rPr>
          <w:rFonts w:ascii="Calibri" w:eastAsia="Calibri" w:hAnsi="Calibri" w:cs="Times New Roman"/>
        </w:rPr>
        <w:t xml:space="preserve"> DL BWP is extended for RMSI pattern 2 and 3, that (optimistically)</w:t>
      </w:r>
      <w:r w:rsidR="00881306">
        <w:rPr>
          <w:rFonts w:ascii="Calibri" w:eastAsia="Calibri" w:hAnsi="Calibri" w:cs="Times New Roman"/>
        </w:rPr>
        <w:t xml:space="preserve"> at least</w:t>
      </w:r>
      <w:r w:rsidR="00CE6191">
        <w:rPr>
          <w:rFonts w:ascii="Calibri" w:eastAsia="Calibri" w:hAnsi="Calibri" w:cs="Times New Roman"/>
        </w:rPr>
        <w:t xml:space="preserve"> in half of the cases/deployments it would be possible to extend also the PDSCH allocation. Of course</w:t>
      </w:r>
      <w:r w:rsidR="009F4CE2">
        <w:rPr>
          <w:rFonts w:ascii="Calibri" w:eastAsia="Calibri" w:hAnsi="Calibri" w:cs="Times New Roman"/>
        </w:rPr>
        <w:t>,</w:t>
      </w:r>
      <w:r w:rsidR="00CE6191">
        <w:rPr>
          <w:rFonts w:ascii="Calibri" w:eastAsia="Calibri" w:hAnsi="Calibri" w:cs="Times New Roman"/>
        </w:rPr>
        <w:t xml:space="preserve"> the probability of this can be increased in case of wide carriers, where multiple SS-raster locations are within the carrier bandwidth.</w:t>
      </w:r>
      <w:bookmarkStart w:id="9" w:name="_GoBack"/>
      <w:bookmarkEnd w:id="9"/>
    </w:p>
    <w:p w14:paraId="17A68FD5" w14:textId="50BA03BE" w:rsidR="00802D09" w:rsidRDefault="00802D09" w:rsidP="00413DDC">
      <w:pPr>
        <w:rPr>
          <w:rFonts w:ascii="Calibri" w:eastAsia="Calibri" w:hAnsi="Calibri"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25C4B" w14:paraId="0F65D6DC" w14:textId="77777777" w:rsidTr="00CE6191">
        <w:tc>
          <w:tcPr>
            <w:tcW w:w="4814" w:type="dxa"/>
          </w:tcPr>
          <w:p w14:paraId="56338FA0" w14:textId="77777777" w:rsidR="00325C4B" w:rsidRDefault="00325C4B" w:rsidP="00061F29">
            <w:pPr>
              <w:keepNext/>
              <w:jc w:val="center"/>
              <w:rPr>
                <w:rFonts w:ascii="Calibri" w:eastAsia="Calibri" w:hAnsi="Calibri" w:cs="Times New Roman"/>
              </w:rPr>
            </w:pPr>
            <w:r w:rsidRPr="00673974">
              <w:rPr>
                <w:noProof/>
              </w:rPr>
              <w:lastRenderedPageBreak/>
              <w:drawing>
                <wp:inline distT="0" distB="0" distL="0" distR="0" wp14:anchorId="4A08DEB6" wp14:editId="5154BED6">
                  <wp:extent cx="2116800" cy="22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6800" cy="2221200"/>
                          </a:xfrm>
                          <a:prstGeom prst="rect">
                            <a:avLst/>
                          </a:prstGeom>
                          <a:noFill/>
                          <a:ln>
                            <a:noFill/>
                          </a:ln>
                        </pic:spPr>
                      </pic:pic>
                    </a:graphicData>
                  </a:graphic>
                </wp:inline>
              </w:drawing>
            </w:r>
          </w:p>
          <w:p w14:paraId="5907E1CE" w14:textId="4DCA50B5" w:rsidR="00325C4B" w:rsidRDefault="00325C4B" w:rsidP="00061F29">
            <w:pPr>
              <w:keepNext/>
              <w:jc w:val="center"/>
              <w:rPr>
                <w:rFonts w:ascii="Calibri" w:eastAsia="Calibri" w:hAnsi="Calibri" w:cs="Times New Roman"/>
              </w:rPr>
            </w:pPr>
            <w:r>
              <w:rPr>
                <w:rFonts w:ascii="Calibri" w:eastAsia="Calibri" w:hAnsi="Calibri" w:cs="Times New Roman"/>
              </w:rPr>
              <w:t>(a)</w:t>
            </w:r>
          </w:p>
        </w:tc>
        <w:tc>
          <w:tcPr>
            <w:tcW w:w="4815" w:type="dxa"/>
          </w:tcPr>
          <w:p w14:paraId="0415CB47" w14:textId="77777777" w:rsidR="00325C4B" w:rsidRDefault="00325C4B" w:rsidP="00061F29">
            <w:pPr>
              <w:keepNext/>
              <w:jc w:val="center"/>
              <w:rPr>
                <w:rFonts w:ascii="Calibri" w:eastAsia="Calibri" w:hAnsi="Calibri" w:cs="Times New Roman"/>
              </w:rPr>
            </w:pPr>
            <w:r w:rsidRPr="00673974">
              <w:rPr>
                <w:noProof/>
              </w:rPr>
              <w:drawing>
                <wp:inline distT="0" distB="0" distL="0" distR="0" wp14:anchorId="0D69A2ED" wp14:editId="289C2834">
                  <wp:extent cx="2116800" cy="222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6800" cy="2221200"/>
                          </a:xfrm>
                          <a:prstGeom prst="rect">
                            <a:avLst/>
                          </a:prstGeom>
                          <a:noFill/>
                          <a:ln>
                            <a:noFill/>
                          </a:ln>
                        </pic:spPr>
                      </pic:pic>
                    </a:graphicData>
                  </a:graphic>
                </wp:inline>
              </w:drawing>
            </w:r>
          </w:p>
          <w:p w14:paraId="1E6E7AB3" w14:textId="404D1BD7" w:rsidR="00325C4B" w:rsidRDefault="00325C4B" w:rsidP="00061F29">
            <w:pPr>
              <w:keepNext/>
              <w:jc w:val="center"/>
              <w:rPr>
                <w:rFonts w:ascii="Calibri" w:eastAsia="Calibri" w:hAnsi="Calibri" w:cs="Times New Roman"/>
              </w:rPr>
            </w:pPr>
            <w:r>
              <w:rPr>
                <w:rFonts w:ascii="Calibri" w:eastAsia="Calibri" w:hAnsi="Calibri" w:cs="Times New Roman"/>
              </w:rPr>
              <w:t>(b)</w:t>
            </w:r>
          </w:p>
        </w:tc>
      </w:tr>
    </w:tbl>
    <w:p w14:paraId="223C0312" w14:textId="77777777" w:rsidR="00325C4B" w:rsidRDefault="00325C4B" w:rsidP="00413DDC">
      <w:pPr>
        <w:rPr>
          <w:rFonts w:ascii="Calibri" w:eastAsia="Calibri" w:hAnsi="Calibri" w:cs="Times New Roman"/>
        </w:rPr>
      </w:pPr>
    </w:p>
    <w:p w14:paraId="5BFDACF5" w14:textId="5F57E83C" w:rsidR="00673974" w:rsidRPr="00413DDC" w:rsidRDefault="00673974" w:rsidP="00673974">
      <w:pPr>
        <w:spacing w:before="120" w:after="120"/>
        <w:jc w:val="center"/>
        <w:rPr>
          <w:rFonts w:ascii="Calibri" w:eastAsia="Calibri" w:hAnsi="Calibri" w:cs="Times New Roman"/>
          <w:b/>
          <w:lang w:eastAsia="x-none"/>
        </w:rPr>
      </w:pPr>
      <w:bookmarkStart w:id="10" w:name="_Ref513563060"/>
      <w:r w:rsidRPr="00413DDC">
        <w:rPr>
          <w:rFonts w:ascii="Calibri" w:eastAsia="Calibri" w:hAnsi="Calibri" w:cs="Times New Roman"/>
          <w:b/>
          <w:lang w:val="x-none" w:eastAsia="x-none"/>
        </w:rPr>
        <w:t xml:space="preserve">Figure </w:t>
      </w:r>
      <w:r w:rsidRPr="00413DDC">
        <w:rPr>
          <w:rFonts w:ascii="Calibri" w:eastAsia="Calibri" w:hAnsi="Calibri" w:cs="Times New Roman"/>
          <w:b/>
          <w:lang w:val="x-none" w:eastAsia="x-none"/>
        </w:rPr>
        <w:fldChar w:fldCharType="begin"/>
      </w:r>
      <w:r w:rsidRPr="00413DDC">
        <w:rPr>
          <w:rFonts w:ascii="Calibri" w:eastAsia="Calibri" w:hAnsi="Calibri" w:cs="Times New Roman"/>
          <w:b/>
          <w:lang w:val="x-none" w:eastAsia="x-none"/>
        </w:rPr>
        <w:instrText xml:space="preserve"> SEQ Figure \* ARABIC </w:instrText>
      </w:r>
      <w:r w:rsidRPr="00413DDC">
        <w:rPr>
          <w:rFonts w:ascii="Calibri" w:eastAsia="Calibri" w:hAnsi="Calibri" w:cs="Times New Roman"/>
          <w:b/>
          <w:lang w:val="x-none" w:eastAsia="x-none"/>
        </w:rPr>
        <w:fldChar w:fldCharType="separate"/>
      </w:r>
      <w:r w:rsidR="00061F29">
        <w:rPr>
          <w:rFonts w:ascii="Calibri" w:eastAsia="Calibri" w:hAnsi="Calibri" w:cs="Times New Roman"/>
          <w:b/>
          <w:noProof/>
          <w:lang w:val="x-none" w:eastAsia="x-none"/>
        </w:rPr>
        <w:t>2</w:t>
      </w:r>
      <w:r w:rsidRPr="00413DDC">
        <w:rPr>
          <w:rFonts w:ascii="Calibri" w:eastAsia="Calibri" w:hAnsi="Calibri" w:cs="Times New Roman"/>
          <w:b/>
          <w:noProof/>
          <w:lang w:val="x-none" w:eastAsia="x-none"/>
        </w:rPr>
        <w:fldChar w:fldCharType="end"/>
      </w:r>
      <w:bookmarkEnd w:id="10"/>
      <w:r w:rsidRPr="00413DDC">
        <w:rPr>
          <w:rFonts w:ascii="Calibri" w:eastAsia="Calibri" w:hAnsi="Calibri" w:cs="Times New Roman"/>
          <w:b/>
          <w:lang w:eastAsia="x-none"/>
        </w:rPr>
        <w:t xml:space="preserve">. </w:t>
      </w:r>
      <w:r w:rsidRPr="00413DDC">
        <w:rPr>
          <w:rFonts w:ascii="Calibri" w:eastAsia="Calibri" w:hAnsi="Calibri" w:cs="Times New Roman"/>
          <w:lang w:eastAsia="x-none"/>
        </w:rPr>
        <w:t xml:space="preserve">Illustration of </w:t>
      </w:r>
      <w:r w:rsidR="00325C4B">
        <w:rPr>
          <w:rFonts w:ascii="Calibri" w:eastAsia="Calibri" w:hAnsi="Calibri" w:cs="Times New Roman"/>
          <w:lang w:eastAsia="x-none"/>
        </w:rPr>
        <w:t>possible PDSCH allocation</w:t>
      </w:r>
      <w:r w:rsidRPr="00413DDC">
        <w:rPr>
          <w:rFonts w:ascii="Calibri" w:eastAsia="Calibri" w:hAnsi="Calibri" w:cs="Times New Roman"/>
          <w:lang w:eastAsia="x-none"/>
        </w:rPr>
        <w:t>.</w:t>
      </w:r>
    </w:p>
    <w:p w14:paraId="6F55F87C" w14:textId="77777777" w:rsidR="00673974" w:rsidRDefault="00673974" w:rsidP="00413DDC">
      <w:pPr>
        <w:rPr>
          <w:rFonts w:ascii="Calibri" w:eastAsia="Calibri" w:hAnsi="Calibri" w:cs="Times New Roman"/>
        </w:rPr>
      </w:pPr>
    </w:p>
    <w:p w14:paraId="0E1F9D96" w14:textId="51104B31" w:rsidR="00413DDC" w:rsidRPr="00413DDC" w:rsidRDefault="00CE6191" w:rsidP="00413DDC">
      <w:pPr>
        <w:rPr>
          <w:rFonts w:ascii="Calibri" w:eastAsia="Calibri" w:hAnsi="Calibri" w:cs="Times New Roman"/>
        </w:rPr>
      </w:pPr>
      <w:r w:rsidRPr="00CE6191">
        <w:rPr>
          <w:rFonts w:ascii="Calibri" w:eastAsia="Calibri" w:hAnsi="Calibri" w:cs="Times New Roman"/>
          <w:b/>
        </w:rPr>
        <w:t>Observation</w:t>
      </w:r>
      <w:r>
        <w:rPr>
          <w:rFonts w:ascii="Calibri" w:eastAsia="Calibri" w:hAnsi="Calibri" w:cs="Times New Roman"/>
        </w:rPr>
        <w:t>: While agreement to start the RB numbering from the lowest RB of the CORESET (for DCI format 1-0 in CSS) somewhat restricts the merits of extending initial ac</w:t>
      </w:r>
      <w:r w:rsidR="00061F29">
        <w:rPr>
          <w:rFonts w:ascii="Calibri" w:eastAsia="Calibri" w:hAnsi="Calibri" w:cs="Times New Roman"/>
        </w:rPr>
        <w:t>tive</w:t>
      </w:r>
      <w:r>
        <w:rPr>
          <w:rFonts w:ascii="Calibri" w:eastAsia="Calibri" w:hAnsi="Calibri" w:cs="Times New Roman"/>
        </w:rPr>
        <w:t xml:space="preserve"> DL BWP for RMSI pattern 2 and 3, this can somewhat be alleviated for wide carriers.</w:t>
      </w:r>
    </w:p>
    <w:p w14:paraId="2D82BC8E" w14:textId="72FBE717" w:rsidR="00413DDC" w:rsidRDefault="00061F29" w:rsidP="00413DDC">
      <w:pPr>
        <w:rPr>
          <w:rFonts w:ascii="Calibri" w:eastAsia="Calibri" w:hAnsi="Calibri" w:cs="Arial"/>
        </w:rPr>
      </w:pPr>
      <w:r>
        <w:rPr>
          <w:rFonts w:ascii="Calibri" w:eastAsia="Calibri" w:hAnsi="Calibri" w:cs="Arial"/>
        </w:rPr>
        <w:t>Thus, it is proposed for RSMI multiplexing pattern 2 and 3 to extend the initial active DL BWP to cover both PBCH defined CORESET and SSB.</w:t>
      </w:r>
    </w:p>
    <w:p w14:paraId="22D5D083" w14:textId="3F37CB13" w:rsidR="00061F29" w:rsidRDefault="00061F29" w:rsidP="00413DDC">
      <w:pPr>
        <w:rPr>
          <w:rFonts w:ascii="Calibri" w:eastAsia="Calibri" w:hAnsi="Calibri" w:cs="Arial"/>
          <w:b/>
        </w:rPr>
      </w:pPr>
      <w:bookmarkStart w:id="11" w:name="_Hlk513820800"/>
      <w:r w:rsidRPr="00061F29">
        <w:rPr>
          <w:rFonts w:ascii="Calibri" w:eastAsia="Calibri" w:hAnsi="Calibri" w:cs="Arial"/>
          <w:b/>
        </w:rPr>
        <w:t xml:space="preserve">Proposal: </w:t>
      </w:r>
      <w:r w:rsidR="00DB1904">
        <w:rPr>
          <w:rFonts w:ascii="Calibri" w:eastAsia="Calibri" w:hAnsi="Calibri" w:cs="Arial"/>
          <w:b/>
        </w:rPr>
        <w:t>E</w:t>
      </w:r>
      <w:r w:rsidRPr="00061F29">
        <w:rPr>
          <w:rFonts w:ascii="Calibri" w:eastAsia="Calibri" w:hAnsi="Calibri" w:cs="Arial"/>
          <w:b/>
        </w:rPr>
        <w:t>xtend the initial active DL BWP to cover both PBCH defined CORESET and SSB for RMSI multiplexing pattern 2 and 3.</w:t>
      </w:r>
    </w:p>
    <w:bookmarkEnd w:id="11"/>
    <w:p w14:paraId="7B8346E2" w14:textId="2898C66A" w:rsidR="009F4CE2" w:rsidRPr="00583F10" w:rsidRDefault="009F4CE2" w:rsidP="00413DDC">
      <w:pPr>
        <w:rPr>
          <w:rFonts w:ascii="Calibri" w:eastAsia="Calibri" w:hAnsi="Calibri" w:cs="Arial"/>
        </w:rPr>
      </w:pPr>
      <w:r w:rsidRPr="00583F10">
        <w:rPr>
          <w:rFonts w:ascii="Calibri" w:eastAsia="Calibri" w:hAnsi="Calibri" w:cs="Arial"/>
        </w:rPr>
        <w:t>To benefit from extended BW of initial active BWP</w:t>
      </w:r>
      <w:r w:rsidR="00F24255">
        <w:rPr>
          <w:rFonts w:ascii="Calibri" w:eastAsia="Calibri" w:hAnsi="Calibri" w:cs="Arial"/>
        </w:rPr>
        <w:t xml:space="preserve"> in all the cases</w:t>
      </w:r>
      <w:r w:rsidR="000105AE">
        <w:rPr>
          <w:rFonts w:ascii="Calibri" w:eastAsia="Calibri" w:hAnsi="Calibri" w:cs="Arial"/>
        </w:rPr>
        <w:t xml:space="preserve"> </w:t>
      </w:r>
      <w:r w:rsidR="0005420F">
        <w:rPr>
          <w:rFonts w:ascii="Calibri" w:eastAsia="Calibri" w:hAnsi="Calibri" w:cs="Arial"/>
        </w:rPr>
        <w:t xml:space="preserve">of SSB and CORESET placement </w:t>
      </w:r>
      <w:r w:rsidR="000105AE">
        <w:rPr>
          <w:rFonts w:ascii="Calibri" w:eastAsia="Calibri" w:hAnsi="Calibri" w:cs="Arial"/>
        </w:rPr>
        <w:t>for pattern 2 and 3</w:t>
      </w:r>
      <w:r w:rsidRPr="00583F10">
        <w:rPr>
          <w:rFonts w:ascii="Calibri" w:eastAsia="Calibri" w:hAnsi="Calibri" w:cs="Arial"/>
        </w:rPr>
        <w:t xml:space="preserve">, </w:t>
      </w:r>
      <w:r>
        <w:rPr>
          <w:rFonts w:ascii="Calibri" w:eastAsia="Calibri" w:hAnsi="Calibri" w:cs="Arial"/>
        </w:rPr>
        <w:t xml:space="preserve">RAN1 </w:t>
      </w:r>
      <w:r w:rsidR="000105AE">
        <w:rPr>
          <w:rFonts w:ascii="Calibri" w:eastAsia="Calibri" w:hAnsi="Calibri" w:cs="Arial"/>
        </w:rPr>
        <w:t>c</w:t>
      </w:r>
      <w:r>
        <w:rPr>
          <w:rFonts w:ascii="Calibri" w:eastAsia="Calibri" w:hAnsi="Calibri" w:cs="Arial"/>
        </w:rPr>
        <w:t xml:space="preserve">ould consider </w:t>
      </w:r>
      <w:r w:rsidR="00F24255">
        <w:rPr>
          <w:rFonts w:ascii="Calibri" w:eastAsia="Calibri" w:hAnsi="Calibri" w:cs="Arial"/>
        </w:rPr>
        <w:t>revisiting</w:t>
      </w:r>
      <w:r>
        <w:rPr>
          <w:rFonts w:ascii="Calibri" w:eastAsia="Calibri" w:hAnsi="Calibri" w:cs="Arial"/>
        </w:rPr>
        <w:t xml:space="preserve"> the above PDCCH AI agreement, as discussed </w:t>
      </w:r>
      <w:r w:rsidRPr="00583F10">
        <w:rPr>
          <w:rFonts w:ascii="Calibri" w:eastAsia="Calibri" w:hAnsi="Calibri" w:cs="Arial"/>
        </w:rPr>
        <w:t>in</w:t>
      </w:r>
      <w:r w:rsidR="00021403" w:rsidRPr="00583F10">
        <w:rPr>
          <w:rFonts w:ascii="Calibri" w:eastAsia="Calibri" w:hAnsi="Calibri" w:cs="Arial"/>
        </w:rPr>
        <w:fldChar w:fldCharType="begin"/>
      </w:r>
      <w:r w:rsidR="00021403" w:rsidRPr="00583F10">
        <w:rPr>
          <w:rFonts w:ascii="Calibri" w:eastAsia="Calibri" w:hAnsi="Calibri" w:cs="Arial"/>
        </w:rPr>
        <w:instrText xml:space="preserve"> REF _Ref513621460 \r \h </w:instrText>
      </w:r>
      <w:r w:rsidR="00583F10">
        <w:rPr>
          <w:rFonts w:ascii="Calibri" w:eastAsia="Calibri" w:hAnsi="Calibri" w:cs="Arial"/>
        </w:rPr>
        <w:instrText xml:space="preserve"> \* MERGEFORMAT </w:instrText>
      </w:r>
      <w:r w:rsidR="00021403" w:rsidRPr="00583F10">
        <w:rPr>
          <w:rFonts w:ascii="Calibri" w:eastAsia="Calibri" w:hAnsi="Calibri" w:cs="Arial"/>
        </w:rPr>
      </w:r>
      <w:r w:rsidR="00021403" w:rsidRPr="00583F10">
        <w:rPr>
          <w:rFonts w:ascii="Calibri" w:eastAsia="Calibri" w:hAnsi="Calibri" w:cs="Arial"/>
        </w:rPr>
        <w:fldChar w:fldCharType="separate"/>
      </w:r>
      <w:r w:rsidR="00021403" w:rsidRPr="00583F10">
        <w:rPr>
          <w:rFonts w:ascii="Calibri" w:eastAsia="Calibri" w:hAnsi="Calibri" w:cs="Arial"/>
        </w:rPr>
        <w:t>[5]</w:t>
      </w:r>
      <w:r w:rsidR="00021403" w:rsidRPr="00583F10">
        <w:rPr>
          <w:rFonts w:ascii="Calibri" w:eastAsia="Calibri" w:hAnsi="Calibri" w:cs="Arial"/>
        </w:rPr>
        <w:fldChar w:fldCharType="end"/>
      </w:r>
      <w:r w:rsidR="000105AE" w:rsidRPr="00583F10">
        <w:rPr>
          <w:rFonts w:ascii="Calibri" w:eastAsia="Calibri" w:hAnsi="Calibri" w:cs="Arial"/>
        </w:rPr>
        <w:t>.</w:t>
      </w:r>
    </w:p>
    <w:p w14:paraId="0CE79420" w14:textId="77777777" w:rsidR="009F4CE2" w:rsidRPr="00061F29" w:rsidRDefault="009F4CE2" w:rsidP="00413DDC">
      <w:pPr>
        <w:rPr>
          <w:rFonts w:ascii="Calibri" w:eastAsia="Calibri" w:hAnsi="Calibri" w:cs="Arial"/>
          <w:b/>
        </w:rPr>
      </w:pPr>
    </w:p>
    <w:p w14:paraId="1AEF7ECB" w14:textId="70EFA817" w:rsidR="00F72E36" w:rsidRDefault="00F72E36" w:rsidP="00F72E36">
      <w:pPr>
        <w:pStyle w:val="Heading1"/>
        <w:rPr>
          <w:color w:val="000000"/>
        </w:rPr>
      </w:pPr>
      <w:r>
        <w:rPr>
          <w:color w:val="000000"/>
        </w:rPr>
        <w:t>3</w:t>
      </w:r>
      <w:r w:rsidRPr="00B8625C">
        <w:rPr>
          <w:color w:val="000000"/>
        </w:rPr>
        <w:tab/>
      </w:r>
      <w:r>
        <w:rPr>
          <w:color w:val="000000"/>
        </w:rPr>
        <w:t>Definition of extended Initial active DL BWP</w:t>
      </w:r>
    </w:p>
    <w:p w14:paraId="011CC8F6" w14:textId="03073966" w:rsidR="00853BF8" w:rsidRDefault="00061F29" w:rsidP="00061F29">
      <w:pPr>
        <w:rPr>
          <w:rFonts w:ascii="Calibri" w:eastAsia="Calibri" w:hAnsi="Calibri" w:cs="Arial"/>
        </w:rPr>
      </w:pPr>
      <w:r>
        <w:rPr>
          <w:rFonts w:ascii="Calibri" w:eastAsia="Calibri" w:hAnsi="Calibri" w:cs="Arial"/>
        </w:rPr>
        <w:t xml:space="preserve">If the proposal </w:t>
      </w:r>
      <w:r w:rsidR="00F72E36">
        <w:rPr>
          <w:rFonts w:ascii="Calibri" w:eastAsia="Calibri" w:hAnsi="Calibri" w:cs="Arial"/>
        </w:rPr>
        <w:t xml:space="preserve">in Section 2 </w:t>
      </w:r>
      <w:r>
        <w:rPr>
          <w:rFonts w:ascii="Calibri" w:eastAsia="Calibri" w:hAnsi="Calibri" w:cs="Arial"/>
        </w:rPr>
        <w:t xml:space="preserve">is adopted, the definition of the BWP needs to be </w:t>
      </w:r>
      <w:r w:rsidR="00F72E36">
        <w:rPr>
          <w:rFonts w:ascii="Calibri" w:eastAsia="Calibri" w:hAnsi="Calibri" w:cs="Arial"/>
        </w:rPr>
        <w:t>updated for pattern 2 and 3</w:t>
      </w:r>
      <w:r>
        <w:rPr>
          <w:rFonts w:ascii="Calibri" w:eastAsia="Calibri" w:hAnsi="Calibri" w:cs="Arial"/>
        </w:rPr>
        <w:t xml:space="preserve">. In </w:t>
      </w:r>
      <w:r>
        <w:rPr>
          <w:rFonts w:ascii="Calibri" w:eastAsia="Calibri" w:hAnsi="Calibri" w:cs="Arial"/>
        </w:rPr>
        <w:fldChar w:fldCharType="begin"/>
      </w:r>
      <w:r>
        <w:rPr>
          <w:rFonts w:ascii="Calibri" w:eastAsia="Calibri" w:hAnsi="Calibri" w:cs="Arial"/>
        </w:rPr>
        <w:instrText xml:space="preserve"> REF _Ref513572594 \h </w:instrText>
      </w:r>
      <w:r>
        <w:rPr>
          <w:rFonts w:ascii="Calibri" w:eastAsia="Calibri" w:hAnsi="Calibri" w:cs="Arial"/>
        </w:rPr>
      </w:r>
      <w:r>
        <w:rPr>
          <w:rFonts w:ascii="Calibri" w:eastAsia="Calibri" w:hAnsi="Calibri" w:cs="Arial"/>
        </w:rPr>
        <w:fldChar w:fldCharType="separate"/>
      </w:r>
      <w:r>
        <w:t xml:space="preserve">Figure </w:t>
      </w:r>
      <w:r>
        <w:rPr>
          <w:noProof/>
        </w:rPr>
        <w:t>3</w:t>
      </w:r>
      <w:r>
        <w:rPr>
          <w:rFonts w:ascii="Calibri" w:eastAsia="Calibri" w:hAnsi="Calibri" w:cs="Arial"/>
        </w:rPr>
        <w:fldChar w:fldCharType="end"/>
      </w:r>
      <w:r>
        <w:rPr>
          <w:rFonts w:ascii="Calibri" w:eastAsia="Calibri" w:hAnsi="Calibri" w:cs="Arial"/>
        </w:rPr>
        <w:t xml:space="preserve"> two illustrations are given, in </w:t>
      </w:r>
      <w:r>
        <w:rPr>
          <w:rFonts w:ascii="Calibri" w:eastAsia="Calibri" w:hAnsi="Calibri" w:cs="Arial"/>
        </w:rPr>
        <w:fldChar w:fldCharType="begin"/>
      </w:r>
      <w:r>
        <w:rPr>
          <w:rFonts w:ascii="Calibri" w:eastAsia="Calibri" w:hAnsi="Calibri" w:cs="Arial"/>
        </w:rPr>
        <w:instrText xml:space="preserve"> REF _Ref513572594 \h </w:instrText>
      </w:r>
      <w:r>
        <w:rPr>
          <w:rFonts w:ascii="Calibri" w:eastAsia="Calibri" w:hAnsi="Calibri" w:cs="Arial"/>
        </w:rPr>
      </w:r>
      <w:r>
        <w:rPr>
          <w:rFonts w:ascii="Calibri" w:eastAsia="Calibri" w:hAnsi="Calibri" w:cs="Arial"/>
        </w:rPr>
        <w:fldChar w:fldCharType="separate"/>
      </w:r>
      <w:r>
        <w:t xml:space="preserve">Figure </w:t>
      </w:r>
      <w:r>
        <w:rPr>
          <w:noProof/>
        </w:rPr>
        <w:t>3</w:t>
      </w:r>
      <w:r>
        <w:rPr>
          <w:rFonts w:ascii="Calibri" w:eastAsia="Calibri" w:hAnsi="Calibri" w:cs="Arial"/>
        </w:rPr>
        <w:fldChar w:fldCharType="end"/>
      </w:r>
      <w:r>
        <w:rPr>
          <w:rFonts w:ascii="Calibri" w:eastAsia="Calibri" w:hAnsi="Calibri" w:cs="Arial"/>
        </w:rPr>
        <w:t xml:space="preserve"> (a) for the case when SSB is above the CORESET in frequency domain and in </w:t>
      </w:r>
      <w:r>
        <w:rPr>
          <w:rFonts w:ascii="Calibri" w:eastAsia="Calibri" w:hAnsi="Calibri" w:cs="Arial"/>
        </w:rPr>
        <w:fldChar w:fldCharType="begin"/>
      </w:r>
      <w:r>
        <w:rPr>
          <w:rFonts w:ascii="Calibri" w:eastAsia="Calibri" w:hAnsi="Calibri" w:cs="Arial"/>
        </w:rPr>
        <w:instrText xml:space="preserve"> REF _Ref513572594 \h </w:instrText>
      </w:r>
      <w:r>
        <w:rPr>
          <w:rFonts w:ascii="Calibri" w:eastAsia="Calibri" w:hAnsi="Calibri" w:cs="Arial"/>
        </w:rPr>
      </w:r>
      <w:r>
        <w:rPr>
          <w:rFonts w:ascii="Calibri" w:eastAsia="Calibri" w:hAnsi="Calibri" w:cs="Arial"/>
        </w:rPr>
        <w:fldChar w:fldCharType="separate"/>
      </w:r>
      <w:r>
        <w:t xml:space="preserve">Figure </w:t>
      </w:r>
      <w:r>
        <w:rPr>
          <w:noProof/>
        </w:rPr>
        <w:t>3</w:t>
      </w:r>
      <w:r>
        <w:rPr>
          <w:rFonts w:ascii="Calibri" w:eastAsia="Calibri" w:hAnsi="Calibri" w:cs="Arial"/>
        </w:rPr>
        <w:fldChar w:fldCharType="end"/>
      </w:r>
      <w:r>
        <w:rPr>
          <w:rFonts w:ascii="Calibri" w:eastAsia="Calibri" w:hAnsi="Calibri" w:cs="Arial"/>
        </w:rPr>
        <w:t xml:space="preserve"> (b) for case when SSB is below CORESET in frequency domain. </w:t>
      </w:r>
    </w:p>
    <w:p w14:paraId="15D563C8" w14:textId="43A04C45" w:rsidR="00061F29" w:rsidRDefault="00853BF8" w:rsidP="00061F29">
      <w:pPr>
        <w:rPr>
          <w:rFonts w:ascii="Calibri" w:eastAsia="Calibri" w:hAnsi="Calibri" w:cs="Arial"/>
        </w:rPr>
      </w:pPr>
      <w:r>
        <w:rPr>
          <w:rFonts w:ascii="Calibri" w:eastAsia="Calibri" w:hAnsi="Calibri" w:cs="Arial"/>
        </w:rPr>
        <w:t>The BWP definition f</w:t>
      </w:r>
      <w:r w:rsidR="00061F29">
        <w:rPr>
          <w:rFonts w:ascii="Calibri" w:eastAsia="Calibri" w:hAnsi="Calibri" w:cs="Arial"/>
        </w:rPr>
        <w:t xml:space="preserve">or case (a), when </w:t>
      </w:r>
      <w:r w:rsidR="00061F29" w:rsidRPr="00061F29">
        <w:rPr>
          <w:rFonts w:ascii="Times New Roman" w:eastAsia="Calibri" w:hAnsi="Times New Roman" w:cs="Times New Roman"/>
          <w:i/>
        </w:rPr>
        <w:t>k</w:t>
      </w:r>
      <w:r w:rsidR="00061F29" w:rsidRPr="00061F29">
        <w:rPr>
          <w:rFonts w:ascii="Times New Roman" w:eastAsia="Calibri" w:hAnsi="Times New Roman" w:cs="Times New Roman"/>
          <w:vertAlign w:val="subscript"/>
        </w:rPr>
        <w:t>SSB</w:t>
      </w:r>
      <w:r w:rsidR="00061F29">
        <w:rPr>
          <w:rFonts w:ascii="Calibri" w:eastAsia="Calibri" w:hAnsi="Calibri" w:cs="Arial"/>
        </w:rPr>
        <w:t>=0</w:t>
      </w:r>
      <w:r>
        <w:rPr>
          <w:rFonts w:ascii="Calibri" w:eastAsia="Calibri" w:hAnsi="Calibri" w:cs="Arial"/>
        </w:rPr>
        <w:t>,</w:t>
      </w:r>
      <w:r w:rsidR="00061F29">
        <w:rPr>
          <w:rFonts w:ascii="Calibri" w:eastAsia="Calibri" w:hAnsi="Calibri" w:cs="Arial"/>
        </w:rPr>
        <w:t xml:space="preserve"> </w:t>
      </w:r>
      <w:r>
        <w:rPr>
          <w:rFonts w:ascii="Calibri" w:eastAsia="Calibri" w:hAnsi="Calibri" w:cs="Arial"/>
        </w:rPr>
        <w:t>could be determined</w:t>
      </w:r>
      <w:r w:rsidR="00061F29">
        <w:rPr>
          <w:rFonts w:ascii="Calibri" w:eastAsia="Calibri" w:hAnsi="Calibri" w:cs="Arial"/>
        </w:rPr>
        <w:t xml:space="preserve"> as the sum of </w:t>
      </w:r>
      <w:r w:rsidR="00061F29" w:rsidRPr="00061F29">
        <w:rPr>
          <w:rFonts w:ascii="Times New Roman" w:eastAsia="Calibri" w:hAnsi="Times New Roman" w:cs="Times New Roman"/>
          <w:i/>
        </w:rPr>
        <w:t>offset</w:t>
      </w:r>
      <w:r w:rsidR="00061F29">
        <w:rPr>
          <w:rFonts w:ascii="Calibri" w:eastAsia="Calibri" w:hAnsi="Calibri" w:cs="Arial"/>
        </w:rPr>
        <w:t xml:space="preserve"> (value of the </w:t>
      </w:r>
      <w:r w:rsidR="00061F29" w:rsidRPr="00061F29">
        <w:rPr>
          <w:rFonts w:ascii="Times New Roman" w:eastAsia="Calibri" w:hAnsi="Times New Roman" w:cs="Times New Roman"/>
          <w:i/>
        </w:rPr>
        <w:t>offset</w:t>
      </w:r>
      <w:r w:rsidR="00061F29">
        <w:rPr>
          <w:rFonts w:ascii="Calibri" w:eastAsia="Calibri" w:hAnsi="Calibri" w:cs="Arial"/>
        </w:rPr>
        <w:t xml:space="preserve"> as defined in Table 13-1 to 13-10 Section 13) and the number of RBs of the SSB in the sub-carrier spacing of CORESET e.g. </w:t>
      </w:r>
      <m:oMath>
        <m:r>
          <w:rPr>
            <w:rFonts w:ascii="Cambria Math" w:eastAsia="Calibri" w:hAnsi="Cambria Math" w:cs="Arial"/>
          </w:rPr>
          <m:t>(offset+20∙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Calibri" w:hAnsi="Cambria Math" w:cs="Arial"/>
          </w:rPr>
          <m:t>)</m:t>
        </m:r>
      </m:oMath>
      <w:r w:rsidR="00061F29">
        <w:rPr>
          <w:rFonts w:ascii="Calibri" w:eastAsia="Calibri" w:hAnsi="Calibri" w:cs="Arial"/>
        </w:rPr>
        <w:t xml:space="preserve"> </w:t>
      </w:r>
      <w:r>
        <w:rPr>
          <w:rFonts w:ascii="Calibri" w:eastAsia="Calibri" w:hAnsi="Calibri" w:cs="Arial"/>
        </w:rPr>
        <w:t>RBs</w:t>
      </w:r>
      <w:r w:rsidR="002C113B">
        <w:rPr>
          <w:rFonts w:ascii="Calibri" w:eastAsia="Calibri" w:hAnsi="Calibri" w:cs="Arial"/>
        </w:rPr>
        <w:t>,</w:t>
      </w:r>
      <w:r>
        <w:rPr>
          <w:rFonts w:ascii="Calibri" w:eastAsia="Calibri" w:hAnsi="Calibri" w:cs="Arial"/>
        </w:rPr>
        <w:t xml:space="preserve"> </w:t>
      </w:r>
      <w:bookmarkStart w:id="12" w:name="_Hlk513621743"/>
      <w:r w:rsidR="00061F29">
        <w:rPr>
          <w:rFonts w:ascii="Calibri" w:eastAsia="Calibri" w:hAnsi="Calibri" w:cs="Arial"/>
        </w:rPr>
        <w:t>where</w:t>
      </w:r>
      <w:r w:rsidR="002C113B">
        <w:rPr>
          <w:rFonts w:ascii="Calibri" w:eastAsia="Calibri" w:hAnsi="Calibri" w:cs="Arial"/>
        </w:rPr>
        <w:t xml:space="preserve"> </w:t>
      </w:r>
      <m:oMath>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oMath>
      <w:r w:rsidR="00061F29">
        <w:rPr>
          <w:rFonts w:ascii="Calibri" w:eastAsia="Calibri" w:hAnsi="Calibri" w:cs="Arial"/>
        </w:rPr>
        <w:t xml:space="preserve"> </w:t>
      </w:r>
      <w:r w:rsidR="002C113B">
        <w:rPr>
          <w:rFonts w:ascii="Calibri" w:eastAsia="Calibri" w:hAnsi="Calibri" w:cs="Arial"/>
        </w:rPr>
        <w:t xml:space="preserve">and </w:t>
      </w:r>
      <m:oMath>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oMath>
      <w:r w:rsidR="002C113B">
        <w:rPr>
          <w:rFonts w:ascii="Calibri" w:eastAsia="Calibri" w:hAnsi="Calibri" w:cs="Arial"/>
        </w:rPr>
        <w:t xml:space="preserve"> correspond to </w:t>
      </w:r>
      <w:r w:rsidR="00061F29" w:rsidRPr="00061F29">
        <w:rPr>
          <w:rFonts w:ascii="Calibri" w:eastAsia="Calibri" w:hAnsi="Calibri" w:cs="Arial"/>
        </w:rPr>
        <w:t xml:space="preserve">the subcarrier spacing </w:t>
      </w:r>
      <w:r w:rsidR="00061F29">
        <w:rPr>
          <w:rFonts w:ascii="Calibri" w:eastAsia="Calibri" w:hAnsi="Calibri" w:cs="Arial"/>
        </w:rPr>
        <w:t xml:space="preserve">of the </w:t>
      </w:r>
      <w:r w:rsidR="002C113B">
        <w:rPr>
          <w:rFonts w:ascii="Calibri" w:eastAsia="Calibri" w:hAnsi="Calibri" w:cs="Arial"/>
        </w:rPr>
        <w:t xml:space="preserve">RMSI </w:t>
      </w:r>
      <w:r w:rsidR="00061F29">
        <w:rPr>
          <w:rFonts w:ascii="Calibri" w:eastAsia="Calibri" w:hAnsi="Calibri" w:cs="Arial"/>
        </w:rPr>
        <w:t>CORESET</w:t>
      </w:r>
      <w:r w:rsidR="002C113B">
        <w:rPr>
          <w:rFonts w:ascii="Calibri" w:eastAsia="Calibri" w:hAnsi="Calibri" w:cs="Arial"/>
        </w:rPr>
        <w:t xml:space="preserve"> and SSB</w:t>
      </w:r>
      <w:bookmarkEnd w:id="12"/>
      <w:r w:rsidR="002C113B">
        <w:rPr>
          <w:rFonts w:ascii="Calibri" w:eastAsia="Calibri" w:hAnsi="Calibri" w:cs="Arial"/>
        </w:rPr>
        <w:t>, correspondingly</w:t>
      </w:r>
      <w:r w:rsidR="00061F29">
        <w:rPr>
          <w:rFonts w:ascii="Calibri" w:eastAsia="Calibri" w:hAnsi="Calibri" w:cs="Arial"/>
        </w:rPr>
        <w:t xml:space="preserve">. When </w:t>
      </w:r>
      <w:r w:rsidR="00061F29" w:rsidRPr="00061F29">
        <w:rPr>
          <w:rFonts w:ascii="Times New Roman" w:eastAsia="Calibri" w:hAnsi="Times New Roman" w:cs="Times New Roman"/>
          <w:i/>
        </w:rPr>
        <w:t>k</w:t>
      </w:r>
      <w:r w:rsidR="00061F29" w:rsidRPr="00061F29">
        <w:rPr>
          <w:rFonts w:ascii="Times New Roman" w:eastAsia="Calibri" w:hAnsi="Times New Roman" w:cs="Times New Roman"/>
          <w:vertAlign w:val="subscript"/>
        </w:rPr>
        <w:t>SSB</w:t>
      </w:r>
      <w:r w:rsidR="00061F29">
        <w:rPr>
          <w:rFonts w:ascii="Calibri" w:eastAsia="Calibri" w:hAnsi="Calibri" w:cs="Arial"/>
        </w:rPr>
        <w:t xml:space="preserve">&gt;0, the BWP would need to account the </w:t>
      </w:r>
      <w:r>
        <w:rPr>
          <w:rFonts w:ascii="Calibri" w:eastAsia="Calibri" w:hAnsi="Calibri" w:cs="Arial"/>
        </w:rPr>
        <w:t xml:space="preserve">shift due to </w:t>
      </w:r>
      <w:r w:rsidRPr="00061F29">
        <w:rPr>
          <w:rFonts w:ascii="Times New Roman" w:eastAsia="Calibri" w:hAnsi="Times New Roman" w:cs="Times New Roman"/>
          <w:i/>
        </w:rPr>
        <w:t>k</w:t>
      </w:r>
      <w:r w:rsidRPr="00061F29">
        <w:rPr>
          <w:rFonts w:ascii="Times New Roman" w:eastAsia="Calibri" w:hAnsi="Times New Roman" w:cs="Times New Roman"/>
          <w:vertAlign w:val="subscript"/>
        </w:rPr>
        <w:t>SSB</w:t>
      </w:r>
      <w:r>
        <w:rPr>
          <w:rFonts w:ascii="Calibri" w:eastAsia="Calibri" w:hAnsi="Calibri" w:cs="Arial"/>
        </w:rPr>
        <w:t xml:space="preserve">, hence the one additional RB would need to be introduced to the BWP definition, so that the BWP would be determined as </w:t>
      </w:r>
      <w:r w:rsidR="00061F29">
        <w:rPr>
          <w:rFonts w:ascii="Calibri" w:eastAsia="Calibri" w:hAnsi="Calibri" w:cs="Arial"/>
        </w:rPr>
        <w:t xml:space="preserve"> </w:t>
      </w:r>
      <m:oMath>
        <m:r>
          <w:rPr>
            <w:rFonts w:ascii="Cambria Math" w:eastAsia="Calibri" w:hAnsi="Cambria Math" w:cs="Arial"/>
          </w:rPr>
          <m:t>(offset+20∙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Calibri" w:hAnsi="Cambria Math" w:cs="Arial"/>
          </w:rPr>
          <m:t>+1)</m:t>
        </m:r>
      </m:oMath>
      <w:r>
        <w:rPr>
          <w:rFonts w:ascii="Calibri" w:eastAsia="Calibri" w:hAnsi="Calibri" w:cs="Arial"/>
        </w:rPr>
        <w:t xml:space="preserve"> RB’s. </w:t>
      </w:r>
      <w:r w:rsidR="00061F29">
        <w:rPr>
          <w:rFonts w:ascii="Calibri" w:eastAsia="Calibri" w:hAnsi="Calibri" w:cs="Arial"/>
        </w:rPr>
        <w:t>For case (b), the BWP can be defined as sum of th</w:t>
      </w:r>
      <w:r w:rsidR="00061F29" w:rsidRPr="00061F29">
        <w:rPr>
          <w:rFonts w:ascii="Calibri" w:eastAsia="Calibri" w:hAnsi="Calibri" w:cs="Arial"/>
        </w:rPr>
        <w:t xml:space="preserve">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00061F29">
        <w:rPr>
          <w:rFonts w:ascii="Calibri" w:eastAsia="Calibri" w:hAnsi="Calibri" w:cs="Arial"/>
        </w:rPr>
        <w:t xml:space="preserve"> and the absolute value of the </w:t>
      </w:r>
      <w:r w:rsidR="00061F29" w:rsidRPr="00061F29">
        <w:rPr>
          <w:rFonts w:ascii="Times New Roman" w:eastAsia="Calibri" w:hAnsi="Times New Roman" w:cs="Times New Roman"/>
          <w:i/>
        </w:rPr>
        <w:t>offset</w:t>
      </w:r>
      <w:r w:rsidR="00061F29">
        <w:rPr>
          <w:rFonts w:ascii="Calibri" w:eastAsia="Calibri" w:hAnsi="Calibri" w:cs="Arial"/>
        </w:rPr>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+offset)</m:t>
        </m:r>
      </m:oMath>
      <w:r w:rsidR="00061F29">
        <w:rPr>
          <w:rFonts w:ascii="Calibri" w:eastAsia="Calibri" w:hAnsi="Calibri" w:cs="Arial"/>
        </w:rPr>
        <w:t>.</w:t>
      </w:r>
      <w:r>
        <w:rPr>
          <w:rFonts w:ascii="Calibri" w:eastAsia="Calibri" w:hAnsi="Calibri" w:cs="Arial"/>
        </w:rPr>
        <w:t xml:space="preserve"> The possible shift due to </w:t>
      </w:r>
      <w:r w:rsidRPr="00061F29">
        <w:rPr>
          <w:rFonts w:ascii="Times New Roman" w:eastAsia="Calibri" w:hAnsi="Times New Roman" w:cs="Times New Roman"/>
          <w:i/>
        </w:rPr>
        <w:t>k</w:t>
      </w:r>
      <w:r w:rsidRPr="00061F29">
        <w:rPr>
          <w:rFonts w:ascii="Times New Roman" w:eastAsia="Calibri" w:hAnsi="Times New Roman" w:cs="Times New Roman"/>
          <w:vertAlign w:val="subscript"/>
        </w:rPr>
        <w:t>SSB</w:t>
      </w:r>
      <w:r>
        <w:rPr>
          <w:rFonts w:ascii="Calibri" w:eastAsia="Calibri" w:hAnsi="Calibri" w:cs="Arial"/>
        </w:rPr>
        <w:t xml:space="preserve"> is included in the value of the </w:t>
      </w:r>
      <w:r w:rsidRPr="00853BF8">
        <w:rPr>
          <w:rFonts w:ascii="Times New Roman" w:eastAsia="Calibri" w:hAnsi="Times New Roman" w:cs="Times New Roman"/>
          <w:i/>
        </w:rPr>
        <w:t>offset</w:t>
      </w:r>
      <w:r>
        <w:rPr>
          <w:rFonts w:ascii="Calibri" w:eastAsia="Calibri" w:hAnsi="Calibri" w:cs="Arial"/>
        </w:rPr>
        <w:t xml:space="preserve"> values it tables in Section 13 via </w:t>
      </w:r>
      <w:r w:rsidRPr="00853BF8">
        <w:rPr>
          <w:rFonts w:ascii="Times New Roman" w:eastAsia="Calibri" w:hAnsi="Times New Roman" w:cs="Times New Roman"/>
          <w:i/>
        </w:rPr>
        <w:t>Condition A</w:t>
      </w:r>
      <w:r>
        <w:rPr>
          <w:rFonts w:ascii="Times New Roman" w:eastAsia="Calibri" w:hAnsi="Times New Roman" w:cs="Times New Roman"/>
          <w:i/>
        </w:rPr>
        <w:t xml:space="preserve"> </w:t>
      </w:r>
      <w:r w:rsidRPr="00853BF8">
        <w:rPr>
          <w:rFonts w:ascii="Times New Roman" w:eastAsia="Calibri" w:hAnsi="Times New Roman" w:cs="Times New Roman"/>
        </w:rPr>
        <w:t>(</w:t>
      </w:r>
      <w:r w:rsidRPr="00853BF8">
        <w:rPr>
          <w:rFonts w:ascii="Times New Roman" w:eastAsia="Calibri" w:hAnsi="Times New Roman" w:cs="Times New Roman"/>
          <w:i/>
        </w:rPr>
        <w:t>k</w:t>
      </w:r>
      <w:r w:rsidRPr="00853BF8">
        <w:rPr>
          <w:rFonts w:ascii="Times New Roman" w:eastAsia="Calibri" w:hAnsi="Times New Roman" w:cs="Times New Roman"/>
          <w:vertAlign w:val="subscript"/>
        </w:rPr>
        <w:t>SSB</w:t>
      </w:r>
      <w:r w:rsidRPr="00853BF8">
        <w:rPr>
          <w:rFonts w:ascii="Times New Roman" w:eastAsia="Calibri" w:hAnsi="Times New Roman" w:cs="Times New Roman"/>
        </w:rPr>
        <w:t>=0)</w:t>
      </w:r>
      <w:r>
        <w:rPr>
          <w:rFonts w:ascii="Calibri" w:eastAsia="Calibri" w:hAnsi="Calibri" w:cs="Arial"/>
        </w:rPr>
        <w:t xml:space="preserve"> and </w:t>
      </w:r>
      <w:r w:rsidRPr="00853BF8">
        <w:rPr>
          <w:rFonts w:ascii="Times New Roman" w:eastAsia="Calibri" w:hAnsi="Times New Roman" w:cs="Times New Roman"/>
          <w:i/>
        </w:rPr>
        <w:t>Condition B</w:t>
      </w:r>
      <w:r>
        <w:rPr>
          <w:rFonts w:ascii="Times New Roman" w:eastAsia="Calibri" w:hAnsi="Times New Roman" w:cs="Times New Roman"/>
          <w:i/>
        </w:rPr>
        <w:t xml:space="preserve"> </w:t>
      </w:r>
      <w:r w:rsidRPr="00853BF8">
        <w:rPr>
          <w:rFonts w:ascii="Times New Roman" w:eastAsia="Calibri" w:hAnsi="Times New Roman" w:cs="Times New Roman"/>
        </w:rPr>
        <w:t>(</w:t>
      </w:r>
      <w:r w:rsidRPr="00853BF8">
        <w:rPr>
          <w:rFonts w:ascii="Times New Roman" w:eastAsia="Calibri" w:hAnsi="Times New Roman" w:cs="Times New Roman"/>
          <w:i/>
        </w:rPr>
        <w:t>k</w:t>
      </w:r>
      <w:r w:rsidRPr="00853BF8">
        <w:rPr>
          <w:rFonts w:ascii="Times New Roman" w:eastAsia="Calibri" w:hAnsi="Times New Roman" w:cs="Times New Roman"/>
          <w:vertAlign w:val="subscript"/>
        </w:rPr>
        <w:t>SSB</w:t>
      </w:r>
      <w:r>
        <w:rPr>
          <w:rFonts w:ascii="Times New Roman" w:eastAsia="Calibri" w:hAnsi="Times New Roman" w:cs="Times New Roman"/>
        </w:rPr>
        <w:t>&gt;</w:t>
      </w:r>
      <w:r w:rsidRPr="00853BF8">
        <w:rPr>
          <w:rFonts w:ascii="Times New Roman" w:eastAsia="Calibri" w:hAnsi="Times New Roman" w:cs="Times New Roman"/>
        </w:rPr>
        <w:t>0)</w:t>
      </w:r>
      <w:r w:rsidRPr="00853BF8">
        <w:rPr>
          <w:rFonts w:ascii="Calibri" w:eastAsia="Calibri" w:hAnsi="Calibri" w:cs="Arial"/>
          <w:i/>
        </w:rPr>
        <w:t>.</w:t>
      </w:r>
      <w:r>
        <w:rPr>
          <w:rFonts w:ascii="Calibri" w:eastAsia="Calibri" w:hAnsi="Calibri" w:cs="Arial"/>
        </w:rPr>
        <w:t xml:space="preserve"> </w:t>
      </w:r>
    </w:p>
    <w:p w14:paraId="36041E8E" w14:textId="3F77582D" w:rsidR="00853BF8" w:rsidRPr="00853BF8" w:rsidRDefault="00853BF8" w:rsidP="00061F29">
      <w:pPr>
        <w:rPr>
          <w:rFonts w:ascii="Calibri" w:eastAsia="Calibri" w:hAnsi="Calibri" w:cs="Arial"/>
        </w:rPr>
      </w:pPr>
      <w:r>
        <w:rPr>
          <w:rFonts w:ascii="Calibri" w:eastAsia="Calibri" w:hAnsi="Calibri" w:cs="Arial"/>
        </w:rPr>
        <w:lastRenderedPageBreak/>
        <w:t xml:space="preserve">Correspondingly the starting position (PRB#0 of the BWP) of would depend whether CORESET is above or below the SSB. So for case (a), when CORESET is below the SSB, the PRB#0 of the BWP would be defined by the start of the CORESET, i.e. in similar manner as today. For case (b) when CORESET is above the SSB, the PRB#0 would need to be determined as </w:t>
      </w:r>
      <w:r w:rsidRPr="009134C1">
        <w:t xml:space="preserve">the smallest RB index </w:t>
      </w:r>
      <w:r>
        <w:t xml:space="preserve">of the common RB overlapping with the first RB </w:t>
      </w:r>
      <w:r w:rsidRPr="009134C1">
        <w:t>of the SS/PBCH block</w:t>
      </w:r>
      <w:r>
        <w:t>.</w:t>
      </w:r>
    </w:p>
    <w:p w14:paraId="3EF99317" w14:textId="77777777" w:rsidR="00061F29" w:rsidRDefault="00061F29" w:rsidP="00413DDC">
      <w:pPr>
        <w:rPr>
          <w:rFonts w:ascii="Calibri" w:eastAsia="Calibri" w:hAnsi="Calibri" w:cs="Arial"/>
        </w:rPr>
      </w:pPr>
    </w:p>
    <w:p w14:paraId="113628E9" w14:textId="0557B372" w:rsidR="00061F29" w:rsidRDefault="00061F29" w:rsidP="00061F29">
      <w:pPr>
        <w:keepNext/>
        <w:jc w:val="center"/>
        <w:rPr>
          <w:rFonts w:ascii="Calibri" w:eastAsia="Calibri" w:hAnsi="Calibri" w:cs="Arial"/>
        </w:rPr>
      </w:pPr>
      <w:r w:rsidRPr="00061F29">
        <w:rPr>
          <w:noProof/>
        </w:rPr>
        <w:drawing>
          <wp:inline distT="0" distB="0" distL="0" distR="0" wp14:anchorId="4DDB5F8F" wp14:editId="0E3E4131">
            <wp:extent cx="5025600" cy="1645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5600" cy="1645200"/>
                    </a:xfrm>
                    <a:prstGeom prst="rect">
                      <a:avLst/>
                    </a:prstGeom>
                    <a:noFill/>
                    <a:ln>
                      <a:noFill/>
                    </a:ln>
                  </pic:spPr>
                </pic:pic>
              </a:graphicData>
            </a:graphic>
          </wp:inline>
        </w:drawing>
      </w:r>
    </w:p>
    <w:p w14:paraId="108BCA33" w14:textId="09B169A6" w:rsidR="00061F29" w:rsidRDefault="00061F29" w:rsidP="00061F29">
      <w:pPr>
        <w:keepNext/>
        <w:jc w:val="center"/>
        <w:rPr>
          <w:rFonts w:ascii="Calibri" w:eastAsia="Calibri" w:hAnsi="Calibri" w:cs="Arial"/>
        </w:rPr>
      </w:pPr>
      <w:r>
        <w:rPr>
          <w:rFonts w:ascii="Calibri" w:eastAsia="Calibri" w:hAnsi="Calibri" w:cs="Arial"/>
        </w:rPr>
        <w:t>(a)</w:t>
      </w:r>
    </w:p>
    <w:p w14:paraId="65B6AFB9" w14:textId="79FEE5ED" w:rsidR="00061F29" w:rsidRDefault="00061F29" w:rsidP="00061F29">
      <w:pPr>
        <w:keepNext/>
        <w:jc w:val="center"/>
        <w:rPr>
          <w:rFonts w:ascii="Calibri" w:eastAsia="Calibri" w:hAnsi="Calibri" w:cs="Arial"/>
        </w:rPr>
      </w:pPr>
      <w:r w:rsidRPr="00061F29">
        <w:rPr>
          <w:noProof/>
        </w:rPr>
        <w:drawing>
          <wp:inline distT="0" distB="0" distL="0" distR="0" wp14:anchorId="3E5DA71F" wp14:editId="53C6502E">
            <wp:extent cx="5482800" cy="17856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2800" cy="1785600"/>
                    </a:xfrm>
                    <a:prstGeom prst="rect">
                      <a:avLst/>
                    </a:prstGeom>
                    <a:noFill/>
                    <a:ln>
                      <a:noFill/>
                    </a:ln>
                  </pic:spPr>
                </pic:pic>
              </a:graphicData>
            </a:graphic>
          </wp:inline>
        </w:drawing>
      </w:r>
    </w:p>
    <w:p w14:paraId="42C7A08C" w14:textId="6B9A47F0" w:rsidR="00061F29" w:rsidRPr="00413DDC" w:rsidRDefault="00061F29" w:rsidP="00061F29">
      <w:pPr>
        <w:keepNext/>
        <w:jc w:val="center"/>
        <w:rPr>
          <w:rFonts w:ascii="Calibri" w:eastAsia="Calibri" w:hAnsi="Calibri" w:cs="Arial"/>
        </w:rPr>
      </w:pPr>
      <w:r>
        <w:rPr>
          <w:rFonts w:ascii="Calibri" w:eastAsia="Calibri" w:hAnsi="Calibri" w:cs="Arial"/>
        </w:rPr>
        <w:t>(b)</w:t>
      </w:r>
    </w:p>
    <w:p w14:paraId="7F54C6F5" w14:textId="5897EAF4" w:rsidR="0042758B" w:rsidRPr="009F4CE2" w:rsidRDefault="00061F29" w:rsidP="00061F29">
      <w:pPr>
        <w:pStyle w:val="Caption"/>
        <w:jc w:val="center"/>
        <w:rPr>
          <w:b w:val="0"/>
          <w:lang w:val="en-US"/>
        </w:rPr>
      </w:pPr>
      <w:bookmarkStart w:id="13" w:name="_Ref513572594"/>
      <w:r>
        <w:t xml:space="preserve">Figure </w:t>
      </w:r>
      <w:r w:rsidR="00FE42A7">
        <w:fldChar w:fldCharType="begin"/>
      </w:r>
      <w:r w:rsidR="00FE42A7">
        <w:instrText xml:space="preserve"> SEQ Figure \* ARABIC </w:instrText>
      </w:r>
      <w:r w:rsidR="00FE42A7">
        <w:fldChar w:fldCharType="separate"/>
      </w:r>
      <w:r>
        <w:rPr>
          <w:noProof/>
        </w:rPr>
        <w:t>3</w:t>
      </w:r>
      <w:r w:rsidR="00FE42A7">
        <w:rPr>
          <w:noProof/>
        </w:rPr>
        <w:fldChar w:fldCharType="end"/>
      </w:r>
      <w:bookmarkEnd w:id="13"/>
      <w:r w:rsidRPr="009F4CE2">
        <w:rPr>
          <w:lang w:val="en-US"/>
        </w:rPr>
        <w:t xml:space="preserve">. </w:t>
      </w:r>
      <w:r w:rsidRPr="009F4CE2">
        <w:rPr>
          <w:b w:val="0"/>
          <w:lang w:val="en-US"/>
        </w:rPr>
        <w:t>Illustration of initial active DL BWP determinations</w:t>
      </w:r>
    </w:p>
    <w:p w14:paraId="7D2B5785" w14:textId="02C988D9" w:rsidR="00061F29" w:rsidRDefault="00061F29" w:rsidP="0092730B"/>
    <w:p w14:paraId="0893A64E" w14:textId="77777777" w:rsidR="00061F29" w:rsidRPr="00413DDC" w:rsidRDefault="00061F29" w:rsidP="0092730B"/>
    <w:p w14:paraId="4E376BC9" w14:textId="18257910" w:rsidR="00620244" w:rsidRPr="00B8625C" w:rsidRDefault="00AB0F98" w:rsidP="00B74C8F">
      <w:pPr>
        <w:pStyle w:val="Heading1"/>
        <w:rPr>
          <w:color w:val="000000"/>
        </w:rPr>
      </w:pPr>
      <w:r>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6330BB9F" w:rsidR="00EB6182" w:rsidRPr="00413DDC" w:rsidRDefault="00B31537" w:rsidP="00B67D9C">
      <w:pPr>
        <w:jc w:val="both"/>
      </w:pPr>
      <w:r w:rsidRPr="00413DDC">
        <w:t xml:space="preserve">In this </w:t>
      </w:r>
      <w:r w:rsidR="004A38AF" w:rsidRPr="00413DDC">
        <w:t>contribution</w:t>
      </w:r>
      <w:r w:rsidR="00032A8C" w:rsidRPr="00413DDC">
        <w:t>,</w:t>
      </w:r>
      <w:r w:rsidR="004A38AF" w:rsidRPr="00413DDC">
        <w:t xml:space="preserve"> we d</w:t>
      </w:r>
      <w:r w:rsidR="00A71444" w:rsidRPr="00413DDC">
        <w:t xml:space="preserve">iscussed about enhancing the system operation </w:t>
      </w:r>
      <w:r w:rsidR="00853BF8">
        <w:t xml:space="preserve">for RMSI multiplexing pattern 2 and 3, by </w:t>
      </w:r>
      <w:r w:rsidR="00A71444" w:rsidRPr="00413DDC">
        <w:t xml:space="preserve">extended </w:t>
      </w:r>
      <w:r w:rsidR="00853BF8">
        <w:t>the initial active DL BWP to cover both, CORESET and SSB</w:t>
      </w:r>
      <w:r w:rsidR="00A71444" w:rsidRPr="00413DDC">
        <w:t>. Based on the discussion</w:t>
      </w:r>
      <w:r w:rsidR="00853BF8">
        <w:t xml:space="preserve"> presented in this contribution and e.g. in </w:t>
      </w:r>
      <w:r w:rsidR="00853BF8">
        <w:fldChar w:fldCharType="begin"/>
      </w:r>
      <w:r w:rsidR="00853BF8">
        <w:instrText xml:space="preserve"> REF _Ref513560469 \r \h </w:instrText>
      </w:r>
      <w:r w:rsidR="00853BF8">
        <w:fldChar w:fldCharType="separate"/>
      </w:r>
      <w:r w:rsidR="00853BF8">
        <w:t>[4]</w:t>
      </w:r>
      <w:r w:rsidR="00853BF8">
        <w:fldChar w:fldCharType="end"/>
      </w:r>
      <w:r w:rsidR="00A71444" w:rsidRPr="00413DDC">
        <w:t>,</w:t>
      </w:r>
      <w:r w:rsidR="00853BF8">
        <w:t xml:space="preserve"> and also accounting the agreements made in RAN1#92bis in context of control channel discussion,</w:t>
      </w:r>
      <w:r w:rsidR="00A71444" w:rsidRPr="00413DDC">
        <w:t xml:space="preserve"> the following observations and proposals are made:</w:t>
      </w:r>
    </w:p>
    <w:p w14:paraId="2EA54A6A" w14:textId="77777777" w:rsidR="00853BF8" w:rsidRPr="00413DDC" w:rsidRDefault="00853BF8" w:rsidP="00853BF8">
      <w:pPr>
        <w:rPr>
          <w:rFonts w:ascii="Calibri" w:eastAsia="Calibri" w:hAnsi="Calibri" w:cs="Times New Roman"/>
        </w:rPr>
      </w:pPr>
      <w:r w:rsidRPr="00413DDC">
        <w:rPr>
          <w:rFonts w:ascii="Calibri" w:eastAsia="Calibri" w:hAnsi="Calibri" w:cs="Times New Roman"/>
          <w:b/>
        </w:rPr>
        <w:t>Observation:</w:t>
      </w:r>
      <w:r w:rsidRPr="00413DDC">
        <w:rPr>
          <w:rFonts w:ascii="Calibri" w:eastAsia="Calibri" w:hAnsi="Calibri" w:cs="Times New Roman"/>
        </w:rPr>
        <w:t xml:space="preserve"> For </w:t>
      </w:r>
      <w:r>
        <w:rPr>
          <w:rFonts w:ascii="Calibri" w:eastAsia="Calibri" w:hAnsi="Calibri" w:cs="Times New Roman"/>
        </w:rPr>
        <w:t>RMSI</w:t>
      </w:r>
      <w:r w:rsidRPr="00413DDC">
        <w:rPr>
          <w:rFonts w:ascii="Calibri" w:eastAsia="Calibri" w:hAnsi="Calibri" w:cs="Times New Roman"/>
        </w:rPr>
        <w:t xml:space="preserve"> multiplexing pattern 2 and 3 it would seem beneficial to enable extending the </w:t>
      </w:r>
      <w:r>
        <w:rPr>
          <w:rFonts w:ascii="Calibri" w:eastAsia="Calibri" w:hAnsi="Calibri" w:cs="Times New Roman"/>
        </w:rPr>
        <w:t xml:space="preserve">initial active </w:t>
      </w:r>
      <w:r w:rsidRPr="00413DDC">
        <w:rPr>
          <w:rFonts w:ascii="Calibri" w:eastAsia="Calibri" w:hAnsi="Calibri" w:cs="Times New Roman"/>
        </w:rPr>
        <w:t>BWP.</w:t>
      </w:r>
    </w:p>
    <w:p w14:paraId="4B0EBF41" w14:textId="77777777" w:rsidR="00853BF8" w:rsidRPr="00413DDC" w:rsidRDefault="00853BF8" w:rsidP="00853BF8">
      <w:pPr>
        <w:rPr>
          <w:rFonts w:ascii="Calibri" w:eastAsia="Calibri" w:hAnsi="Calibri" w:cs="Times New Roman"/>
        </w:rPr>
      </w:pPr>
      <w:r w:rsidRPr="00CE6191">
        <w:rPr>
          <w:rFonts w:ascii="Calibri" w:eastAsia="Calibri" w:hAnsi="Calibri" w:cs="Times New Roman"/>
          <w:b/>
        </w:rPr>
        <w:t>Observation</w:t>
      </w:r>
      <w:r>
        <w:rPr>
          <w:rFonts w:ascii="Calibri" w:eastAsia="Calibri" w:hAnsi="Calibri" w:cs="Times New Roman"/>
        </w:rPr>
        <w:t>: While agreement to start the RB numbering from the lowest RB of the CORESET (for DCI format 1-0 in CSS) somewhat restricts the merits of extending initial active DL BWP for RMSI pattern 2 and 3, this can somewhat be alleviated for wide carriers.</w:t>
      </w:r>
    </w:p>
    <w:p w14:paraId="1DCD1767" w14:textId="77777777" w:rsidR="00853BF8" w:rsidRPr="00061F29" w:rsidRDefault="00853BF8" w:rsidP="00853BF8">
      <w:pPr>
        <w:rPr>
          <w:rFonts w:ascii="Calibri" w:eastAsia="Calibri" w:hAnsi="Calibri" w:cs="Arial"/>
          <w:b/>
        </w:rPr>
      </w:pPr>
      <w:r w:rsidRPr="00061F29">
        <w:rPr>
          <w:rFonts w:ascii="Calibri" w:eastAsia="Calibri" w:hAnsi="Calibri" w:cs="Arial"/>
          <w:b/>
        </w:rPr>
        <w:lastRenderedPageBreak/>
        <w:t>Proposal: to extend the initial active DL BWP to cover both PBCH defined CORESET and SSB for RMSI multiplexing pattern 2 and 3.</w:t>
      </w:r>
    </w:p>
    <w:p w14:paraId="7ECDA8BA" w14:textId="477F9F69" w:rsidR="00021403" w:rsidRDefault="00021403" w:rsidP="00900043">
      <w:r>
        <w:t xml:space="preserve">Note that, as discussed in </w:t>
      </w:r>
      <w:r>
        <w:fldChar w:fldCharType="begin"/>
      </w:r>
      <w:r>
        <w:instrText xml:space="preserve"> REF _Ref513621460 \r \h </w:instrText>
      </w:r>
      <w:r>
        <w:fldChar w:fldCharType="separate"/>
      </w:r>
      <w:r>
        <w:t>[5]</w:t>
      </w:r>
      <w:r>
        <w:fldChar w:fldCharType="end"/>
      </w:r>
      <w:r>
        <w:t xml:space="preserve">, if the control AI agreement could be reconsidered. </w:t>
      </w:r>
    </w:p>
    <w:p w14:paraId="22CA006F" w14:textId="582E2EFE" w:rsidR="00900043" w:rsidRPr="00413DDC" w:rsidRDefault="00F72E36" w:rsidP="00900043">
      <w:r>
        <w:t>One formulation for defining the extended initial active DL BWP is presented in Section3, and c</w:t>
      </w:r>
      <w:r w:rsidR="00900043" w:rsidRPr="00413DDC">
        <w:t>orresponding text proposal to Section 12 of 38.213 is given in the Annex A at the end of the document.</w:t>
      </w:r>
    </w:p>
    <w:p w14:paraId="7C9AA7B8" w14:textId="77777777" w:rsidR="00F4747E" w:rsidRPr="00413DDC" w:rsidRDefault="00F4747E" w:rsidP="0073321F">
      <w:pPr>
        <w:rPr>
          <w:lang w:eastAsia="x-none"/>
        </w:rPr>
      </w:pPr>
    </w:p>
    <w:p w14:paraId="3DD173D0" w14:textId="77777777" w:rsidR="0034111C" w:rsidRPr="00B8625C" w:rsidRDefault="0034111C">
      <w:pPr>
        <w:pStyle w:val="Heading1"/>
      </w:pPr>
      <w:bookmarkStart w:id="14" w:name="_Hlk503513788"/>
      <w:r w:rsidRPr="00B8625C">
        <w:t>References</w:t>
      </w:r>
      <w:bookmarkEnd w:id="14"/>
      <w:r w:rsidR="00A2459D" w:rsidRPr="00B8625C">
        <w:t xml:space="preserve"> </w:t>
      </w:r>
    </w:p>
    <w:p w14:paraId="2E4C9F20" w14:textId="6B76401B" w:rsidR="00E8684A" w:rsidRDefault="00E8684A" w:rsidP="00D35EF4">
      <w:pPr>
        <w:numPr>
          <w:ilvl w:val="0"/>
          <w:numId w:val="1"/>
        </w:numPr>
      </w:pPr>
      <w:bookmarkStart w:id="15" w:name="_Ref503514254"/>
      <w:r w:rsidRPr="00B8625C">
        <w:t>RAN1#</w:t>
      </w:r>
      <w:r>
        <w:t>91</w:t>
      </w:r>
      <w:r w:rsidRPr="00B8625C">
        <w:t xml:space="preserve"> Chairman Notes</w:t>
      </w:r>
      <w:bookmarkEnd w:id="15"/>
    </w:p>
    <w:p w14:paraId="2754C656" w14:textId="0A30525C" w:rsidR="00D35EF4" w:rsidRDefault="002F2C0B" w:rsidP="00D35EF4">
      <w:pPr>
        <w:numPr>
          <w:ilvl w:val="0"/>
          <w:numId w:val="1"/>
        </w:numPr>
      </w:pPr>
      <w:bookmarkStart w:id="16" w:name="_Ref503515101"/>
      <w:r w:rsidRPr="00B8625C">
        <w:t>RAN1</w:t>
      </w:r>
      <w:r w:rsidR="001E0205">
        <w:t xml:space="preserve"> NR AH</w:t>
      </w:r>
      <w:r w:rsidR="00D35EF4" w:rsidRPr="00B8625C">
        <w:t>#</w:t>
      </w:r>
      <w:r w:rsidR="001E0205">
        <w:t>18-01</w:t>
      </w:r>
      <w:r w:rsidR="00D35EF4" w:rsidRPr="00B8625C">
        <w:t xml:space="preserve"> Chairman Notes</w:t>
      </w:r>
      <w:bookmarkEnd w:id="16"/>
    </w:p>
    <w:p w14:paraId="7AD44F70" w14:textId="5CE12146" w:rsidR="00802D09" w:rsidRDefault="00802D09" w:rsidP="00D35EF4">
      <w:pPr>
        <w:numPr>
          <w:ilvl w:val="0"/>
          <w:numId w:val="1"/>
        </w:numPr>
      </w:pPr>
      <w:bookmarkStart w:id="17" w:name="_Ref513560927"/>
      <w:r>
        <w:t>R1-1802894, ‘’BWP determination for paging’, Nokia, Nokia Shanghai Bell</w:t>
      </w:r>
      <w:bookmarkEnd w:id="17"/>
    </w:p>
    <w:p w14:paraId="03406BCE" w14:textId="67312A26" w:rsidR="00802D09" w:rsidRDefault="00802D09" w:rsidP="00802D09">
      <w:pPr>
        <w:numPr>
          <w:ilvl w:val="0"/>
          <w:numId w:val="1"/>
        </w:numPr>
      </w:pPr>
      <w:bookmarkStart w:id="18" w:name="_Ref513560469"/>
      <w:r w:rsidRPr="00802D09">
        <w:t>R1-1805138</w:t>
      </w:r>
      <w:r w:rsidRPr="00FB2C26">
        <w:t>, ‘’BWP determination for paging’, Nokia, Nokia Shanghai Bell</w:t>
      </w:r>
      <w:bookmarkEnd w:id="18"/>
      <w:r w:rsidRPr="00FB2C26">
        <w:t xml:space="preserve"> </w:t>
      </w:r>
    </w:p>
    <w:p w14:paraId="52A2B225" w14:textId="77777777" w:rsidR="00FB2C26" w:rsidRPr="00FB2C26" w:rsidRDefault="00FB2C26" w:rsidP="00FB2C26">
      <w:pPr>
        <w:pStyle w:val="ListParagraph"/>
        <w:numPr>
          <w:ilvl w:val="0"/>
          <w:numId w:val="1"/>
        </w:numPr>
        <w:rPr>
          <w:sz w:val="22"/>
          <w:szCs w:val="22"/>
          <w:lang w:eastAsia="en-US"/>
        </w:rPr>
      </w:pPr>
      <w:r w:rsidRPr="00FB2C26">
        <w:rPr>
          <w:sz w:val="22"/>
          <w:szCs w:val="22"/>
          <w:lang w:eastAsia="en-US"/>
        </w:rPr>
        <w:t>R1-1806657, ‘On the remaining issues for DCI format sizes and contents’, Nokia, Nokia Shanghai Bell</w:t>
      </w:r>
    </w:p>
    <w:p w14:paraId="642AE2D9" w14:textId="77777777" w:rsidR="00FB2C26" w:rsidRPr="00FB2C26" w:rsidRDefault="00FB2C26" w:rsidP="00583F10"/>
    <w:p w14:paraId="6738CA07" w14:textId="66B26530" w:rsidR="00B87FDF" w:rsidRPr="00413DDC" w:rsidRDefault="00B87FDF" w:rsidP="0092730B">
      <w:pPr>
        <w:spacing w:after="0" w:line="240" w:lineRule="auto"/>
      </w:pPr>
    </w:p>
    <w:p w14:paraId="56A0645A" w14:textId="77777777" w:rsidR="00A736BC" w:rsidRPr="00413DDC" w:rsidRDefault="00A736BC">
      <w:pPr>
        <w:spacing w:after="0" w:line="240" w:lineRule="auto"/>
        <w:rPr>
          <w:rFonts w:ascii="Arial" w:eastAsia="SimSun" w:hAnsi="Arial" w:cs="Times New Roman"/>
          <w:sz w:val="36"/>
          <w:szCs w:val="20"/>
        </w:rPr>
      </w:pPr>
      <w:r w:rsidRPr="00413DDC">
        <w:br w:type="page"/>
      </w:r>
    </w:p>
    <w:p w14:paraId="1E6FACC6" w14:textId="7D692EC1" w:rsidR="00D7489C" w:rsidRPr="00B8625C" w:rsidRDefault="00BE7A96" w:rsidP="00D7489C">
      <w:pPr>
        <w:pStyle w:val="Heading1"/>
      </w:pPr>
      <w:r>
        <w:lastRenderedPageBreak/>
        <w:t xml:space="preserve">Annex A. </w:t>
      </w:r>
      <w:r w:rsidR="00A736BC">
        <w:t>Text proposal to Section 12 of 38.213</w:t>
      </w:r>
      <w:r w:rsidR="00D7489C" w:rsidRPr="00B8625C">
        <w:t xml:space="preserve"> </w:t>
      </w:r>
    </w:p>
    <w:p w14:paraId="64E0C843" w14:textId="6236AF8E" w:rsidR="00D7489C" w:rsidRPr="00FB691A" w:rsidRDefault="00D7489C" w:rsidP="0092730B">
      <w:pPr>
        <w:spacing w:after="0" w:line="240" w:lineRule="auto"/>
      </w:pPr>
    </w:p>
    <w:p w14:paraId="60606CC1" w14:textId="77777777" w:rsidR="00357CF7" w:rsidRPr="00413DDC" w:rsidRDefault="00357CF7" w:rsidP="00357CF7">
      <w:pPr>
        <w:spacing w:after="0" w:line="240" w:lineRule="auto"/>
        <w:jc w:val="center"/>
        <w:rPr>
          <w:rFonts w:ascii="Times New Roman" w:hAnsi="Times New Roman" w:cs="Times New Roman"/>
          <w:i/>
          <w:color w:val="FF0000"/>
        </w:rPr>
      </w:pPr>
      <w:r w:rsidRPr="00413DDC">
        <w:rPr>
          <w:rFonts w:ascii="Times New Roman" w:hAnsi="Times New Roman" w:cs="Times New Roman"/>
          <w:i/>
          <w:color w:val="FF0000"/>
        </w:rPr>
        <w:t xml:space="preserve">==== Text proposal starts </w:t>
      </w:r>
      <w:r>
        <w:rPr>
          <w:rFonts w:ascii="Times New Roman" w:hAnsi="Times New Roman" w:cs="Times New Roman"/>
          <w:i/>
          <w:color w:val="FF0000"/>
        </w:rPr>
        <w:t>(TS 38.213)</w:t>
      </w:r>
      <w:r w:rsidRPr="00413DDC">
        <w:rPr>
          <w:rFonts w:ascii="Times New Roman" w:hAnsi="Times New Roman" w:cs="Times New Roman"/>
          <w:i/>
          <w:color w:val="FF0000"/>
        </w:rPr>
        <w:t>====</w:t>
      </w:r>
    </w:p>
    <w:p w14:paraId="6E392371" w14:textId="77777777" w:rsidR="00357CF7" w:rsidRPr="00413DDC" w:rsidRDefault="00357CF7" w:rsidP="00357CF7">
      <w:pPr>
        <w:keepNext/>
        <w:keepLines/>
        <w:pBdr>
          <w:top w:val="single" w:sz="12" w:space="3" w:color="auto"/>
        </w:pBdr>
        <w:tabs>
          <w:tab w:val="left" w:pos="1134"/>
        </w:tabs>
        <w:spacing w:before="240" w:after="180" w:line="240" w:lineRule="auto"/>
        <w:ind w:left="1134" w:hanging="1134"/>
        <w:outlineLvl w:val="0"/>
        <w:rPr>
          <w:rFonts w:ascii="Arial" w:eastAsia="Times New Roman" w:hAnsi="Arial" w:cs="Times New Roman"/>
          <w:sz w:val="36"/>
          <w:szCs w:val="20"/>
        </w:rPr>
      </w:pPr>
      <w:bookmarkStart w:id="19" w:name="_Ref496621482"/>
      <w:bookmarkStart w:id="20" w:name="_Toc508784717"/>
      <w:bookmarkStart w:id="21" w:name="_Toc492222145"/>
      <w:r w:rsidRPr="00413DDC">
        <w:rPr>
          <w:rFonts w:ascii="Arial" w:eastAsia="Times New Roman" w:hAnsi="Arial" w:cs="Times New Roman"/>
          <w:sz w:val="36"/>
          <w:szCs w:val="20"/>
        </w:rPr>
        <w:t>12</w:t>
      </w:r>
      <w:r w:rsidRPr="00413DDC">
        <w:rPr>
          <w:rFonts w:ascii="Arial" w:eastAsia="Times New Roman" w:hAnsi="Arial" w:cs="Times New Roman"/>
          <w:sz w:val="36"/>
          <w:szCs w:val="20"/>
        </w:rPr>
        <w:tab/>
        <w:t>Bandwidth part operation</w:t>
      </w:r>
      <w:bookmarkEnd w:id="19"/>
      <w:bookmarkEnd w:id="20"/>
      <w:r w:rsidRPr="00413DDC">
        <w:rPr>
          <w:rFonts w:ascii="Arial" w:eastAsia="Times New Roman" w:hAnsi="Arial" w:cs="Times New Roman"/>
          <w:sz w:val="36"/>
          <w:szCs w:val="20"/>
        </w:rPr>
        <w:t xml:space="preserve"> </w:t>
      </w:r>
      <w:bookmarkEnd w:id="21"/>
    </w:p>
    <w:p w14:paraId="014AC201" w14:textId="77777777" w:rsidR="00CD5250" w:rsidRPr="00413DDC" w:rsidRDefault="00CD5250" w:rsidP="00CD5250">
      <w:pPr>
        <w:spacing w:after="180" w:line="240" w:lineRule="auto"/>
        <w:jc w:val="center"/>
        <w:rPr>
          <w:rFonts w:ascii="Times New Roman" w:eastAsia="Times New Roman" w:hAnsi="Times New Roman" w:cs="Times New Roman"/>
          <w:i/>
          <w:color w:val="FF0000"/>
          <w:sz w:val="20"/>
          <w:szCs w:val="20"/>
          <w:lang w:eastAsia="ja-JP"/>
        </w:rPr>
      </w:pPr>
      <w:r w:rsidRPr="00413DDC">
        <w:rPr>
          <w:rFonts w:ascii="Times New Roman" w:eastAsia="Times New Roman" w:hAnsi="Times New Roman" w:cs="Times New Roman"/>
          <w:i/>
          <w:color w:val="FF0000"/>
          <w:sz w:val="20"/>
          <w:szCs w:val="20"/>
          <w:lang w:eastAsia="ja-JP"/>
        </w:rPr>
        <w:t>--- Parts that are not affected are omitted ---</w:t>
      </w:r>
    </w:p>
    <w:p w14:paraId="5357C829" w14:textId="190C1DA8" w:rsidR="00021403" w:rsidRPr="00FB691A" w:rsidRDefault="00021403" w:rsidP="00021403">
      <w:pPr>
        <w:spacing w:after="180" w:line="240" w:lineRule="auto"/>
        <w:rPr>
          <w:rFonts w:ascii="Times New Roman" w:eastAsia="MS Mincho" w:hAnsi="Times New Roman" w:cs="Times New Roman"/>
          <w:color w:val="FF0000"/>
          <w:sz w:val="20"/>
          <w:szCs w:val="20"/>
          <w:u w:val="single"/>
          <w:lang w:eastAsia="ja-JP"/>
        </w:rPr>
      </w:pPr>
      <w:r w:rsidRPr="00FB691A">
        <w:rPr>
          <w:rFonts w:ascii="Times New Roman" w:eastAsia="Times New Roman" w:hAnsi="Times New Roman" w:cs="Times New Roman"/>
          <w:color w:val="FF0000"/>
          <w:sz w:val="20"/>
          <w:szCs w:val="20"/>
          <w:u w:val="single"/>
          <w:lang w:eastAsia="ja-JP"/>
        </w:rPr>
        <w:t>For SS/PBCH block and control resource set multiplexing pattern 1,</w:t>
      </w:r>
      <w:r w:rsidRPr="00FB691A">
        <w:rPr>
          <w:rFonts w:ascii="Times New Roman" w:eastAsia="Times New Roman" w:hAnsi="Times New Roman" w:cs="Times New Roman"/>
          <w:sz w:val="20"/>
          <w:szCs w:val="20"/>
          <w:lang w:eastAsia="ja-JP"/>
        </w:rPr>
        <w:t xml:space="preserve"> </w:t>
      </w:r>
      <w:r w:rsidRPr="00FB691A">
        <w:rPr>
          <w:rFonts w:ascii="Times New Roman" w:eastAsia="Times New Roman" w:hAnsi="Times New Roman" w:cs="Times New Roman"/>
          <w:strike/>
          <w:color w:val="FF0000"/>
          <w:sz w:val="20"/>
          <w:szCs w:val="20"/>
          <w:lang w:eastAsia="ja-JP"/>
        </w:rPr>
        <w:t>Aa</w:t>
      </w:r>
      <w:r w:rsidRPr="00FB691A">
        <w:rPr>
          <w:rFonts w:ascii="Times New Roman" w:eastAsia="Times New Roman" w:hAnsi="Times New Roman" w:cs="Times New Roman"/>
          <w:sz w:val="20"/>
          <w:szCs w:val="20"/>
          <w:lang w:eastAsia="ja-JP"/>
        </w:rPr>
        <w:t xml:space="preserve">n initial active DL BWP is defined by a location and number of contiguous PRBs, a subcarrier spacing, and a cyclic prefix, for the control resource set for Type0-PDCCH common search space. </w:t>
      </w:r>
    </w:p>
    <w:p w14:paraId="21E0551E" w14:textId="77777777" w:rsidR="00021403" w:rsidRDefault="00021403" w:rsidP="00021403">
      <w:pPr>
        <w:spacing w:after="180" w:line="240" w:lineRule="auto"/>
        <w:rPr>
          <w:rFonts w:ascii="Times New Roman" w:eastAsia="Times New Roman" w:hAnsi="Times New Roman" w:cs="Times New Roman"/>
          <w:color w:val="FF0000"/>
          <w:sz w:val="20"/>
          <w:szCs w:val="20"/>
          <w:u w:val="single"/>
          <w:lang w:eastAsia="ja-JP"/>
        </w:rPr>
      </w:pPr>
      <w:r w:rsidRPr="00413DDC">
        <w:rPr>
          <w:rFonts w:ascii="Times New Roman" w:eastAsia="Times New Roman" w:hAnsi="Times New Roman" w:cs="Times New Roman"/>
          <w:color w:val="FF0000"/>
          <w:sz w:val="20"/>
          <w:szCs w:val="20"/>
          <w:u w:val="single"/>
          <w:lang w:eastAsia="ja-JP"/>
        </w:rPr>
        <w:t>For SS/PBCH block and control resource set multiplexing pattern 2 and 3,</w:t>
      </w:r>
      <w:r>
        <w:rPr>
          <w:rFonts w:ascii="Times New Roman" w:eastAsia="Times New Roman" w:hAnsi="Times New Roman" w:cs="Times New Roman"/>
          <w:color w:val="FF0000"/>
          <w:sz w:val="20"/>
          <w:szCs w:val="20"/>
          <w:u w:val="single"/>
          <w:lang w:eastAsia="ja-JP"/>
        </w:rPr>
        <w:t xml:space="preserve"> the initial active DL BWP is defined as follows:</w:t>
      </w:r>
    </w:p>
    <w:p w14:paraId="362E21C3" w14:textId="77777777" w:rsidR="00021403" w:rsidRDefault="00021403" w:rsidP="00021403">
      <w:pPr>
        <w:spacing w:after="180" w:line="240" w:lineRule="auto"/>
        <w:ind w:left="567" w:hanging="283"/>
        <w:rPr>
          <w:rFonts w:ascii="Times New Roman" w:eastAsia="Times New Roman"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when the SS/PBCH block is located below the Type0-PDCCH in frequency domain</w:t>
      </w:r>
    </w:p>
    <w:p w14:paraId="22D202B8" w14:textId="77777777" w:rsidR="00021403" w:rsidRDefault="00021403" w:rsidP="00021403">
      <w:pPr>
        <w:spacing w:after="180" w:line="240" w:lineRule="auto"/>
        <w:ind w:left="850" w:hanging="283"/>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t</w:t>
      </w:r>
      <w:r>
        <w:rPr>
          <w:rFonts w:ascii="Times New Roman" w:eastAsia="MS Mincho" w:hAnsi="Times New Roman" w:cs="Times New Roman"/>
          <w:color w:val="FF0000"/>
          <w:sz w:val="20"/>
          <w:szCs w:val="20"/>
          <w:u w:val="single"/>
          <w:lang w:eastAsia="ja-JP"/>
        </w:rPr>
        <w:t>he start of the BWP is determined by start of the control resource set for Type0-PDCCH common search space, and</w:t>
      </w:r>
    </w:p>
    <w:p w14:paraId="6DBF0E41" w14:textId="77777777" w:rsidR="00021403" w:rsidRDefault="00021403" w:rsidP="00021403">
      <w:pPr>
        <w:spacing w:after="180" w:line="240" w:lineRule="auto"/>
        <w:ind w:left="850" w:hanging="283"/>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the number of contiguous PRBs of the BWP is equal to</w:t>
      </w:r>
      <w:r w:rsidRPr="00413DDC">
        <w:rPr>
          <w:rFonts w:ascii="Times New Roman" w:eastAsia="Times New Roman" w:hAnsi="Times New Roman" w:cs="Times New Roman"/>
          <w:color w:val="FF0000"/>
          <w:sz w:val="20"/>
          <w:szCs w:val="20"/>
          <w:u w:val="single"/>
          <w:lang w:eastAsia="ja-JP"/>
        </w:rPr>
        <w:t xml:space="preserve"> </w:t>
      </w:r>
      <m:oMath>
        <m:d>
          <m:dPr>
            <m:begChr m:val="|"/>
            <m:endChr m:val="|"/>
            <m:ctrlPr>
              <w:rPr>
                <w:rFonts w:ascii="Cambria Math" w:eastAsia="Times New Roman" w:hAnsi="Cambria Math" w:cs="Times New Roman"/>
                <w:color w:val="FF0000"/>
                <w:sz w:val="20"/>
                <w:szCs w:val="20"/>
                <w:u w:val="single"/>
                <w:lang w:eastAsia="ja-JP"/>
              </w:rPr>
            </m:ctrlPr>
          </m:dPr>
          <m:e>
            <m:r>
              <w:rPr>
                <w:rFonts w:ascii="Cambria Math" w:eastAsia="Times New Roman" w:hAnsi="Cambria Math" w:cs="Times New Roman"/>
                <w:color w:val="FF0000"/>
                <w:sz w:val="20"/>
                <w:szCs w:val="20"/>
                <w:u w:val="single"/>
                <w:lang w:eastAsia="ja-JP"/>
              </w:rPr>
              <m:t>offset</m:t>
            </m:r>
          </m:e>
        </m:d>
        <m:r>
          <w:rPr>
            <w:rFonts w:ascii="Cambria Math" w:eastAsia="Times New Roman" w:hAnsi="Cambria Math" w:cs="Times New Roman"/>
            <w:color w:val="FF0000"/>
            <w:sz w:val="20"/>
            <w:szCs w:val="20"/>
            <w:u w:val="single"/>
            <w:lang w:eastAsia="ja-JP"/>
          </w:rPr>
          <m:t>+</m:t>
        </m:r>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CORESET</m:t>
            </m:r>
          </m:sup>
        </m:sSubSup>
      </m:oMath>
      <w:r>
        <w:rPr>
          <w:rFonts w:ascii="Times New Roman" w:eastAsia="Times New Roman" w:hAnsi="Times New Roman" w:cs="Times New Roman"/>
          <w:color w:val="FF0000"/>
          <w:sz w:val="20"/>
          <w:szCs w:val="20"/>
          <w:u w:val="single"/>
          <w:lang w:eastAsia="ja-JP"/>
        </w:rPr>
        <w:t>,</w:t>
      </w:r>
      <w:r w:rsidRPr="00413DDC">
        <w:rPr>
          <w:rFonts w:ascii="Times New Roman" w:eastAsia="MS Mincho" w:hAnsi="Times New Roman" w:cs="Times New Roman"/>
          <w:color w:val="FF0000"/>
          <w:sz w:val="20"/>
          <w:szCs w:val="20"/>
          <w:u w:val="single"/>
          <w:lang w:eastAsia="ja-JP"/>
        </w:rPr>
        <w:t xml:space="preserve"> where </w:t>
      </w:r>
      <w:r w:rsidRPr="00413DDC">
        <w:rPr>
          <w:rFonts w:ascii="Times New Roman" w:eastAsia="MS Mincho" w:hAnsi="Times New Roman" w:cs="Times New Roman"/>
          <w:i/>
          <w:color w:val="FF0000"/>
          <w:sz w:val="20"/>
          <w:szCs w:val="20"/>
          <w:u w:val="single"/>
          <w:lang w:eastAsia="ja-JP"/>
        </w:rPr>
        <w:t>offset</w:t>
      </w:r>
      <w:r w:rsidRPr="00413DDC">
        <w:rPr>
          <w:rFonts w:ascii="Times New Roman" w:eastAsia="MS Mincho" w:hAnsi="Times New Roman" w:cs="Times New Roman"/>
          <w:color w:val="FF0000"/>
          <w:sz w:val="20"/>
          <w:szCs w:val="20"/>
          <w:u w:val="single"/>
          <w:lang w:eastAsia="ja-JP"/>
        </w:rPr>
        <w:t xml:space="preserve"> </w:t>
      </w:r>
      <w:r>
        <w:rPr>
          <w:rFonts w:ascii="Times New Roman" w:eastAsia="MS Mincho" w:hAnsi="Times New Roman" w:cs="Times New Roman"/>
          <w:color w:val="FF0000"/>
          <w:sz w:val="20"/>
          <w:szCs w:val="20"/>
          <w:u w:val="single"/>
          <w:lang w:eastAsia="ja-JP"/>
        </w:rPr>
        <w:t xml:space="preserve">and </w:t>
      </w:r>
      <m:oMath>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CORESET</m:t>
            </m:r>
          </m:sup>
        </m:sSubSup>
      </m:oMath>
      <w:r>
        <w:rPr>
          <w:rFonts w:ascii="Times New Roman" w:eastAsia="MS Mincho" w:hAnsi="Times New Roman" w:cs="Times New Roman"/>
          <w:color w:val="FF0000"/>
          <w:sz w:val="20"/>
          <w:szCs w:val="20"/>
          <w:u w:val="single"/>
          <w:lang w:eastAsia="ja-JP"/>
        </w:rPr>
        <w:t xml:space="preserve"> are defined by </w:t>
      </w:r>
      <w:r w:rsidRPr="0075197E">
        <w:rPr>
          <w:rFonts w:ascii="Times New Roman" w:eastAsia="MS Mincho" w:hAnsi="Times New Roman" w:cs="Times New Roman"/>
          <w:i/>
          <w:color w:val="FF0000"/>
          <w:sz w:val="20"/>
          <w:szCs w:val="20"/>
          <w:u w:val="single"/>
          <w:lang w:eastAsia="ja-JP"/>
        </w:rPr>
        <w:t>RMSI-PDCCH-Config</w:t>
      </w:r>
      <w:r w:rsidRPr="0075197E">
        <w:rPr>
          <w:rFonts w:ascii="Times New Roman" w:eastAsia="MS Mincho" w:hAnsi="Times New Roman" w:cs="Times New Roman"/>
          <w:color w:val="FF0000"/>
          <w:sz w:val="20"/>
          <w:szCs w:val="20"/>
          <w:u w:val="single"/>
          <w:lang w:eastAsia="ja-JP"/>
        </w:rPr>
        <w:t xml:space="preserve"> </w:t>
      </w:r>
      <w:r>
        <w:rPr>
          <w:rFonts w:ascii="Times New Roman" w:eastAsia="MS Mincho" w:hAnsi="Times New Roman" w:cs="Times New Roman"/>
          <w:color w:val="FF0000"/>
          <w:sz w:val="20"/>
          <w:szCs w:val="20"/>
          <w:u w:val="single"/>
          <w:lang w:eastAsia="ja-JP"/>
        </w:rPr>
        <w:t>as given in Section 13.</w:t>
      </w:r>
    </w:p>
    <w:p w14:paraId="5592C368" w14:textId="77777777" w:rsidR="00021403" w:rsidRDefault="00021403" w:rsidP="00021403">
      <w:pPr>
        <w:spacing w:after="180" w:line="240" w:lineRule="auto"/>
        <w:ind w:left="567" w:hanging="283"/>
        <w:rPr>
          <w:rFonts w:ascii="Times New Roman" w:eastAsia="Times New Roman"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when the SS/PBCH block is located above the Type0-PDCCH in frequency domain,</w:t>
      </w:r>
    </w:p>
    <w:p w14:paraId="7A5F46EB" w14:textId="77777777" w:rsidR="00021403" w:rsidRDefault="00021403" w:rsidP="00021403">
      <w:pPr>
        <w:spacing w:after="180" w:line="240" w:lineRule="auto"/>
        <w:ind w:left="850" w:hanging="282"/>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r>
      <w:r>
        <w:rPr>
          <w:rFonts w:ascii="Times New Roman" w:eastAsia="MS Mincho" w:hAnsi="Times New Roman" w:cs="Times New Roman"/>
          <w:color w:val="FF0000"/>
          <w:sz w:val="20"/>
          <w:szCs w:val="20"/>
          <w:u w:val="single"/>
          <w:lang w:eastAsia="ja-JP"/>
        </w:rPr>
        <w:t xml:space="preserve">the start of the BWP is determined </w:t>
      </w:r>
      <w:r w:rsidRPr="00ED6CC0">
        <w:rPr>
          <w:rFonts w:ascii="Times New Roman" w:eastAsia="MS Mincho" w:hAnsi="Times New Roman" w:cs="Times New Roman"/>
          <w:color w:val="FF0000"/>
          <w:sz w:val="20"/>
          <w:szCs w:val="20"/>
          <w:u w:val="single"/>
          <w:lang w:eastAsia="ja-JP"/>
        </w:rPr>
        <w:t>the smallest RB index of the common RB overlapping with the first RB of the SS/PBCH block</w:t>
      </w:r>
      <w:r>
        <w:rPr>
          <w:rFonts w:ascii="Times New Roman" w:eastAsia="MS Mincho" w:hAnsi="Times New Roman" w:cs="Times New Roman"/>
          <w:color w:val="FF0000"/>
          <w:sz w:val="20"/>
          <w:szCs w:val="20"/>
          <w:u w:val="single"/>
          <w:lang w:eastAsia="ja-JP"/>
        </w:rPr>
        <w:t xml:space="preserve">. </w:t>
      </w:r>
    </w:p>
    <w:p w14:paraId="343092EB" w14:textId="0461888D" w:rsidR="00021403" w:rsidRDefault="00021403" w:rsidP="00021403">
      <w:pPr>
        <w:spacing w:after="180" w:line="240" w:lineRule="auto"/>
        <w:ind w:left="850" w:hanging="283"/>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 xml:space="preserve">when </w:t>
      </w:r>
      <m:oMath>
        <m:sSub>
          <m:sSubPr>
            <m:ctrlPr>
              <w:rPr>
                <w:rFonts w:ascii="Cambria Math" w:eastAsia="Times New Roman" w:hAnsi="Cambria Math" w:cs="Times New Roman"/>
                <w:i/>
                <w:color w:val="FF0000"/>
                <w:sz w:val="20"/>
                <w:szCs w:val="20"/>
                <w:u w:val="single"/>
                <w:lang w:eastAsia="ja-JP"/>
              </w:rPr>
            </m:ctrlPr>
          </m:sSubPr>
          <m:e>
            <m:r>
              <w:rPr>
                <w:rFonts w:ascii="Cambria Math" w:eastAsia="Times New Roman" w:hAnsi="Cambria Math" w:cs="Times New Roman"/>
                <w:color w:val="FF0000"/>
                <w:sz w:val="20"/>
                <w:szCs w:val="20"/>
                <w:u w:val="single"/>
                <w:lang w:eastAsia="ja-JP"/>
              </w:rPr>
              <m:t>k</m:t>
            </m:r>
          </m:e>
          <m:sub>
            <m:r>
              <w:rPr>
                <w:rFonts w:ascii="Cambria Math" w:eastAsia="Times New Roman" w:hAnsi="Cambria Math" w:cs="Times New Roman"/>
                <w:color w:val="FF0000"/>
                <w:sz w:val="20"/>
                <w:szCs w:val="20"/>
                <w:u w:val="single"/>
                <w:lang w:eastAsia="ja-JP"/>
              </w:rPr>
              <m:t>SSB</m:t>
            </m:r>
          </m:sub>
        </m:sSub>
        <m:r>
          <w:rPr>
            <w:rFonts w:ascii="Cambria Math" w:eastAsia="Times New Roman" w:hAnsi="Cambria Math" w:cs="Times New Roman"/>
            <w:color w:val="FF0000"/>
            <w:sz w:val="20"/>
            <w:szCs w:val="20"/>
            <w:u w:val="single"/>
            <w:lang w:eastAsia="ja-JP"/>
          </w:rPr>
          <m:t>=0</m:t>
        </m:r>
      </m:oMath>
      <w:r>
        <w:rPr>
          <w:rFonts w:ascii="Times New Roman" w:eastAsia="Times New Roman" w:hAnsi="Times New Roman" w:cs="Times New Roman"/>
          <w:color w:val="FF0000"/>
          <w:sz w:val="20"/>
          <w:szCs w:val="20"/>
          <w:u w:val="single"/>
          <w:lang w:eastAsia="ja-JP"/>
        </w:rPr>
        <w:t>, the</w:t>
      </w:r>
      <w:r w:rsidRPr="00413DDC">
        <w:rPr>
          <w:rFonts w:ascii="Times New Roman" w:eastAsia="Times New Roman" w:hAnsi="Times New Roman" w:cs="Times New Roman"/>
          <w:color w:val="FF0000"/>
          <w:sz w:val="20"/>
          <w:szCs w:val="20"/>
          <w:u w:val="single"/>
          <w:lang w:eastAsia="ja-JP"/>
        </w:rPr>
        <w:t xml:space="preserve"> number of contiguous PRB</w:t>
      </w:r>
      <w:r>
        <w:rPr>
          <w:rFonts w:ascii="Times New Roman" w:eastAsia="Times New Roman" w:hAnsi="Times New Roman" w:cs="Times New Roman"/>
          <w:color w:val="FF0000"/>
          <w:sz w:val="20"/>
          <w:szCs w:val="20"/>
          <w:u w:val="single"/>
          <w:lang w:eastAsia="ja-JP"/>
        </w:rPr>
        <w:t>s of the BWP is equal to</w:t>
      </w:r>
      <w:r w:rsidRPr="00413DDC">
        <w:rPr>
          <w:rFonts w:ascii="Times New Roman" w:eastAsia="Times New Roman" w:hAnsi="Times New Roman" w:cs="Times New Roman"/>
          <w:color w:val="FF0000"/>
          <w:sz w:val="20"/>
          <w:szCs w:val="20"/>
          <w:u w:val="single"/>
          <w:lang w:eastAsia="ja-JP"/>
        </w:rPr>
        <w:t xml:space="preserve"> </w:t>
      </w:r>
      <m:oMath>
        <m:d>
          <m:dPr>
            <m:begChr m:val="|"/>
            <m:endChr m:val="|"/>
            <m:ctrlPr>
              <w:rPr>
                <w:rFonts w:ascii="Cambria Math" w:eastAsia="Times New Roman" w:hAnsi="Cambria Math" w:cs="Times New Roman"/>
                <w:color w:val="FF0000"/>
                <w:sz w:val="20"/>
                <w:szCs w:val="20"/>
                <w:u w:val="single"/>
                <w:lang w:eastAsia="ja-JP"/>
              </w:rPr>
            </m:ctrlPr>
          </m:dPr>
          <m:e>
            <m:r>
              <w:rPr>
                <w:rFonts w:ascii="Cambria Math" w:eastAsia="Times New Roman" w:hAnsi="Cambria Math" w:cs="Times New Roman"/>
                <w:color w:val="FF0000"/>
                <w:sz w:val="20"/>
                <w:szCs w:val="20"/>
                <w:u w:val="single"/>
                <w:lang w:eastAsia="ja-JP"/>
              </w:rPr>
              <m:t>offset</m:t>
            </m:r>
          </m:e>
        </m:d>
        <m:r>
          <w:rPr>
            <w:rFonts w:ascii="Cambria Math" w:eastAsia="Times New Roman" w:hAnsi="Cambria Math" w:cs="Times New Roman"/>
            <w:color w:val="FF0000"/>
            <w:sz w:val="20"/>
            <w:szCs w:val="20"/>
            <w:u w:val="single"/>
            <w:lang w:eastAsia="ja-JP"/>
          </w:rPr>
          <m: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Times New Roman" w:hAnsi="Cambria Math" w:cs="Times New Roman"/>
            <w:color w:val="FF0000"/>
            <w:sz w:val="20"/>
            <w:szCs w:val="20"/>
            <w:u w:val="single"/>
            <w:lang w:eastAsia="ja-JP"/>
          </w:rPr>
          <m:t xml:space="preserve"> </m:t>
        </m:r>
      </m:oMath>
      <w:r>
        <w:rPr>
          <w:rFonts w:ascii="Times New Roman" w:eastAsia="Times New Roman" w:hAnsi="Times New Roman" w:cs="Times New Roman"/>
          <w:color w:val="FF0000"/>
          <w:sz w:val="20"/>
          <w:szCs w:val="20"/>
          <w:u w:val="single"/>
          <w:lang w:eastAsia="ja-JP"/>
        </w:rPr>
        <w:t>,</w:t>
      </w:r>
      <w:r>
        <w:rPr>
          <w:rFonts w:ascii="Times New Roman" w:eastAsia="MS Mincho" w:hAnsi="Times New Roman" w:cs="Times New Roman"/>
          <w:color w:val="FF0000"/>
          <w:sz w:val="20"/>
          <w:szCs w:val="20"/>
          <w:u w:val="single"/>
          <w:lang w:eastAsia="ja-JP"/>
        </w:rPr>
        <w:t xml:space="preserve"> </w:t>
      </w:r>
      <w:r w:rsidRPr="00413DDC">
        <w:rPr>
          <w:rFonts w:ascii="Times New Roman" w:eastAsia="MS Mincho" w:hAnsi="Times New Roman" w:cs="Times New Roman"/>
          <w:color w:val="FF0000"/>
          <w:sz w:val="20"/>
          <w:szCs w:val="20"/>
          <w:u w:val="single"/>
          <w:lang w:eastAsia="ja-JP"/>
        </w:rPr>
        <w:t xml:space="preserve">where </w:t>
      </w:r>
      <w:r w:rsidRPr="00413DDC">
        <w:rPr>
          <w:rFonts w:ascii="Times New Roman" w:eastAsia="MS Mincho" w:hAnsi="Times New Roman" w:cs="Times New Roman"/>
          <w:i/>
          <w:color w:val="FF0000"/>
          <w:sz w:val="20"/>
          <w:szCs w:val="20"/>
          <w:u w:val="single"/>
          <w:lang w:eastAsia="ja-JP"/>
        </w:rPr>
        <w:t>offset</w:t>
      </w:r>
      <w:r w:rsidRPr="00413DDC">
        <w:rPr>
          <w:rFonts w:ascii="Times New Roman" w:eastAsia="MS Mincho" w:hAnsi="Times New Roman" w:cs="Times New Roman"/>
          <w:color w:val="FF0000"/>
          <w:sz w:val="20"/>
          <w:szCs w:val="20"/>
          <w:u w:val="single"/>
          <w:lang w:eastAsia="ja-JP"/>
        </w:rPr>
        <w:t xml:space="preserve"> </w:t>
      </w:r>
      <w:r>
        <w:rPr>
          <w:rFonts w:ascii="Times New Roman" w:eastAsia="MS Mincho" w:hAnsi="Times New Roman" w:cs="Times New Roman"/>
          <w:color w:val="FF0000"/>
          <w:sz w:val="20"/>
          <w:szCs w:val="20"/>
          <w:u w:val="single"/>
          <w:lang w:eastAsia="ja-JP"/>
        </w:rPr>
        <w:t xml:space="preserve">and </w:t>
      </w:r>
      <m:oMath>
        <m:sSubSup>
          <m:sSubSupPr>
            <m:ctrlPr>
              <w:rPr>
                <w:rFonts w:ascii="Cambria Math" w:eastAsia="Times New Roman" w:hAnsi="Cambria Math" w:cs="Times New Roman"/>
                <w:i/>
                <w:color w:val="FF0000"/>
                <w:sz w:val="20"/>
                <w:szCs w:val="20"/>
                <w:u w:val="single"/>
                <w:lang w:eastAsia="ja-JP"/>
              </w:rPr>
            </m:ctrlPr>
          </m:sSubSupPr>
          <m:e>
            <m:r>
              <w:rPr>
                <w:rFonts w:ascii="Cambria Math" w:eastAsia="Times New Roman" w:hAnsi="Cambria Math" w:cs="Times New Roman"/>
                <w:color w:val="FF0000"/>
                <w:sz w:val="20"/>
                <w:szCs w:val="20"/>
                <w:u w:val="single"/>
                <w:lang w:eastAsia="ja-JP"/>
              </w:rPr>
              <m:t>N</m:t>
            </m:r>
          </m:e>
          <m:sub>
            <m:r>
              <w:rPr>
                <w:rFonts w:ascii="Cambria Math" w:eastAsia="Times New Roman" w:hAnsi="Cambria Math" w:cs="Times New Roman"/>
                <w:color w:val="FF0000"/>
                <w:sz w:val="20"/>
                <w:szCs w:val="20"/>
                <w:u w:val="single"/>
                <w:lang w:eastAsia="ja-JP"/>
              </w:rPr>
              <m:t>RB</m:t>
            </m:r>
          </m:sub>
          <m:sup>
            <m:r>
              <w:rPr>
                <w:rFonts w:ascii="Cambria Math" w:eastAsia="Times New Roman" w:hAnsi="Cambria Math" w:cs="Times New Roman"/>
                <w:color w:val="FF0000"/>
                <w:sz w:val="20"/>
                <w:szCs w:val="20"/>
                <w:u w:val="single"/>
                <w:lang w:eastAsia="ja-JP"/>
              </w:rPr>
              <m:t>CORESET</m:t>
            </m:r>
          </m:sup>
        </m:sSubSup>
      </m:oMath>
      <w:r>
        <w:rPr>
          <w:rFonts w:ascii="Times New Roman" w:eastAsia="MS Mincho" w:hAnsi="Times New Roman" w:cs="Times New Roman"/>
          <w:color w:val="FF0000"/>
          <w:sz w:val="20"/>
          <w:szCs w:val="20"/>
          <w:u w:val="single"/>
          <w:lang w:eastAsia="ja-JP"/>
        </w:rPr>
        <w:t xml:space="preserve"> are defined by </w:t>
      </w:r>
      <w:r w:rsidRPr="0075197E">
        <w:rPr>
          <w:rFonts w:ascii="Times New Roman" w:eastAsia="MS Mincho" w:hAnsi="Times New Roman" w:cs="Times New Roman"/>
          <w:i/>
          <w:color w:val="FF0000"/>
          <w:sz w:val="20"/>
          <w:szCs w:val="20"/>
          <w:u w:val="single"/>
          <w:lang w:eastAsia="ja-JP"/>
        </w:rPr>
        <w:t>RMSI-PDCCH-Config</w:t>
      </w:r>
      <w:r w:rsidRPr="0075197E">
        <w:rPr>
          <w:rFonts w:ascii="Times New Roman" w:eastAsia="MS Mincho" w:hAnsi="Times New Roman" w:cs="Times New Roman"/>
          <w:color w:val="FF0000"/>
          <w:sz w:val="20"/>
          <w:szCs w:val="20"/>
          <w:u w:val="single"/>
          <w:lang w:eastAsia="ja-JP"/>
        </w:rPr>
        <w:t xml:space="preserve"> </w:t>
      </w:r>
      <w:r>
        <w:rPr>
          <w:rFonts w:ascii="Times New Roman" w:eastAsia="MS Mincho" w:hAnsi="Times New Roman" w:cs="Times New Roman"/>
          <w:color w:val="FF0000"/>
          <w:sz w:val="20"/>
          <w:szCs w:val="20"/>
          <w:u w:val="single"/>
          <w:lang w:eastAsia="ja-JP"/>
        </w:rPr>
        <w:t>as given in Section 13, and</w:t>
      </w:r>
    </w:p>
    <w:p w14:paraId="5150FE34" w14:textId="77777777" w:rsidR="00765188" w:rsidRDefault="00021403" w:rsidP="00021403">
      <w:pPr>
        <w:spacing w:after="180" w:line="240" w:lineRule="auto"/>
        <w:ind w:left="850" w:hanging="282"/>
        <w:rPr>
          <w:rFonts w:ascii="Times New Roman" w:eastAsia="Times New Roman"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 xml:space="preserve">when </w:t>
      </w:r>
      <m:oMath>
        <m:sSub>
          <m:sSubPr>
            <m:ctrlPr>
              <w:rPr>
                <w:rFonts w:ascii="Cambria Math" w:eastAsia="Times New Roman" w:hAnsi="Cambria Math" w:cs="Times New Roman"/>
                <w:i/>
                <w:color w:val="FF0000"/>
                <w:sz w:val="20"/>
                <w:szCs w:val="20"/>
                <w:u w:val="single"/>
                <w:lang w:eastAsia="ja-JP"/>
              </w:rPr>
            </m:ctrlPr>
          </m:sSubPr>
          <m:e>
            <m:r>
              <w:rPr>
                <w:rFonts w:ascii="Cambria Math" w:eastAsia="Times New Roman" w:hAnsi="Cambria Math" w:cs="Times New Roman"/>
                <w:color w:val="FF0000"/>
                <w:sz w:val="20"/>
                <w:szCs w:val="20"/>
                <w:u w:val="single"/>
                <w:lang w:eastAsia="ja-JP"/>
              </w:rPr>
              <m:t>k</m:t>
            </m:r>
          </m:e>
          <m:sub>
            <m:r>
              <w:rPr>
                <w:rFonts w:ascii="Cambria Math" w:eastAsia="Times New Roman" w:hAnsi="Cambria Math" w:cs="Times New Roman"/>
                <w:color w:val="FF0000"/>
                <w:sz w:val="20"/>
                <w:szCs w:val="20"/>
                <w:u w:val="single"/>
                <w:lang w:eastAsia="ja-JP"/>
              </w:rPr>
              <m:t>SSB</m:t>
            </m:r>
          </m:sub>
        </m:sSub>
        <m:r>
          <w:rPr>
            <w:rFonts w:ascii="Cambria Math" w:eastAsia="Times New Roman" w:hAnsi="Cambria Math" w:cs="Times New Roman"/>
            <w:color w:val="FF0000"/>
            <w:sz w:val="20"/>
            <w:szCs w:val="20"/>
            <w:u w:val="single"/>
            <w:lang w:eastAsia="ja-JP"/>
          </w:rPr>
          <m:t>&gt;0</m:t>
        </m:r>
      </m:oMath>
      <w:r>
        <w:rPr>
          <w:rFonts w:ascii="Times New Roman" w:eastAsia="Times New Roman" w:hAnsi="Times New Roman" w:cs="Times New Roman"/>
          <w:color w:val="FF0000"/>
          <w:sz w:val="20"/>
          <w:szCs w:val="20"/>
          <w:u w:val="single"/>
          <w:lang w:eastAsia="ja-JP"/>
        </w:rPr>
        <w:t>, the</w:t>
      </w:r>
      <w:r w:rsidRPr="00413DDC">
        <w:rPr>
          <w:rFonts w:ascii="Times New Roman" w:eastAsia="Times New Roman" w:hAnsi="Times New Roman" w:cs="Times New Roman"/>
          <w:color w:val="FF0000"/>
          <w:sz w:val="20"/>
          <w:szCs w:val="20"/>
          <w:u w:val="single"/>
          <w:lang w:eastAsia="ja-JP"/>
        </w:rPr>
        <w:t xml:space="preserve"> number of contiguous PRBs</w:t>
      </w:r>
      <w:r>
        <w:rPr>
          <w:rFonts w:ascii="Times New Roman" w:eastAsia="Times New Roman" w:hAnsi="Times New Roman" w:cs="Times New Roman"/>
          <w:color w:val="FF0000"/>
          <w:sz w:val="20"/>
          <w:szCs w:val="20"/>
          <w:u w:val="single"/>
          <w:lang w:eastAsia="ja-JP"/>
        </w:rPr>
        <w:t xml:space="preserve"> of the BWP is equal to</w:t>
      </w:r>
      <w:r w:rsidRPr="00413DDC">
        <w:rPr>
          <w:rFonts w:ascii="Times New Roman" w:eastAsia="Times New Roman" w:hAnsi="Times New Roman" w:cs="Times New Roman"/>
          <w:color w:val="FF0000"/>
          <w:sz w:val="20"/>
          <w:szCs w:val="20"/>
          <w:u w:val="single"/>
          <w:lang w:eastAsia="ja-JP"/>
        </w:rPr>
        <w:t xml:space="preserve"> </w:t>
      </w:r>
      <m:oMath>
        <m:d>
          <m:dPr>
            <m:begChr m:val="|"/>
            <m:endChr m:val="|"/>
            <m:ctrlPr>
              <w:rPr>
                <w:rFonts w:ascii="Cambria Math" w:eastAsia="Times New Roman" w:hAnsi="Cambria Math" w:cs="Times New Roman"/>
                <w:color w:val="FF0000"/>
                <w:sz w:val="20"/>
                <w:szCs w:val="20"/>
                <w:u w:val="single"/>
                <w:lang w:eastAsia="ja-JP"/>
              </w:rPr>
            </m:ctrlPr>
          </m:dPr>
          <m:e>
            <m:r>
              <w:rPr>
                <w:rFonts w:ascii="Cambria Math" w:eastAsia="Times New Roman" w:hAnsi="Cambria Math" w:cs="Times New Roman"/>
                <w:color w:val="FF0000"/>
                <w:sz w:val="20"/>
                <w:szCs w:val="20"/>
                <w:u w:val="single"/>
                <w:lang w:eastAsia="ja-JP"/>
              </w:rPr>
              <m:t>offset</m:t>
            </m:r>
          </m:e>
        </m:d>
        <m:r>
          <w:rPr>
            <w:rFonts w:ascii="Cambria Math" w:eastAsia="Times New Roman" w:hAnsi="Cambria Math" w:cs="Times New Roman"/>
            <w:color w:val="FF0000"/>
            <w:sz w:val="20"/>
            <w:szCs w:val="20"/>
            <w:u w:val="single"/>
            <w:lang w:eastAsia="ja-JP"/>
          </w:rPr>
          <m: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Times New Roman" w:hAnsi="Cambria Math" w:cs="Times New Roman"/>
            <w:color w:val="FF0000"/>
            <w:sz w:val="20"/>
            <w:szCs w:val="20"/>
            <w:u w:val="single"/>
            <w:lang w:eastAsia="ja-JP"/>
          </w:rPr>
          <m:t>+1</m:t>
        </m:r>
      </m:oMath>
      <w:r>
        <w:rPr>
          <w:rFonts w:ascii="Times New Roman" w:eastAsia="Times New Roman" w:hAnsi="Times New Roman" w:cs="Times New Roman"/>
          <w:color w:val="FF0000"/>
          <w:sz w:val="20"/>
          <w:szCs w:val="20"/>
          <w:u w:val="single"/>
          <w:lang w:eastAsia="ja-JP"/>
        </w:rPr>
        <w:t>, and</w:t>
      </w:r>
    </w:p>
    <w:p w14:paraId="724C344C" w14:textId="2B34E7E2" w:rsidR="00021403" w:rsidRDefault="00021403" w:rsidP="00021403">
      <w:pPr>
        <w:spacing w:after="180" w:line="240" w:lineRule="auto"/>
        <w:ind w:left="850" w:hanging="282"/>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 xml:space="preserve">- </w:t>
      </w:r>
      <w:r w:rsidR="00765188">
        <w:rPr>
          <w:rFonts w:ascii="Times New Roman" w:eastAsia="Times New Roman" w:hAnsi="Times New Roman" w:cs="Times New Roman"/>
          <w:color w:val="FF0000"/>
          <w:sz w:val="20"/>
          <w:szCs w:val="20"/>
          <w:u w:val="single"/>
          <w:lang w:eastAsia="ja-JP"/>
        </w:rPr>
        <w:t xml:space="preserve"> </w:t>
      </w:r>
      <w:r>
        <w:rPr>
          <w:rFonts w:ascii="Times New Roman" w:eastAsia="Times New Roman" w:hAnsi="Times New Roman" w:cs="Times New Roman"/>
          <w:color w:val="FF0000"/>
          <w:sz w:val="20"/>
          <w:szCs w:val="20"/>
          <w:u w:val="single"/>
          <w:lang w:eastAsia="ja-JP"/>
        </w:rPr>
        <w:t xml:space="preserve">where </w:t>
      </w:r>
      <m:oMath>
        <m:sSub>
          <m:sSubPr>
            <m:ctrlPr>
              <w:rPr>
                <w:rFonts w:ascii="Cambria Math" w:eastAsia="Calibri" w:hAnsi="Cambria Math" w:cs="Arial"/>
                <w:i/>
                <w:color w:val="FF0000"/>
                <w:u w:val="single"/>
              </w:rPr>
            </m:ctrlPr>
          </m:sSubPr>
          <m:e>
            <m:r>
              <w:rPr>
                <w:rFonts w:ascii="Cambria Math" w:eastAsia="Calibri" w:hAnsi="Cambria Math" w:cs="Arial"/>
                <w:color w:val="FF0000"/>
                <w:u w:val="single"/>
              </w:rPr>
              <m:t>∆f</m:t>
            </m:r>
          </m:e>
          <m:sub>
            <m:r>
              <w:rPr>
                <w:rFonts w:ascii="Cambria Math" w:eastAsia="Calibri" w:hAnsi="Cambria Math" w:cs="Arial"/>
                <w:color w:val="FF0000"/>
                <w:u w:val="single"/>
              </w:rPr>
              <m:t>RMSI</m:t>
            </m:r>
          </m:sub>
        </m:sSub>
      </m:oMath>
      <w:r w:rsidRPr="00583F10">
        <w:rPr>
          <w:rFonts w:ascii="Calibri" w:eastAsia="Calibri" w:hAnsi="Calibri" w:cs="Arial"/>
          <w:color w:val="FF0000"/>
          <w:u w:val="single"/>
        </w:rPr>
        <w:t xml:space="preserve"> </w:t>
      </w:r>
      <w:r>
        <w:rPr>
          <w:rFonts w:ascii="Times New Roman" w:eastAsia="Times New Roman" w:hAnsi="Times New Roman" w:cs="Times New Roman"/>
          <w:color w:val="FF0000"/>
          <w:sz w:val="20"/>
          <w:szCs w:val="20"/>
          <w:u w:val="single"/>
          <w:lang w:eastAsia="ja-JP"/>
        </w:rPr>
        <w:t xml:space="preserve">corresponds to the </w:t>
      </w:r>
      <w:r w:rsidRPr="00413DDC">
        <w:rPr>
          <w:rFonts w:ascii="Times New Roman" w:eastAsia="MS Mincho" w:hAnsi="Times New Roman" w:cs="Times New Roman"/>
          <w:color w:val="FF0000"/>
          <w:sz w:val="20"/>
          <w:szCs w:val="20"/>
          <w:u w:val="single"/>
          <w:lang w:eastAsia="ja-JP"/>
        </w:rPr>
        <w:t xml:space="preserve">subcarrier spacing for </w:t>
      </w:r>
      <w:r>
        <w:rPr>
          <w:rFonts w:ascii="Times New Roman" w:eastAsia="MS Mincho" w:hAnsi="Times New Roman" w:cs="Times New Roman"/>
          <w:color w:val="FF0000"/>
          <w:sz w:val="20"/>
          <w:szCs w:val="20"/>
          <w:u w:val="single"/>
          <w:lang w:eastAsia="ja-JP"/>
        </w:rPr>
        <w:t>Type0-PDCCH common search space, and</w:t>
      </w:r>
    </w:p>
    <w:p w14:paraId="54AC3E2B" w14:textId="27B09E86" w:rsidR="00021403" w:rsidRPr="00583F10" w:rsidRDefault="00021403">
      <w:pPr>
        <w:spacing w:after="180" w:line="240" w:lineRule="auto"/>
        <w:ind w:left="850" w:hanging="282"/>
        <w:rPr>
          <w:rFonts w:ascii="Times New Roman" w:eastAsia="MS Mincho"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 xml:space="preserve">- </w:t>
      </w:r>
      <w:r w:rsidR="00765188">
        <w:rPr>
          <w:rFonts w:ascii="Times New Roman" w:eastAsia="Times New Roman" w:hAnsi="Times New Roman" w:cs="Times New Roman"/>
          <w:color w:val="FF0000"/>
          <w:sz w:val="20"/>
          <w:szCs w:val="20"/>
          <w:u w:val="single"/>
          <w:lang w:eastAsia="ja-JP"/>
        </w:rPr>
        <w:t xml:space="preserve"> </w:t>
      </w:r>
      <w:r>
        <w:rPr>
          <w:rFonts w:ascii="Times New Roman" w:eastAsia="Times New Roman" w:hAnsi="Times New Roman" w:cs="Times New Roman"/>
          <w:color w:val="FF0000"/>
          <w:sz w:val="20"/>
          <w:szCs w:val="20"/>
          <w:u w:val="single"/>
          <w:lang w:eastAsia="ja-JP"/>
        </w:rPr>
        <w:t xml:space="preserve">where </w:t>
      </w:r>
      <m:oMath>
        <m:sSub>
          <m:sSubPr>
            <m:ctrlPr>
              <w:rPr>
                <w:rFonts w:ascii="Cambria Math" w:eastAsia="Calibri" w:hAnsi="Cambria Math" w:cs="Arial"/>
                <w:i/>
                <w:color w:val="FF0000"/>
                <w:u w:val="single"/>
              </w:rPr>
            </m:ctrlPr>
          </m:sSubPr>
          <m:e>
            <m:r>
              <w:rPr>
                <w:rFonts w:ascii="Cambria Math" w:eastAsia="Calibri" w:hAnsi="Cambria Math" w:cs="Arial"/>
                <w:color w:val="FF0000"/>
                <w:u w:val="single"/>
              </w:rPr>
              <m:t>∆f</m:t>
            </m:r>
          </m:e>
          <m:sub>
            <m:r>
              <w:rPr>
                <w:rFonts w:ascii="Cambria Math" w:eastAsia="Calibri" w:hAnsi="Cambria Math" w:cs="Arial"/>
                <w:color w:val="FF0000"/>
                <w:u w:val="single"/>
              </w:rPr>
              <m:t>SSB</m:t>
            </m:r>
          </m:sub>
        </m:sSub>
      </m:oMath>
      <w:r w:rsidRPr="00C76ADD">
        <w:rPr>
          <w:rFonts w:ascii="Calibri" w:eastAsia="Calibri" w:hAnsi="Calibri" w:cs="Arial"/>
          <w:color w:val="FF0000"/>
          <w:u w:val="single"/>
        </w:rPr>
        <w:t xml:space="preserve"> </w:t>
      </w:r>
      <w:r>
        <w:rPr>
          <w:rFonts w:ascii="Times New Roman" w:eastAsia="Times New Roman" w:hAnsi="Times New Roman" w:cs="Times New Roman"/>
          <w:color w:val="FF0000"/>
          <w:sz w:val="20"/>
          <w:szCs w:val="20"/>
          <w:u w:val="single"/>
          <w:lang w:eastAsia="ja-JP"/>
        </w:rPr>
        <w:t>corresponds to the subcarrier spacing for of the SS/PBCH block.</w:t>
      </w:r>
    </w:p>
    <w:p w14:paraId="5FF720C3" w14:textId="77777777" w:rsidR="00021403" w:rsidRPr="00C04375" w:rsidRDefault="00021403" w:rsidP="00021403">
      <w:pPr>
        <w:spacing w:after="180" w:line="240" w:lineRule="auto"/>
        <w:ind w:left="567" w:hanging="283"/>
        <w:rPr>
          <w:rFonts w:ascii="Times New Roman" w:eastAsia="Times New Roman" w:hAnsi="Times New Roman" w:cs="Times New Roman"/>
          <w:color w:val="FF0000"/>
          <w:sz w:val="20"/>
          <w:szCs w:val="20"/>
          <w:u w:val="single"/>
          <w:lang w:eastAsia="ja-JP"/>
        </w:rPr>
      </w:pPr>
      <w:r>
        <w:rPr>
          <w:rFonts w:ascii="Times New Roman" w:eastAsia="Times New Roman" w:hAnsi="Times New Roman" w:cs="Times New Roman"/>
          <w:color w:val="FF0000"/>
          <w:sz w:val="20"/>
          <w:szCs w:val="20"/>
          <w:u w:val="single"/>
          <w:lang w:eastAsia="ja-JP"/>
        </w:rPr>
        <w:t>-</w:t>
      </w:r>
      <w:r>
        <w:rPr>
          <w:rFonts w:ascii="Times New Roman" w:eastAsia="Times New Roman" w:hAnsi="Times New Roman" w:cs="Times New Roman"/>
          <w:color w:val="FF0000"/>
          <w:sz w:val="20"/>
          <w:szCs w:val="20"/>
          <w:u w:val="single"/>
          <w:lang w:eastAsia="ja-JP"/>
        </w:rPr>
        <w:tab/>
        <w:t>The subcarrier spacing, and the</w:t>
      </w:r>
      <w:r w:rsidRPr="00E0079D">
        <w:rPr>
          <w:rFonts w:ascii="Times New Roman" w:eastAsia="Times New Roman" w:hAnsi="Times New Roman" w:cs="Times New Roman"/>
          <w:color w:val="FF0000"/>
          <w:sz w:val="20"/>
          <w:szCs w:val="20"/>
          <w:u w:val="single"/>
          <w:lang w:eastAsia="ja-JP"/>
        </w:rPr>
        <w:t xml:space="preserve"> cyclic prefix</w:t>
      </w:r>
      <w:r>
        <w:rPr>
          <w:rFonts w:ascii="Times New Roman" w:eastAsia="Times New Roman" w:hAnsi="Times New Roman" w:cs="Times New Roman"/>
          <w:color w:val="FF0000"/>
          <w:sz w:val="20"/>
          <w:szCs w:val="20"/>
          <w:u w:val="single"/>
          <w:lang w:eastAsia="ja-JP"/>
        </w:rPr>
        <w:t xml:space="preserve"> of the BWP </w:t>
      </w:r>
      <w:r w:rsidRPr="00E0079D">
        <w:rPr>
          <w:rFonts w:ascii="Times New Roman" w:eastAsia="Times New Roman" w:hAnsi="Times New Roman" w:cs="Times New Roman"/>
          <w:color w:val="FF0000"/>
          <w:sz w:val="20"/>
          <w:szCs w:val="20"/>
          <w:u w:val="single"/>
          <w:lang w:eastAsia="ja-JP"/>
        </w:rPr>
        <w:t xml:space="preserve">is defined by the </w:t>
      </w:r>
      <w:r>
        <w:rPr>
          <w:rFonts w:ascii="Times New Roman" w:eastAsia="Times New Roman" w:hAnsi="Times New Roman" w:cs="Times New Roman"/>
          <w:color w:val="FF0000"/>
          <w:sz w:val="20"/>
          <w:szCs w:val="20"/>
          <w:u w:val="single"/>
          <w:lang w:eastAsia="ja-JP"/>
        </w:rPr>
        <w:t>CORESET</w:t>
      </w:r>
      <w:r w:rsidRPr="00E0079D">
        <w:rPr>
          <w:rFonts w:ascii="Times New Roman" w:eastAsia="Times New Roman" w:hAnsi="Times New Roman" w:cs="Times New Roman"/>
          <w:color w:val="FF0000"/>
          <w:sz w:val="20"/>
          <w:szCs w:val="20"/>
          <w:u w:val="single"/>
          <w:lang w:eastAsia="ja-JP"/>
        </w:rPr>
        <w:t xml:space="preserve"> for Type0-PDCCH common search space.</w:t>
      </w:r>
    </w:p>
    <w:p w14:paraId="69A69D4A" w14:textId="77777777" w:rsidR="00021403" w:rsidRPr="00FB691A" w:rsidRDefault="00021403" w:rsidP="00021403">
      <w:pPr>
        <w:spacing w:after="180" w:line="240" w:lineRule="auto"/>
        <w:rPr>
          <w:rFonts w:ascii="Times New Roman" w:eastAsia="MS Mincho" w:hAnsi="Times New Roman" w:cs="Times New Roman"/>
          <w:color w:val="FF0000"/>
          <w:sz w:val="20"/>
          <w:szCs w:val="20"/>
          <w:u w:val="single"/>
          <w:lang w:eastAsia="ja-JP"/>
        </w:rPr>
      </w:pPr>
    </w:p>
    <w:p w14:paraId="37ED1C44" w14:textId="77777777" w:rsidR="00021403" w:rsidRPr="00413DDC" w:rsidRDefault="00021403" w:rsidP="00021403">
      <w:pPr>
        <w:spacing w:after="180" w:line="240" w:lineRule="auto"/>
        <w:rPr>
          <w:rFonts w:ascii="Times New Roman" w:eastAsia="MS Mincho" w:hAnsi="Times New Roman" w:cs="Times New Roman"/>
          <w:sz w:val="20"/>
          <w:szCs w:val="20"/>
        </w:rPr>
      </w:pPr>
      <w:r w:rsidRPr="00FB691A">
        <w:rPr>
          <w:rFonts w:ascii="Times New Roman" w:eastAsia="Times New Roman" w:hAnsi="Times New Roman" w:cs="Times New Roman"/>
          <w:sz w:val="20"/>
          <w:szCs w:val="20"/>
          <w:lang w:eastAsia="ja-JP"/>
        </w:rPr>
        <w:t>For operation on the primary cell, a UE is</w:t>
      </w:r>
      <w:r w:rsidRPr="00FB691A" w:rsidDel="00E015D5">
        <w:rPr>
          <w:rFonts w:ascii="Times New Roman" w:eastAsia="MS Mincho" w:hAnsi="Times New Roman" w:cs="Times New Roman"/>
          <w:sz w:val="20"/>
          <w:szCs w:val="20"/>
        </w:rPr>
        <w:t xml:space="preserve"> </w:t>
      </w:r>
      <w:r w:rsidRPr="00FB691A">
        <w:rPr>
          <w:rFonts w:ascii="Times New Roman" w:eastAsia="MS Mincho" w:hAnsi="Times New Roman" w:cs="Times New Roman"/>
          <w:sz w:val="20"/>
          <w:szCs w:val="20"/>
        </w:rPr>
        <w:t xml:space="preserve">provided </w:t>
      </w:r>
      <w:r w:rsidRPr="00FB691A">
        <w:rPr>
          <w:rFonts w:ascii="Times New Roman" w:eastAsia="Times New Roman" w:hAnsi="Times New Roman" w:cs="Times New Roman"/>
          <w:sz w:val="20"/>
          <w:szCs w:val="20"/>
        </w:rPr>
        <w:t xml:space="preserve">by higher layer parameter </w:t>
      </w:r>
      <w:r w:rsidRPr="00FB691A">
        <w:rPr>
          <w:rFonts w:ascii="Times New Roman" w:eastAsia="Times New Roman" w:hAnsi="Times New Roman" w:cs="Times New Roman"/>
          <w:i/>
          <w:sz w:val="20"/>
          <w:szCs w:val="20"/>
        </w:rPr>
        <w:t>initial-UL-BWP</w:t>
      </w:r>
      <w:r w:rsidRPr="00FB691A">
        <w:rPr>
          <w:rFonts w:ascii="Times New Roman" w:eastAsia="Times New Roman" w:hAnsi="Times New Roman" w:cs="Times New Roman"/>
          <w:sz w:val="20"/>
          <w:szCs w:val="20"/>
        </w:rPr>
        <w:t xml:space="preserve"> an initial active UL BWP for a random access procedure.</w:t>
      </w:r>
      <w:r w:rsidRPr="00FB691A">
        <w:rPr>
          <w:rFonts w:ascii="Times New Roman" w:eastAsia="MS Mincho" w:hAnsi="Times New Roman" w:cs="Times New Roman"/>
          <w:sz w:val="20"/>
          <w:szCs w:val="20"/>
        </w:rPr>
        <w:t xml:space="preserve"> </w:t>
      </w:r>
      <w:r w:rsidRPr="00413DDC">
        <w:rPr>
          <w:rFonts w:ascii="Times New Roman" w:eastAsia="Times New Roman" w:hAnsi="Times New Roman" w:cs="Times New Roman"/>
          <w:sz w:val="20"/>
          <w:szCs w:val="20"/>
        </w:rPr>
        <w:t>If the UE is configured with a secondary carrier</w:t>
      </w:r>
      <w:r w:rsidRPr="00413DDC" w:rsidDel="00E015D5">
        <w:rPr>
          <w:rFonts w:ascii="Times New Roman" w:eastAsia="MS Mincho" w:hAnsi="Times New Roman" w:cs="Times New Roman"/>
          <w:sz w:val="20"/>
          <w:szCs w:val="20"/>
        </w:rPr>
        <w:t xml:space="preserve"> </w:t>
      </w:r>
      <w:r w:rsidRPr="00413DDC">
        <w:rPr>
          <w:rFonts w:ascii="Times New Roman" w:eastAsia="MS Mincho" w:hAnsi="Times New Roman" w:cs="Times New Roman"/>
          <w:sz w:val="20"/>
          <w:szCs w:val="20"/>
        </w:rPr>
        <w:t>on the primary cell, the UE can be configured with an initial BWP for random access procedure on the secondary carrier.</w:t>
      </w:r>
    </w:p>
    <w:p w14:paraId="1E622443" w14:textId="77777777" w:rsidR="00021403" w:rsidRPr="00E23151" w:rsidRDefault="00021403" w:rsidP="00021403">
      <w:pPr>
        <w:spacing w:after="0" w:line="240" w:lineRule="auto"/>
        <w:jc w:val="center"/>
        <w:rPr>
          <w:i/>
        </w:rPr>
      </w:pPr>
      <w:r w:rsidRPr="00E23151">
        <w:rPr>
          <w:rFonts w:ascii="Times New Roman" w:hAnsi="Times New Roman" w:cs="Times New Roman"/>
          <w:i/>
          <w:color w:val="FF0000"/>
          <w:sz w:val="20"/>
        </w:rPr>
        <w:t>========== END of Text Proposal (TS 38.21</w:t>
      </w:r>
      <w:r>
        <w:rPr>
          <w:rFonts w:ascii="Times New Roman" w:hAnsi="Times New Roman" w:cs="Times New Roman"/>
          <w:i/>
          <w:color w:val="FF0000"/>
          <w:sz w:val="20"/>
        </w:rPr>
        <w:t>3</w:t>
      </w:r>
      <w:r w:rsidRPr="00E23151">
        <w:rPr>
          <w:rFonts w:ascii="Times New Roman" w:hAnsi="Times New Roman" w:cs="Times New Roman"/>
          <w:i/>
          <w:color w:val="FF0000"/>
          <w:sz w:val="20"/>
        </w:rPr>
        <w:t>) =========</w:t>
      </w:r>
    </w:p>
    <w:p w14:paraId="0BF12034" w14:textId="77777777" w:rsidR="00E23151" w:rsidRDefault="00E23151">
      <w:pPr>
        <w:spacing w:after="0" w:line="240" w:lineRule="auto"/>
        <w:rPr>
          <w:rFonts w:ascii="Arial" w:eastAsia="SimSun" w:hAnsi="Arial" w:cs="Times New Roman"/>
          <w:sz w:val="36"/>
          <w:szCs w:val="20"/>
        </w:rPr>
      </w:pPr>
    </w:p>
    <w:sectPr w:rsidR="00E2315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4680D" w14:textId="77777777" w:rsidR="00674E8D" w:rsidRDefault="00674E8D">
      <w:r>
        <w:separator/>
      </w:r>
    </w:p>
  </w:endnote>
  <w:endnote w:type="continuationSeparator" w:id="0">
    <w:p w14:paraId="763CC134" w14:textId="77777777" w:rsidR="00674E8D" w:rsidRDefault="00674E8D">
      <w:r>
        <w:continuationSeparator/>
      </w:r>
    </w:p>
  </w:endnote>
  <w:endnote w:type="continuationNotice" w:id="1">
    <w:p w14:paraId="361EDBFB" w14:textId="77777777" w:rsidR="00674E8D" w:rsidRDefault="00674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2F5A7" w14:textId="77777777" w:rsidR="00674E8D" w:rsidRDefault="00674E8D">
      <w:r>
        <w:separator/>
      </w:r>
    </w:p>
  </w:footnote>
  <w:footnote w:type="continuationSeparator" w:id="0">
    <w:p w14:paraId="7F23D1EA" w14:textId="77777777" w:rsidR="00674E8D" w:rsidRDefault="00674E8D">
      <w:r>
        <w:continuationSeparator/>
      </w:r>
    </w:p>
  </w:footnote>
  <w:footnote w:type="continuationNotice" w:id="1">
    <w:p w14:paraId="4F77C6A4" w14:textId="77777777" w:rsidR="00674E8D" w:rsidRDefault="00674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D82CAC"/>
    <w:multiLevelType w:val="hybridMultilevel"/>
    <w:tmpl w:val="21D41204"/>
    <w:lvl w:ilvl="0" w:tplc="BCA24038">
      <w:start w:val="1"/>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933C7F"/>
    <w:multiLevelType w:val="hybridMultilevel"/>
    <w:tmpl w:val="33DE32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2"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6"/>
  </w:num>
  <w:num w:numId="4">
    <w:abstractNumId w:val="23"/>
  </w:num>
  <w:num w:numId="5">
    <w:abstractNumId w:val="8"/>
  </w:num>
  <w:num w:numId="6">
    <w:abstractNumId w:val="4"/>
  </w:num>
  <w:num w:numId="7">
    <w:abstractNumId w:val="2"/>
  </w:num>
  <w:num w:numId="8">
    <w:abstractNumId w:val="21"/>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11"/>
  </w:num>
  <w:num w:numId="19">
    <w:abstractNumId w:val="18"/>
  </w:num>
  <w:num w:numId="20">
    <w:abstractNumId w:val="14"/>
  </w:num>
  <w:num w:numId="21">
    <w:abstractNumId w:val="17"/>
  </w:num>
  <w:num w:numId="22">
    <w:abstractNumId w:val="10"/>
  </w:num>
  <w:num w:numId="23">
    <w:abstractNumId w:val="22"/>
  </w:num>
  <w:num w:numId="24">
    <w:abstractNumId w:val="6"/>
  </w:num>
  <w:num w:numId="25">
    <w:abstractNumId w:val="5"/>
  </w:num>
  <w:num w:numId="26">
    <w:abstractNumId w:val="15"/>
  </w:num>
  <w:num w:numId="27">
    <w:abstractNumId w:val="3"/>
  </w:num>
  <w:num w:numId="28">
    <w:abstractNumId w:val="1"/>
  </w:num>
  <w:num w:numId="29">
    <w:abstractNumId w:val="20"/>
  </w:num>
  <w:num w:numId="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AE"/>
    <w:rsid w:val="00011094"/>
    <w:rsid w:val="00012505"/>
    <w:rsid w:val="00012C4F"/>
    <w:rsid w:val="000131D1"/>
    <w:rsid w:val="0001331A"/>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BFB"/>
    <w:rsid w:val="00017EDA"/>
    <w:rsid w:val="00021403"/>
    <w:rsid w:val="00023742"/>
    <w:rsid w:val="00024AEF"/>
    <w:rsid w:val="000267FA"/>
    <w:rsid w:val="000268C6"/>
    <w:rsid w:val="00026C65"/>
    <w:rsid w:val="00027755"/>
    <w:rsid w:val="00030048"/>
    <w:rsid w:val="0003072D"/>
    <w:rsid w:val="000314CD"/>
    <w:rsid w:val="00032A8C"/>
    <w:rsid w:val="00033544"/>
    <w:rsid w:val="0003479E"/>
    <w:rsid w:val="00035691"/>
    <w:rsid w:val="0004132D"/>
    <w:rsid w:val="00043B90"/>
    <w:rsid w:val="00044CFA"/>
    <w:rsid w:val="000459C7"/>
    <w:rsid w:val="00046630"/>
    <w:rsid w:val="00046C80"/>
    <w:rsid w:val="00050112"/>
    <w:rsid w:val="00050466"/>
    <w:rsid w:val="000505CC"/>
    <w:rsid w:val="000511F9"/>
    <w:rsid w:val="0005230E"/>
    <w:rsid w:val="00052850"/>
    <w:rsid w:val="000528A2"/>
    <w:rsid w:val="00052BBA"/>
    <w:rsid w:val="000536EB"/>
    <w:rsid w:val="0005420F"/>
    <w:rsid w:val="00054D9D"/>
    <w:rsid w:val="000550B4"/>
    <w:rsid w:val="00055676"/>
    <w:rsid w:val="00056544"/>
    <w:rsid w:val="000578F5"/>
    <w:rsid w:val="00057A87"/>
    <w:rsid w:val="00060D8E"/>
    <w:rsid w:val="00061F29"/>
    <w:rsid w:val="00063BF5"/>
    <w:rsid w:val="00063D9E"/>
    <w:rsid w:val="000649B1"/>
    <w:rsid w:val="00064AD3"/>
    <w:rsid w:val="00065088"/>
    <w:rsid w:val="000652D3"/>
    <w:rsid w:val="000654A0"/>
    <w:rsid w:val="00066829"/>
    <w:rsid w:val="00067698"/>
    <w:rsid w:val="000707CA"/>
    <w:rsid w:val="0007208A"/>
    <w:rsid w:val="00072133"/>
    <w:rsid w:val="00072B9A"/>
    <w:rsid w:val="00072BBA"/>
    <w:rsid w:val="00072FF5"/>
    <w:rsid w:val="00075FDA"/>
    <w:rsid w:val="00076386"/>
    <w:rsid w:val="00076D82"/>
    <w:rsid w:val="00081EC2"/>
    <w:rsid w:val="00083800"/>
    <w:rsid w:val="00084A65"/>
    <w:rsid w:val="00085745"/>
    <w:rsid w:val="00085C3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28E4"/>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368"/>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7E3"/>
    <w:rsid w:val="00144C87"/>
    <w:rsid w:val="0014569D"/>
    <w:rsid w:val="00145AD0"/>
    <w:rsid w:val="001467B1"/>
    <w:rsid w:val="00146E3C"/>
    <w:rsid w:val="00147B13"/>
    <w:rsid w:val="00150175"/>
    <w:rsid w:val="001502C8"/>
    <w:rsid w:val="0015130F"/>
    <w:rsid w:val="0015368B"/>
    <w:rsid w:val="00155BFD"/>
    <w:rsid w:val="0015726F"/>
    <w:rsid w:val="00157390"/>
    <w:rsid w:val="00160998"/>
    <w:rsid w:val="00160CD6"/>
    <w:rsid w:val="0016188A"/>
    <w:rsid w:val="0016316A"/>
    <w:rsid w:val="00163EF0"/>
    <w:rsid w:val="00164171"/>
    <w:rsid w:val="00164E58"/>
    <w:rsid w:val="00165033"/>
    <w:rsid w:val="001670EA"/>
    <w:rsid w:val="001674A0"/>
    <w:rsid w:val="00167EBB"/>
    <w:rsid w:val="00170A50"/>
    <w:rsid w:val="00172331"/>
    <w:rsid w:val="00174FFD"/>
    <w:rsid w:val="001759CA"/>
    <w:rsid w:val="0017726A"/>
    <w:rsid w:val="00177DD3"/>
    <w:rsid w:val="00180278"/>
    <w:rsid w:val="00181800"/>
    <w:rsid w:val="001818A7"/>
    <w:rsid w:val="00182725"/>
    <w:rsid w:val="0018273F"/>
    <w:rsid w:val="001829C8"/>
    <w:rsid w:val="00186095"/>
    <w:rsid w:val="00186904"/>
    <w:rsid w:val="00186A42"/>
    <w:rsid w:val="00186B0A"/>
    <w:rsid w:val="001905BD"/>
    <w:rsid w:val="00191A05"/>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0F58"/>
    <w:rsid w:val="001D334F"/>
    <w:rsid w:val="001D3ACB"/>
    <w:rsid w:val="001D46A0"/>
    <w:rsid w:val="001D76FA"/>
    <w:rsid w:val="001D796B"/>
    <w:rsid w:val="001D7CA4"/>
    <w:rsid w:val="001D7E58"/>
    <w:rsid w:val="001E0205"/>
    <w:rsid w:val="001E0417"/>
    <w:rsid w:val="001E4393"/>
    <w:rsid w:val="001E4D4F"/>
    <w:rsid w:val="001E57CF"/>
    <w:rsid w:val="001E5981"/>
    <w:rsid w:val="001E74BA"/>
    <w:rsid w:val="001E7B9F"/>
    <w:rsid w:val="001F01FB"/>
    <w:rsid w:val="001F0658"/>
    <w:rsid w:val="001F0E92"/>
    <w:rsid w:val="001F1987"/>
    <w:rsid w:val="001F2019"/>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45"/>
    <w:rsid w:val="002256D9"/>
    <w:rsid w:val="00225CAD"/>
    <w:rsid w:val="0022674B"/>
    <w:rsid w:val="0022687C"/>
    <w:rsid w:val="00226D91"/>
    <w:rsid w:val="002306F8"/>
    <w:rsid w:val="002312F4"/>
    <w:rsid w:val="002313A2"/>
    <w:rsid w:val="00231C55"/>
    <w:rsid w:val="00231CB5"/>
    <w:rsid w:val="00231FC7"/>
    <w:rsid w:val="00232930"/>
    <w:rsid w:val="00232A95"/>
    <w:rsid w:val="00232DD9"/>
    <w:rsid w:val="00233403"/>
    <w:rsid w:val="00233440"/>
    <w:rsid w:val="00233D0E"/>
    <w:rsid w:val="00234096"/>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4D1A"/>
    <w:rsid w:val="00275074"/>
    <w:rsid w:val="002763E9"/>
    <w:rsid w:val="00276736"/>
    <w:rsid w:val="00280CE9"/>
    <w:rsid w:val="002811FE"/>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13B"/>
    <w:rsid w:val="002C1471"/>
    <w:rsid w:val="002C1EEA"/>
    <w:rsid w:val="002C40D9"/>
    <w:rsid w:val="002C476E"/>
    <w:rsid w:val="002C4F44"/>
    <w:rsid w:val="002C6034"/>
    <w:rsid w:val="002C635B"/>
    <w:rsid w:val="002C6C2D"/>
    <w:rsid w:val="002C71AD"/>
    <w:rsid w:val="002C7CFF"/>
    <w:rsid w:val="002D038C"/>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5CA0"/>
    <w:rsid w:val="002F695B"/>
    <w:rsid w:val="002F72DA"/>
    <w:rsid w:val="002F76B1"/>
    <w:rsid w:val="002F76CA"/>
    <w:rsid w:val="002F7BCE"/>
    <w:rsid w:val="002F7D66"/>
    <w:rsid w:val="002F7DBE"/>
    <w:rsid w:val="0030090B"/>
    <w:rsid w:val="00302AE8"/>
    <w:rsid w:val="00302BB1"/>
    <w:rsid w:val="00304086"/>
    <w:rsid w:val="00304210"/>
    <w:rsid w:val="003048D7"/>
    <w:rsid w:val="00304A1B"/>
    <w:rsid w:val="00304A95"/>
    <w:rsid w:val="00304AD2"/>
    <w:rsid w:val="00305060"/>
    <w:rsid w:val="003062E6"/>
    <w:rsid w:val="003068B6"/>
    <w:rsid w:val="003071F6"/>
    <w:rsid w:val="003101C4"/>
    <w:rsid w:val="003112DD"/>
    <w:rsid w:val="00311C08"/>
    <w:rsid w:val="00312ECE"/>
    <w:rsid w:val="0031355E"/>
    <w:rsid w:val="0031393C"/>
    <w:rsid w:val="00313CB0"/>
    <w:rsid w:val="00313F96"/>
    <w:rsid w:val="003149C6"/>
    <w:rsid w:val="00314F2B"/>
    <w:rsid w:val="003150CE"/>
    <w:rsid w:val="0031541D"/>
    <w:rsid w:val="00315AAB"/>
    <w:rsid w:val="003175E1"/>
    <w:rsid w:val="00317CAB"/>
    <w:rsid w:val="00320299"/>
    <w:rsid w:val="00321154"/>
    <w:rsid w:val="003211B0"/>
    <w:rsid w:val="00321EDA"/>
    <w:rsid w:val="003224E7"/>
    <w:rsid w:val="003237C5"/>
    <w:rsid w:val="00325946"/>
    <w:rsid w:val="00325C4B"/>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2CFC"/>
    <w:rsid w:val="00343954"/>
    <w:rsid w:val="00345405"/>
    <w:rsid w:val="00345DDD"/>
    <w:rsid w:val="00346FED"/>
    <w:rsid w:val="00351E01"/>
    <w:rsid w:val="00352D21"/>
    <w:rsid w:val="0035443D"/>
    <w:rsid w:val="00354FEE"/>
    <w:rsid w:val="00356C0B"/>
    <w:rsid w:val="00357B9C"/>
    <w:rsid w:val="00357CF7"/>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2A7"/>
    <w:rsid w:val="003806A3"/>
    <w:rsid w:val="00380F3F"/>
    <w:rsid w:val="003815D3"/>
    <w:rsid w:val="00381AE8"/>
    <w:rsid w:val="00382232"/>
    <w:rsid w:val="00382F1A"/>
    <w:rsid w:val="00383282"/>
    <w:rsid w:val="00383658"/>
    <w:rsid w:val="0038412E"/>
    <w:rsid w:val="0038571B"/>
    <w:rsid w:val="00385ABE"/>
    <w:rsid w:val="00386053"/>
    <w:rsid w:val="0038771D"/>
    <w:rsid w:val="0039109A"/>
    <w:rsid w:val="00391553"/>
    <w:rsid w:val="00393E44"/>
    <w:rsid w:val="00397AB6"/>
    <w:rsid w:val="00397ACA"/>
    <w:rsid w:val="003A10C3"/>
    <w:rsid w:val="003A2E68"/>
    <w:rsid w:val="003A4F87"/>
    <w:rsid w:val="003A597F"/>
    <w:rsid w:val="003A71A8"/>
    <w:rsid w:val="003A7E87"/>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67A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2264"/>
    <w:rsid w:val="004131A7"/>
    <w:rsid w:val="00413DDC"/>
    <w:rsid w:val="0041443C"/>
    <w:rsid w:val="004154F7"/>
    <w:rsid w:val="00415EB4"/>
    <w:rsid w:val="00416D44"/>
    <w:rsid w:val="004176FF"/>
    <w:rsid w:val="00420A97"/>
    <w:rsid w:val="004214AF"/>
    <w:rsid w:val="00421879"/>
    <w:rsid w:val="00421A27"/>
    <w:rsid w:val="004241C5"/>
    <w:rsid w:val="00424FA7"/>
    <w:rsid w:val="00426A87"/>
    <w:rsid w:val="0042758B"/>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1AC8"/>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3E9C"/>
    <w:rsid w:val="00485B23"/>
    <w:rsid w:val="004874E4"/>
    <w:rsid w:val="0049070D"/>
    <w:rsid w:val="004919F0"/>
    <w:rsid w:val="00491BE4"/>
    <w:rsid w:val="00491DB2"/>
    <w:rsid w:val="00492877"/>
    <w:rsid w:val="00494DFB"/>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0AF8"/>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2C2D"/>
    <w:rsid w:val="004C3063"/>
    <w:rsid w:val="004C3EEE"/>
    <w:rsid w:val="004C483D"/>
    <w:rsid w:val="004C4FEB"/>
    <w:rsid w:val="004C795A"/>
    <w:rsid w:val="004C7F93"/>
    <w:rsid w:val="004D26B8"/>
    <w:rsid w:val="004D38C2"/>
    <w:rsid w:val="004D4FBD"/>
    <w:rsid w:val="004D4FC0"/>
    <w:rsid w:val="004D6C1D"/>
    <w:rsid w:val="004D7DA8"/>
    <w:rsid w:val="004E2892"/>
    <w:rsid w:val="004E362B"/>
    <w:rsid w:val="004E3681"/>
    <w:rsid w:val="004E3D74"/>
    <w:rsid w:val="004E763B"/>
    <w:rsid w:val="004E784B"/>
    <w:rsid w:val="004E7A62"/>
    <w:rsid w:val="004F0224"/>
    <w:rsid w:val="004F0DB4"/>
    <w:rsid w:val="004F0E04"/>
    <w:rsid w:val="004F1EBC"/>
    <w:rsid w:val="004F20E8"/>
    <w:rsid w:val="004F23ED"/>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04C41"/>
    <w:rsid w:val="00507EA9"/>
    <w:rsid w:val="00510B09"/>
    <w:rsid w:val="00511079"/>
    <w:rsid w:val="0051109B"/>
    <w:rsid w:val="00511AD8"/>
    <w:rsid w:val="00512829"/>
    <w:rsid w:val="0051343A"/>
    <w:rsid w:val="00513839"/>
    <w:rsid w:val="00513898"/>
    <w:rsid w:val="0051423C"/>
    <w:rsid w:val="00514548"/>
    <w:rsid w:val="00514C91"/>
    <w:rsid w:val="005153CE"/>
    <w:rsid w:val="00516241"/>
    <w:rsid w:val="00516FD9"/>
    <w:rsid w:val="0051791D"/>
    <w:rsid w:val="00517E53"/>
    <w:rsid w:val="005207A2"/>
    <w:rsid w:val="00523E75"/>
    <w:rsid w:val="005243E0"/>
    <w:rsid w:val="00524E22"/>
    <w:rsid w:val="005256F3"/>
    <w:rsid w:val="005265A3"/>
    <w:rsid w:val="00526783"/>
    <w:rsid w:val="00527FB1"/>
    <w:rsid w:val="00531087"/>
    <w:rsid w:val="0053162F"/>
    <w:rsid w:val="00531777"/>
    <w:rsid w:val="005324B9"/>
    <w:rsid w:val="0053281C"/>
    <w:rsid w:val="005338F9"/>
    <w:rsid w:val="005340C9"/>
    <w:rsid w:val="0053559A"/>
    <w:rsid w:val="005375FE"/>
    <w:rsid w:val="00540156"/>
    <w:rsid w:val="005420DE"/>
    <w:rsid w:val="00542249"/>
    <w:rsid w:val="00543707"/>
    <w:rsid w:val="00543EBB"/>
    <w:rsid w:val="00544213"/>
    <w:rsid w:val="00544705"/>
    <w:rsid w:val="005453F3"/>
    <w:rsid w:val="00545549"/>
    <w:rsid w:val="005466D1"/>
    <w:rsid w:val="005469F5"/>
    <w:rsid w:val="00547325"/>
    <w:rsid w:val="00547688"/>
    <w:rsid w:val="005518ED"/>
    <w:rsid w:val="00552093"/>
    <w:rsid w:val="00553E2F"/>
    <w:rsid w:val="0055432F"/>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3F10"/>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1099"/>
    <w:rsid w:val="005B3C6D"/>
    <w:rsid w:val="005B3E01"/>
    <w:rsid w:val="005B4045"/>
    <w:rsid w:val="005B450D"/>
    <w:rsid w:val="005B609E"/>
    <w:rsid w:val="005B6DF6"/>
    <w:rsid w:val="005B7B7D"/>
    <w:rsid w:val="005C1948"/>
    <w:rsid w:val="005C263C"/>
    <w:rsid w:val="005C2679"/>
    <w:rsid w:val="005C6F81"/>
    <w:rsid w:val="005D059A"/>
    <w:rsid w:val="005D07C5"/>
    <w:rsid w:val="005D1EC8"/>
    <w:rsid w:val="005D4302"/>
    <w:rsid w:val="005D5A20"/>
    <w:rsid w:val="005D5A9D"/>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7A4"/>
    <w:rsid w:val="005F6BD4"/>
    <w:rsid w:val="005F7985"/>
    <w:rsid w:val="00600CEB"/>
    <w:rsid w:val="00602AA1"/>
    <w:rsid w:val="00603BD4"/>
    <w:rsid w:val="00604367"/>
    <w:rsid w:val="006044BE"/>
    <w:rsid w:val="0060475F"/>
    <w:rsid w:val="00605134"/>
    <w:rsid w:val="00606253"/>
    <w:rsid w:val="00606A26"/>
    <w:rsid w:val="00607D81"/>
    <w:rsid w:val="00610448"/>
    <w:rsid w:val="00610747"/>
    <w:rsid w:val="0061176E"/>
    <w:rsid w:val="006137C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2CC0"/>
    <w:rsid w:val="00633BF2"/>
    <w:rsid w:val="00633F67"/>
    <w:rsid w:val="006345C3"/>
    <w:rsid w:val="006362F9"/>
    <w:rsid w:val="006373CD"/>
    <w:rsid w:val="00641562"/>
    <w:rsid w:val="0064165D"/>
    <w:rsid w:val="006433BD"/>
    <w:rsid w:val="00643784"/>
    <w:rsid w:val="00643E16"/>
    <w:rsid w:val="00644186"/>
    <w:rsid w:val="00644A21"/>
    <w:rsid w:val="00644E6E"/>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3974"/>
    <w:rsid w:val="00674C96"/>
    <w:rsid w:val="00674E6A"/>
    <w:rsid w:val="00674E8D"/>
    <w:rsid w:val="00675727"/>
    <w:rsid w:val="00676A64"/>
    <w:rsid w:val="006775AD"/>
    <w:rsid w:val="00677925"/>
    <w:rsid w:val="006804EB"/>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20D"/>
    <w:rsid w:val="006B3682"/>
    <w:rsid w:val="006B41F9"/>
    <w:rsid w:val="006B48CB"/>
    <w:rsid w:val="006B5B8D"/>
    <w:rsid w:val="006C1445"/>
    <w:rsid w:val="006C37B6"/>
    <w:rsid w:val="006C4FC1"/>
    <w:rsid w:val="006C51A5"/>
    <w:rsid w:val="006C529D"/>
    <w:rsid w:val="006D0252"/>
    <w:rsid w:val="006D0E6B"/>
    <w:rsid w:val="006D2146"/>
    <w:rsid w:val="006D4493"/>
    <w:rsid w:val="006D460F"/>
    <w:rsid w:val="006D632E"/>
    <w:rsid w:val="006D7A83"/>
    <w:rsid w:val="006E094A"/>
    <w:rsid w:val="006E12B1"/>
    <w:rsid w:val="006E13D1"/>
    <w:rsid w:val="006E1B87"/>
    <w:rsid w:val="006E1C26"/>
    <w:rsid w:val="006E2D9D"/>
    <w:rsid w:val="006E3DE6"/>
    <w:rsid w:val="006E4219"/>
    <w:rsid w:val="006E49A5"/>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C6F"/>
    <w:rsid w:val="007373EE"/>
    <w:rsid w:val="007403EA"/>
    <w:rsid w:val="00742B44"/>
    <w:rsid w:val="00746EDE"/>
    <w:rsid w:val="0075197E"/>
    <w:rsid w:val="00753BB5"/>
    <w:rsid w:val="007541E5"/>
    <w:rsid w:val="00754C64"/>
    <w:rsid w:val="00756832"/>
    <w:rsid w:val="007569BD"/>
    <w:rsid w:val="007570D6"/>
    <w:rsid w:val="0076039D"/>
    <w:rsid w:val="007626D0"/>
    <w:rsid w:val="00763AC4"/>
    <w:rsid w:val="00764E86"/>
    <w:rsid w:val="00765188"/>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092B"/>
    <w:rsid w:val="0079101E"/>
    <w:rsid w:val="00791741"/>
    <w:rsid w:val="00791A00"/>
    <w:rsid w:val="00791D94"/>
    <w:rsid w:val="007923AA"/>
    <w:rsid w:val="00792496"/>
    <w:rsid w:val="00792CEE"/>
    <w:rsid w:val="007937D1"/>
    <w:rsid w:val="007951DE"/>
    <w:rsid w:val="007952E9"/>
    <w:rsid w:val="00796F15"/>
    <w:rsid w:val="007A138F"/>
    <w:rsid w:val="007A1640"/>
    <w:rsid w:val="007A39DF"/>
    <w:rsid w:val="007A43ED"/>
    <w:rsid w:val="007A4BDD"/>
    <w:rsid w:val="007A72EE"/>
    <w:rsid w:val="007B0397"/>
    <w:rsid w:val="007B297B"/>
    <w:rsid w:val="007B3502"/>
    <w:rsid w:val="007B44ED"/>
    <w:rsid w:val="007B486A"/>
    <w:rsid w:val="007B491A"/>
    <w:rsid w:val="007B5370"/>
    <w:rsid w:val="007B61F5"/>
    <w:rsid w:val="007B63FA"/>
    <w:rsid w:val="007B66E2"/>
    <w:rsid w:val="007B6A72"/>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23D7"/>
    <w:rsid w:val="007D30EB"/>
    <w:rsid w:val="007D3307"/>
    <w:rsid w:val="007D3E79"/>
    <w:rsid w:val="007D5E27"/>
    <w:rsid w:val="007D6F64"/>
    <w:rsid w:val="007D7C39"/>
    <w:rsid w:val="007E0AF3"/>
    <w:rsid w:val="007E25AB"/>
    <w:rsid w:val="007E5578"/>
    <w:rsid w:val="007E79C5"/>
    <w:rsid w:val="007F0674"/>
    <w:rsid w:val="007F2845"/>
    <w:rsid w:val="007F43BC"/>
    <w:rsid w:val="007F4740"/>
    <w:rsid w:val="007F4EE8"/>
    <w:rsid w:val="007F605E"/>
    <w:rsid w:val="008006C6"/>
    <w:rsid w:val="00800C52"/>
    <w:rsid w:val="0080153E"/>
    <w:rsid w:val="00802D09"/>
    <w:rsid w:val="00805FA0"/>
    <w:rsid w:val="0080742D"/>
    <w:rsid w:val="0081151E"/>
    <w:rsid w:val="00812498"/>
    <w:rsid w:val="008127E6"/>
    <w:rsid w:val="0081336E"/>
    <w:rsid w:val="00813928"/>
    <w:rsid w:val="00820DC7"/>
    <w:rsid w:val="00821698"/>
    <w:rsid w:val="008221FE"/>
    <w:rsid w:val="00822541"/>
    <w:rsid w:val="00822BF5"/>
    <w:rsid w:val="00824894"/>
    <w:rsid w:val="00825366"/>
    <w:rsid w:val="00826192"/>
    <w:rsid w:val="00826C7B"/>
    <w:rsid w:val="00826DD9"/>
    <w:rsid w:val="00826E01"/>
    <w:rsid w:val="00827332"/>
    <w:rsid w:val="008274AD"/>
    <w:rsid w:val="008276C4"/>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3BF8"/>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306"/>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C7826"/>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043"/>
    <w:rsid w:val="009006A2"/>
    <w:rsid w:val="0090102B"/>
    <w:rsid w:val="0090117A"/>
    <w:rsid w:val="00901448"/>
    <w:rsid w:val="00902C4F"/>
    <w:rsid w:val="009036BC"/>
    <w:rsid w:val="009040DC"/>
    <w:rsid w:val="00905C47"/>
    <w:rsid w:val="0090630E"/>
    <w:rsid w:val="00906379"/>
    <w:rsid w:val="009101EA"/>
    <w:rsid w:val="009106FC"/>
    <w:rsid w:val="0091070F"/>
    <w:rsid w:val="009118BB"/>
    <w:rsid w:val="0091191F"/>
    <w:rsid w:val="0091281D"/>
    <w:rsid w:val="009132D9"/>
    <w:rsid w:val="009152EC"/>
    <w:rsid w:val="00915B81"/>
    <w:rsid w:val="00915D6B"/>
    <w:rsid w:val="00915EA6"/>
    <w:rsid w:val="009160DF"/>
    <w:rsid w:val="009162C7"/>
    <w:rsid w:val="00916EC2"/>
    <w:rsid w:val="009213BD"/>
    <w:rsid w:val="009228FD"/>
    <w:rsid w:val="00924627"/>
    <w:rsid w:val="009250A8"/>
    <w:rsid w:val="00925BE6"/>
    <w:rsid w:val="00926F61"/>
    <w:rsid w:val="0092723E"/>
    <w:rsid w:val="0092730B"/>
    <w:rsid w:val="00927FFE"/>
    <w:rsid w:val="009304BC"/>
    <w:rsid w:val="0093123D"/>
    <w:rsid w:val="00933040"/>
    <w:rsid w:val="009330E9"/>
    <w:rsid w:val="009340D0"/>
    <w:rsid w:val="00934D51"/>
    <w:rsid w:val="00935CBC"/>
    <w:rsid w:val="00935D15"/>
    <w:rsid w:val="0093724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381"/>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EE9"/>
    <w:rsid w:val="00976F04"/>
    <w:rsid w:val="009777F4"/>
    <w:rsid w:val="00977AD8"/>
    <w:rsid w:val="00980A10"/>
    <w:rsid w:val="00981130"/>
    <w:rsid w:val="0098164C"/>
    <w:rsid w:val="00983D46"/>
    <w:rsid w:val="00983DCA"/>
    <w:rsid w:val="00984409"/>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051"/>
    <w:rsid w:val="009B1E47"/>
    <w:rsid w:val="009B2CED"/>
    <w:rsid w:val="009B2D09"/>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252"/>
    <w:rsid w:val="009D3578"/>
    <w:rsid w:val="009D3A5F"/>
    <w:rsid w:val="009D5193"/>
    <w:rsid w:val="009D5C32"/>
    <w:rsid w:val="009D6472"/>
    <w:rsid w:val="009D6EE5"/>
    <w:rsid w:val="009D711C"/>
    <w:rsid w:val="009D79F4"/>
    <w:rsid w:val="009E0DC1"/>
    <w:rsid w:val="009E1500"/>
    <w:rsid w:val="009E3949"/>
    <w:rsid w:val="009E3CD1"/>
    <w:rsid w:val="009E5AF5"/>
    <w:rsid w:val="009E5EB5"/>
    <w:rsid w:val="009E6031"/>
    <w:rsid w:val="009E74F0"/>
    <w:rsid w:val="009F0768"/>
    <w:rsid w:val="009F3ED0"/>
    <w:rsid w:val="009F4132"/>
    <w:rsid w:val="009F4CE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3FA"/>
    <w:rsid w:val="00A15DEE"/>
    <w:rsid w:val="00A167B5"/>
    <w:rsid w:val="00A16D0F"/>
    <w:rsid w:val="00A16DBE"/>
    <w:rsid w:val="00A17C4F"/>
    <w:rsid w:val="00A204CE"/>
    <w:rsid w:val="00A20653"/>
    <w:rsid w:val="00A20A39"/>
    <w:rsid w:val="00A21257"/>
    <w:rsid w:val="00A21816"/>
    <w:rsid w:val="00A219B6"/>
    <w:rsid w:val="00A238BD"/>
    <w:rsid w:val="00A243E4"/>
    <w:rsid w:val="00A2459D"/>
    <w:rsid w:val="00A24E23"/>
    <w:rsid w:val="00A25F05"/>
    <w:rsid w:val="00A26FEB"/>
    <w:rsid w:val="00A273A8"/>
    <w:rsid w:val="00A3046A"/>
    <w:rsid w:val="00A306BE"/>
    <w:rsid w:val="00A311AE"/>
    <w:rsid w:val="00A312A6"/>
    <w:rsid w:val="00A3130E"/>
    <w:rsid w:val="00A3239E"/>
    <w:rsid w:val="00A324CF"/>
    <w:rsid w:val="00A32E8B"/>
    <w:rsid w:val="00A32ED6"/>
    <w:rsid w:val="00A344A5"/>
    <w:rsid w:val="00A346C3"/>
    <w:rsid w:val="00A37A2A"/>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1444"/>
    <w:rsid w:val="00A736BC"/>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4CA6"/>
    <w:rsid w:val="00AA51AD"/>
    <w:rsid w:val="00AA591E"/>
    <w:rsid w:val="00AA65C9"/>
    <w:rsid w:val="00AA760C"/>
    <w:rsid w:val="00AB093D"/>
    <w:rsid w:val="00AB0A32"/>
    <w:rsid w:val="00AB0E56"/>
    <w:rsid w:val="00AB0F98"/>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29E"/>
    <w:rsid w:val="00AE0899"/>
    <w:rsid w:val="00AE30FC"/>
    <w:rsid w:val="00AE3DE1"/>
    <w:rsid w:val="00AF02B1"/>
    <w:rsid w:val="00AF2A37"/>
    <w:rsid w:val="00AF2D54"/>
    <w:rsid w:val="00AF2DC2"/>
    <w:rsid w:val="00AF3458"/>
    <w:rsid w:val="00AF364C"/>
    <w:rsid w:val="00AF3E9E"/>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65C"/>
    <w:rsid w:val="00B42A32"/>
    <w:rsid w:val="00B42B38"/>
    <w:rsid w:val="00B42FA6"/>
    <w:rsid w:val="00B4399E"/>
    <w:rsid w:val="00B43A16"/>
    <w:rsid w:val="00B44439"/>
    <w:rsid w:val="00B448C7"/>
    <w:rsid w:val="00B45CE1"/>
    <w:rsid w:val="00B46A75"/>
    <w:rsid w:val="00B500CD"/>
    <w:rsid w:val="00B517E7"/>
    <w:rsid w:val="00B52194"/>
    <w:rsid w:val="00B5239C"/>
    <w:rsid w:val="00B53039"/>
    <w:rsid w:val="00B53893"/>
    <w:rsid w:val="00B548C2"/>
    <w:rsid w:val="00B54F96"/>
    <w:rsid w:val="00B55428"/>
    <w:rsid w:val="00B56145"/>
    <w:rsid w:val="00B570BF"/>
    <w:rsid w:val="00B63337"/>
    <w:rsid w:val="00B6369F"/>
    <w:rsid w:val="00B639D7"/>
    <w:rsid w:val="00B67805"/>
    <w:rsid w:val="00B67D9C"/>
    <w:rsid w:val="00B70F8D"/>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87FDF"/>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400F"/>
    <w:rsid w:val="00BB4D75"/>
    <w:rsid w:val="00BB5D1C"/>
    <w:rsid w:val="00BB6552"/>
    <w:rsid w:val="00BB6B9B"/>
    <w:rsid w:val="00BB71EA"/>
    <w:rsid w:val="00BB73AE"/>
    <w:rsid w:val="00BB754F"/>
    <w:rsid w:val="00BC07D4"/>
    <w:rsid w:val="00BC0A5D"/>
    <w:rsid w:val="00BC0BE3"/>
    <w:rsid w:val="00BC15B2"/>
    <w:rsid w:val="00BC163D"/>
    <w:rsid w:val="00BC1AD9"/>
    <w:rsid w:val="00BC32E7"/>
    <w:rsid w:val="00BC4566"/>
    <w:rsid w:val="00BC58B9"/>
    <w:rsid w:val="00BD1D1A"/>
    <w:rsid w:val="00BD3BE5"/>
    <w:rsid w:val="00BD3E68"/>
    <w:rsid w:val="00BD47C5"/>
    <w:rsid w:val="00BD598A"/>
    <w:rsid w:val="00BD71DF"/>
    <w:rsid w:val="00BD75B4"/>
    <w:rsid w:val="00BD7628"/>
    <w:rsid w:val="00BD7D14"/>
    <w:rsid w:val="00BE02B4"/>
    <w:rsid w:val="00BE0429"/>
    <w:rsid w:val="00BE0BD7"/>
    <w:rsid w:val="00BE2A05"/>
    <w:rsid w:val="00BE4109"/>
    <w:rsid w:val="00BE4DFE"/>
    <w:rsid w:val="00BE4EC9"/>
    <w:rsid w:val="00BE631E"/>
    <w:rsid w:val="00BE6717"/>
    <w:rsid w:val="00BE7A96"/>
    <w:rsid w:val="00BF0CCF"/>
    <w:rsid w:val="00BF0FC5"/>
    <w:rsid w:val="00BF10BC"/>
    <w:rsid w:val="00BF21AC"/>
    <w:rsid w:val="00BF2E53"/>
    <w:rsid w:val="00BF3669"/>
    <w:rsid w:val="00BF3C0D"/>
    <w:rsid w:val="00C03309"/>
    <w:rsid w:val="00C04AEF"/>
    <w:rsid w:val="00C06568"/>
    <w:rsid w:val="00C072FE"/>
    <w:rsid w:val="00C10EC1"/>
    <w:rsid w:val="00C11896"/>
    <w:rsid w:val="00C122F3"/>
    <w:rsid w:val="00C12E39"/>
    <w:rsid w:val="00C1411A"/>
    <w:rsid w:val="00C14164"/>
    <w:rsid w:val="00C149F1"/>
    <w:rsid w:val="00C15639"/>
    <w:rsid w:val="00C15D8E"/>
    <w:rsid w:val="00C16D3D"/>
    <w:rsid w:val="00C17012"/>
    <w:rsid w:val="00C178FB"/>
    <w:rsid w:val="00C257B7"/>
    <w:rsid w:val="00C272E8"/>
    <w:rsid w:val="00C27DFC"/>
    <w:rsid w:val="00C33359"/>
    <w:rsid w:val="00C347C1"/>
    <w:rsid w:val="00C348D6"/>
    <w:rsid w:val="00C34B4C"/>
    <w:rsid w:val="00C34D7B"/>
    <w:rsid w:val="00C34EF2"/>
    <w:rsid w:val="00C34F45"/>
    <w:rsid w:val="00C365E7"/>
    <w:rsid w:val="00C36E34"/>
    <w:rsid w:val="00C404EE"/>
    <w:rsid w:val="00C40880"/>
    <w:rsid w:val="00C4171B"/>
    <w:rsid w:val="00C42689"/>
    <w:rsid w:val="00C42988"/>
    <w:rsid w:val="00C42BD4"/>
    <w:rsid w:val="00C4323F"/>
    <w:rsid w:val="00C43FF0"/>
    <w:rsid w:val="00C44641"/>
    <w:rsid w:val="00C4474C"/>
    <w:rsid w:val="00C45EF5"/>
    <w:rsid w:val="00C462B2"/>
    <w:rsid w:val="00C46B7E"/>
    <w:rsid w:val="00C506A0"/>
    <w:rsid w:val="00C50715"/>
    <w:rsid w:val="00C50A4E"/>
    <w:rsid w:val="00C520B1"/>
    <w:rsid w:val="00C522D6"/>
    <w:rsid w:val="00C52CEA"/>
    <w:rsid w:val="00C53F77"/>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8E2"/>
    <w:rsid w:val="00C97BE0"/>
    <w:rsid w:val="00C97CF9"/>
    <w:rsid w:val="00CA17DD"/>
    <w:rsid w:val="00CA1863"/>
    <w:rsid w:val="00CA26CE"/>
    <w:rsid w:val="00CA391D"/>
    <w:rsid w:val="00CA3ACD"/>
    <w:rsid w:val="00CA4F8B"/>
    <w:rsid w:val="00CA5C73"/>
    <w:rsid w:val="00CB007F"/>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5250"/>
    <w:rsid w:val="00CD75B4"/>
    <w:rsid w:val="00CD761D"/>
    <w:rsid w:val="00CD76B5"/>
    <w:rsid w:val="00CE174C"/>
    <w:rsid w:val="00CE186B"/>
    <w:rsid w:val="00CE2346"/>
    <w:rsid w:val="00CE5B95"/>
    <w:rsid w:val="00CE6191"/>
    <w:rsid w:val="00CE6F0F"/>
    <w:rsid w:val="00CF002F"/>
    <w:rsid w:val="00CF0246"/>
    <w:rsid w:val="00CF1218"/>
    <w:rsid w:val="00CF190B"/>
    <w:rsid w:val="00CF1F91"/>
    <w:rsid w:val="00CF22EE"/>
    <w:rsid w:val="00CF2483"/>
    <w:rsid w:val="00CF24E2"/>
    <w:rsid w:val="00CF4ABD"/>
    <w:rsid w:val="00CF5A53"/>
    <w:rsid w:val="00CF5D28"/>
    <w:rsid w:val="00CF6F1E"/>
    <w:rsid w:val="00D001F9"/>
    <w:rsid w:val="00D0036E"/>
    <w:rsid w:val="00D00BB7"/>
    <w:rsid w:val="00D01EAD"/>
    <w:rsid w:val="00D035B9"/>
    <w:rsid w:val="00D05E0C"/>
    <w:rsid w:val="00D05FE7"/>
    <w:rsid w:val="00D060FF"/>
    <w:rsid w:val="00D064E8"/>
    <w:rsid w:val="00D06572"/>
    <w:rsid w:val="00D065CD"/>
    <w:rsid w:val="00D11C58"/>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3568"/>
    <w:rsid w:val="00D44932"/>
    <w:rsid w:val="00D46111"/>
    <w:rsid w:val="00D4675B"/>
    <w:rsid w:val="00D47C16"/>
    <w:rsid w:val="00D502AF"/>
    <w:rsid w:val="00D50764"/>
    <w:rsid w:val="00D50C12"/>
    <w:rsid w:val="00D51A77"/>
    <w:rsid w:val="00D528D9"/>
    <w:rsid w:val="00D53830"/>
    <w:rsid w:val="00D55863"/>
    <w:rsid w:val="00D55889"/>
    <w:rsid w:val="00D56B5F"/>
    <w:rsid w:val="00D5727F"/>
    <w:rsid w:val="00D575E3"/>
    <w:rsid w:val="00D57AF0"/>
    <w:rsid w:val="00D60906"/>
    <w:rsid w:val="00D62ECD"/>
    <w:rsid w:val="00D64426"/>
    <w:rsid w:val="00D65B37"/>
    <w:rsid w:val="00D67BC5"/>
    <w:rsid w:val="00D7021B"/>
    <w:rsid w:val="00D70D33"/>
    <w:rsid w:val="00D73077"/>
    <w:rsid w:val="00D73C57"/>
    <w:rsid w:val="00D73C9B"/>
    <w:rsid w:val="00D742FF"/>
    <w:rsid w:val="00D7489C"/>
    <w:rsid w:val="00D758B3"/>
    <w:rsid w:val="00D76202"/>
    <w:rsid w:val="00D76ADC"/>
    <w:rsid w:val="00D77413"/>
    <w:rsid w:val="00D8085F"/>
    <w:rsid w:val="00D81F10"/>
    <w:rsid w:val="00D841BC"/>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5F"/>
    <w:rsid w:val="00DB11CD"/>
    <w:rsid w:val="00DB1904"/>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0F64"/>
    <w:rsid w:val="00DD1C4B"/>
    <w:rsid w:val="00DD1F7B"/>
    <w:rsid w:val="00DD229E"/>
    <w:rsid w:val="00DD3029"/>
    <w:rsid w:val="00DD55E0"/>
    <w:rsid w:val="00DD737B"/>
    <w:rsid w:val="00DE1904"/>
    <w:rsid w:val="00DE1F03"/>
    <w:rsid w:val="00DE2057"/>
    <w:rsid w:val="00DE206D"/>
    <w:rsid w:val="00DE2544"/>
    <w:rsid w:val="00DE3DBB"/>
    <w:rsid w:val="00DE43A2"/>
    <w:rsid w:val="00DE4A74"/>
    <w:rsid w:val="00DE541C"/>
    <w:rsid w:val="00DE56D6"/>
    <w:rsid w:val="00DE737B"/>
    <w:rsid w:val="00DF075C"/>
    <w:rsid w:val="00DF100B"/>
    <w:rsid w:val="00DF15F7"/>
    <w:rsid w:val="00DF4359"/>
    <w:rsid w:val="00DF69DE"/>
    <w:rsid w:val="00E0079D"/>
    <w:rsid w:val="00E0263D"/>
    <w:rsid w:val="00E03054"/>
    <w:rsid w:val="00E0576C"/>
    <w:rsid w:val="00E068BC"/>
    <w:rsid w:val="00E0709D"/>
    <w:rsid w:val="00E073F0"/>
    <w:rsid w:val="00E10761"/>
    <w:rsid w:val="00E10C23"/>
    <w:rsid w:val="00E11152"/>
    <w:rsid w:val="00E11D7A"/>
    <w:rsid w:val="00E11EEB"/>
    <w:rsid w:val="00E128F2"/>
    <w:rsid w:val="00E132EE"/>
    <w:rsid w:val="00E13EE4"/>
    <w:rsid w:val="00E15C33"/>
    <w:rsid w:val="00E16463"/>
    <w:rsid w:val="00E23151"/>
    <w:rsid w:val="00E2351A"/>
    <w:rsid w:val="00E2397A"/>
    <w:rsid w:val="00E239D1"/>
    <w:rsid w:val="00E243FA"/>
    <w:rsid w:val="00E2498C"/>
    <w:rsid w:val="00E26727"/>
    <w:rsid w:val="00E26970"/>
    <w:rsid w:val="00E27791"/>
    <w:rsid w:val="00E277D8"/>
    <w:rsid w:val="00E30C75"/>
    <w:rsid w:val="00E319DB"/>
    <w:rsid w:val="00E31AFC"/>
    <w:rsid w:val="00E3409E"/>
    <w:rsid w:val="00E34F76"/>
    <w:rsid w:val="00E37BE5"/>
    <w:rsid w:val="00E37D63"/>
    <w:rsid w:val="00E41A27"/>
    <w:rsid w:val="00E44310"/>
    <w:rsid w:val="00E4608B"/>
    <w:rsid w:val="00E474B8"/>
    <w:rsid w:val="00E478CC"/>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A7D"/>
    <w:rsid w:val="00E74F5D"/>
    <w:rsid w:val="00E75F72"/>
    <w:rsid w:val="00E76034"/>
    <w:rsid w:val="00E7749F"/>
    <w:rsid w:val="00E80440"/>
    <w:rsid w:val="00E817E0"/>
    <w:rsid w:val="00E82B83"/>
    <w:rsid w:val="00E82EE4"/>
    <w:rsid w:val="00E831E7"/>
    <w:rsid w:val="00E843B5"/>
    <w:rsid w:val="00E84A3B"/>
    <w:rsid w:val="00E85307"/>
    <w:rsid w:val="00E85E61"/>
    <w:rsid w:val="00E8684A"/>
    <w:rsid w:val="00E907E4"/>
    <w:rsid w:val="00E90A24"/>
    <w:rsid w:val="00E90C34"/>
    <w:rsid w:val="00E919AC"/>
    <w:rsid w:val="00E91A22"/>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0E7B"/>
    <w:rsid w:val="00EB1D47"/>
    <w:rsid w:val="00EB2146"/>
    <w:rsid w:val="00EB2317"/>
    <w:rsid w:val="00EB279B"/>
    <w:rsid w:val="00EB2ABB"/>
    <w:rsid w:val="00EB584C"/>
    <w:rsid w:val="00EB5D88"/>
    <w:rsid w:val="00EB6182"/>
    <w:rsid w:val="00EB7307"/>
    <w:rsid w:val="00EC067D"/>
    <w:rsid w:val="00EC11C5"/>
    <w:rsid w:val="00EC14B0"/>
    <w:rsid w:val="00EC204E"/>
    <w:rsid w:val="00EC2150"/>
    <w:rsid w:val="00EC249E"/>
    <w:rsid w:val="00EC2CFF"/>
    <w:rsid w:val="00EC5F2F"/>
    <w:rsid w:val="00EC651E"/>
    <w:rsid w:val="00EC692E"/>
    <w:rsid w:val="00EC745E"/>
    <w:rsid w:val="00EC7EAF"/>
    <w:rsid w:val="00ED215E"/>
    <w:rsid w:val="00ED27C3"/>
    <w:rsid w:val="00ED2B9F"/>
    <w:rsid w:val="00ED32A7"/>
    <w:rsid w:val="00ED33AE"/>
    <w:rsid w:val="00ED3775"/>
    <w:rsid w:val="00ED4A6D"/>
    <w:rsid w:val="00ED524E"/>
    <w:rsid w:val="00ED6979"/>
    <w:rsid w:val="00ED6CC0"/>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EF7DA6"/>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16E2C"/>
    <w:rsid w:val="00F2052B"/>
    <w:rsid w:val="00F2260F"/>
    <w:rsid w:val="00F230C4"/>
    <w:rsid w:val="00F23F2E"/>
    <w:rsid w:val="00F24255"/>
    <w:rsid w:val="00F242AD"/>
    <w:rsid w:val="00F247F2"/>
    <w:rsid w:val="00F252A8"/>
    <w:rsid w:val="00F253F3"/>
    <w:rsid w:val="00F265F7"/>
    <w:rsid w:val="00F27F40"/>
    <w:rsid w:val="00F27FA6"/>
    <w:rsid w:val="00F3023F"/>
    <w:rsid w:val="00F30BFB"/>
    <w:rsid w:val="00F33DC8"/>
    <w:rsid w:val="00F34444"/>
    <w:rsid w:val="00F37EAA"/>
    <w:rsid w:val="00F4065A"/>
    <w:rsid w:val="00F4275C"/>
    <w:rsid w:val="00F43AE0"/>
    <w:rsid w:val="00F45693"/>
    <w:rsid w:val="00F46E2D"/>
    <w:rsid w:val="00F4747E"/>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67527"/>
    <w:rsid w:val="00F713A3"/>
    <w:rsid w:val="00F71A8F"/>
    <w:rsid w:val="00F71B2E"/>
    <w:rsid w:val="00F72E36"/>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E85"/>
    <w:rsid w:val="00FA7FA9"/>
    <w:rsid w:val="00FB064A"/>
    <w:rsid w:val="00FB1756"/>
    <w:rsid w:val="00FB2379"/>
    <w:rsid w:val="00FB2C26"/>
    <w:rsid w:val="00FB4B8A"/>
    <w:rsid w:val="00FB5152"/>
    <w:rsid w:val="00FB680E"/>
    <w:rsid w:val="00FB691A"/>
    <w:rsid w:val="00FC0065"/>
    <w:rsid w:val="00FC087B"/>
    <w:rsid w:val="00FC3AEE"/>
    <w:rsid w:val="00FC5902"/>
    <w:rsid w:val="00FC6238"/>
    <w:rsid w:val="00FC75EB"/>
    <w:rsid w:val="00FD1146"/>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3FE2"/>
    <w:rsid w:val="00FE42A7"/>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30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81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30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rsid w:val="00D05E0C"/>
    <w:rPr>
      <w:rFonts w:ascii="Arial" w:eastAsiaTheme="minorHAnsi" w:hAnsi="Arial" w:cstheme="minorBidi"/>
      <w:sz w:val="18"/>
      <w:szCs w:val="22"/>
      <w:lang w:val="en-GB"/>
    </w:rPr>
  </w:style>
  <w:style w:type="character" w:customStyle="1" w:styleId="THChar">
    <w:name w:val="TH Char"/>
    <w:link w:val="TH"/>
    <w:rsid w:val="00D05E0C"/>
    <w:rPr>
      <w:rFonts w:ascii="Arial" w:eastAsiaTheme="minorHAnsi" w:hAnsi="Arial" w:cstheme="minorBidi"/>
      <w:b/>
      <w:sz w:val="22"/>
      <w:szCs w:val="22"/>
      <w:lang w:val="en-GB"/>
    </w:rPr>
  </w:style>
  <w:style w:type="character" w:customStyle="1" w:styleId="TAHCar">
    <w:name w:val="TAH Car"/>
    <w:link w:val="TAH"/>
    <w:rsid w:val="00D05E0C"/>
    <w:rPr>
      <w:rFonts w:ascii="Arial" w:eastAsiaTheme="minorHAnsi" w:hAnsi="Arial" w:cstheme="minorBidi"/>
      <w:b/>
      <w:sz w:val="18"/>
      <w:szCs w:val="22"/>
      <w:lang w:val="en-GB"/>
    </w:rPr>
  </w:style>
  <w:style w:type="table" w:customStyle="1" w:styleId="TableGrid1">
    <w:name w:val="Table Grid1"/>
    <w:basedOn w:val="TableNormal"/>
    <w:next w:val="TableGrid"/>
    <w:uiPriority w:val="59"/>
    <w:rsid w:val="00413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117264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0369402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C6CC-F89E-4947-86A8-A2CAC839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1193</Words>
  <Characters>9668</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2018-05-11T17:55:00Z</dcterms:created>
  <dcterms:modified xsi:type="dcterms:W3CDTF">2018-05-12T03:39:00Z</dcterms:modified>
</cp:coreProperties>
</file>