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2F22EBB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DB4F74">
        <w:rPr>
          <w:rFonts w:cs="Arial"/>
          <w:bCs/>
          <w:sz w:val="20"/>
          <w:lang w:eastAsia="ja-JP"/>
        </w:rPr>
        <w:t>3</w:t>
      </w:r>
      <w:r w:rsidR="001B69D7">
        <w:rPr>
          <w:rFonts w:cs="Arial" w:hint="eastAsia"/>
          <w:bCs/>
          <w:sz w:val="20"/>
          <w:lang w:eastAsia="ja-JP"/>
        </w:rPr>
        <w:tab/>
      </w:r>
      <w:r w:rsidR="001B69D7">
        <w:rPr>
          <w:rFonts w:cs="Arial" w:hint="eastAsia"/>
          <w:bCs/>
          <w:sz w:val="20"/>
          <w:lang w:eastAsia="ja-JP"/>
        </w:rPr>
        <w:tab/>
      </w:r>
      <w:r w:rsidR="00504386" w:rsidRPr="00504386">
        <w:rPr>
          <w:rFonts w:cs="Arial"/>
          <w:bCs/>
          <w:sz w:val="20"/>
        </w:rPr>
        <w:t>R1-1806184</w:t>
      </w:r>
    </w:p>
    <w:p w14:paraId="552A328C" w14:textId="4D2EB430" w:rsidR="00941D27" w:rsidRPr="0093682F" w:rsidRDefault="00DB4F74" w:rsidP="00941D27">
      <w:pPr>
        <w:pStyle w:val="TdocHeader2"/>
        <w:jc w:val="left"/>
        <w:rPr>
          <w:rFonts w:eastAsiaTheme="minorEastAsia"/>
          <w:lang w:val="en-US"/>
        </w:rPr>
      </w:pPr>
      <w:r>
        <w:rPr>
          <w:rFonts w:eastAsia="ＭＳ 明朝" w:cs="Arial"/>
          <w:bCs/>
          <w:sz w:val="20"/>
          <w:lang w:val="en-US" w:eastAsia="ja-JP"/>
        </w:rPr>
        <w:t>Busan</w:t>
      </w:r>
      <w:r w:rsidR="0027062E">
        <w:rPr>
          <w:rFonts w:eastAsia="ＭＳ 明朝" w:cs="Arial" w:hint="eastAsia"/>
          <w:bCs/>
          <w:sz w:val="20"/>
          <w:lang w:val="en-US" w:eastAsia="ja-JP"/>
        </w:rPr>
        <w:t xml:space="preserve">, </w:t>
      </w:r>
      <w:r>
        <w:rPr>
          <w:rFonts w:eastAsia="ＭＳ 明朝" w:cs="Arial"/>
          <w:bCs/>
          <w:sz w:val="20"/>
          <w:lang w:val="en-US" w:eastAsia="ja-JP"/>
        </w:rPr>
        <w:t>Korea</w:t>
      </w:r>
      <w:r w:rsidR="0027062E" w:rsidRPr="007D67B4">
        <w:rPr>
          <w:rFonts w:eastAsia="ＭＳ 明朝" w:cs="Arial"/>
          <w:bCs/>
          <w:sz w:val="20"/>
          <w:lang w:val="en-US" w:eastAsia="ja-JP"/>
        </w:rPr>
        <w:t xml:space="preserve">, </w:t>
      </w:r>
      <w:r>
        <w:rPr>
          <w:rFonts w:eastAsia="ＭＳ 明朝" w:cs="Arial"/>
          <w:bCs/>
          <w:sz w:val="20"/>
          <w:lang w:val="en-US" w:eastAsia="ja-JP"/>
        </w:rPr>
        <w:t>May</w:t>
      </w:r>
      <w:r w:rsidR="00FF53A0">
        <w:rPr>
          <w:rFonts w:eastAsia="ＭＳ 明朝" w:cs="Arial" w:hint="eastAsia"/>
          <w:bCs/>
          <w:sz w:val="20"/>
          <w:lang w:val="en-US" w:eastAsia="ja-JP"/>
        </w:rPr>
        <w:t xml:space="preserve"> </w:t>
      </w:r>
      <w:r>
        <w:rPr>
          <w:rFonts w:eastAsia="ＭＳ 明朝" w:cs="Arial"/>
          <w:bCs/>
          <w:sz w:val="20"/>
          <w:lang w:val="en-US" w:eastAsia="ja-JP"/>
        </w:rPr>
        <w:t>21st</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25</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62AC03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007CBF">
        <w:rPr>
          <w:rFonts w:eastAsia="ＭＳ 明朝"/>
          <w:b w:val="0"/>
          <w:sz w:val="20"/>
          <w:lang w:eastAsia="ja-JP"/>
        </w:rPr>
        <w:t xml:space="preserve">multi-slot PUCCH </w:t>
      </w:r>
      <w:r w:rsidR="00293673">
        <w:rPr>
          <w:rFonts w:eastAsia="ＭＳ 明朝"/>
          <w:b w:val="0"/>
          <w:sz w:val="20"/>
          <w:lang w:eastAsia="ja-JP"/>
        </w:rPr>
        <w:t xml:space="preserve">and PUSCH </w:t>
      </w:r>
      <w:r w:rsidR="00007CBF">
        <w:rPr>
          <w:rFonts w:eastAsia="ＭＳ 明朝"/>
          <w:b w:val="0"/>
          <w:sz w:val="20"/>
          <w:lang w:eastAsia="ja-JP"/>
        </w:rPr>
        <w:t>suppor</w:t>
      </w:r>
      <w:r w:rsidR="00B23FAD">
        <w:rPr>
          <w:rFonts w:eastAsia="ＭＳ 明朝"/>
          <w:b w:val="0"/>
          <w:sz w:val="20"/>
          <w:lang w:eastAsia="ja-JP"/>
        </w:rPr>
        <w:t>t</w:t>
      </w:r>
      <w:r w:rsidR="00007CBF">
        <w:rPr>
          <w:rFonts w:eastAsia="ＭＳ 明朝"/>
          <w:b w:val="0"/>
          <w:sz w:val="20"/>
          <w:lang w:eastAsia="ja-JP"/>
        </w:rPr>
        <w:t>ing</w:t>
      </w:r>
    </w:p>
    <w:p w14:paraId="3BEF152C" w14:textId="27BC71A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E11D76">
        <w:rPr>
          <w:rFonts w:ascii="Arial" w:hAnsi="Arial" w:hint="eastAsia"/>
          <w:lang w:eastAsia="ja-JP"/>
        </w:rPr>
        <w:t>7</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C4FC09E" w14:textId="67A0E11B" w:rsidR="00DD269B" w:rsidRDefault="00972F44" w:rsidP="008008FC">
      <w:pPr>
        <w:spacing w:beforeLines="50" w:before="120" w:after="0"/>
        <w:rPr>
          <w:lang w:eastAsia="ja-JP"/>
        </w:rPr>
      </w:pPr>
      <w:r>
        <w:rPr>
          <w:lang w:eastAsia="ja-JP"/>
        </w:rPr>
        <w:t>This contribution provides our view on UE features focusing on multi-slot PUCCH</w:t>
      </w:r>
      <w:r w:rsidR="00293673">
        <w:rPr>
          <w:lang w:eastAsia="ja-JP"/>
        </w:rPr>
        <w:t xml:space="preserve"> and PUSCH</w:t>
      </w:r>
      <w:r>
        <w:rPr>
          <w:lang w:eastAsia="ja-JP"/>
        </w:rPr>
        <w:t>.</w:t>
      </w:r>
    </w:p>
    <w:p w14:paraId="23501FEF" w14:textId="4121815D" w:rsidR="00465C03" w:rsidRDefault="00DB1E14" w:rsidP="002D4DCA">
      <w:pPr>
        <w:pStyle w:val="1"/>
        <w:tabs>
          <w:tab w:val="num" w:pos="426"/>
        </w:tabs>
        <w:ind w:left="426" w:hanging="426"/>
        <w:rPr>
          <w:szCs w:val="36"/>
          <w:lang w:eastAsia="ja-JP"/>
        </w:rPr>
      </w:pPr>
      <w:r>
        <w:rPr>
          <w:lang w:val="en-US" w:eastAsia="ja-JP"/>
        </w:rPr>
        <w:t>Discussion</w:t>
      </w:r>
    </w:p>
    <w:p w14:paraId="11DCBAF3" w14:textId="77777777" w:rsidR="001011EA" w:rsidRDefault="0030664F" w:rsidP="0030664F">
      <w:pPr>
        <w:tabs>
          <w:tab w:val="left" w:pos="4008"/>
        </w:tabs>
        <w:spacing w:before="120" w:after="120"/>
        <w:rPr>
          <w:rFonts w:eastAsiaTheme="minorEastAsia"/>
          <w:lang w:eastAsia="ja-JP"/>
        </w:rPr>
      </w:pPr>
      <w:r w:rsidRPr="0030664F">
        <w:rPr>
          <w:rFonts w:hint="eastAsia"/>
          <w:lang w:eastAsia="ja-JP"/>
        </w:rPr>
        <w:t xml:space="preserve">In </w:t>
      </w:r>
      <w:r w:rsidRPr="0030664F">
        <w:rPr>
          <w:lang w:eastAsia="ja-JP"/>
        </w:rPr>
        <w:t>[</w:t>
      </w:r>
      <w:r w:rsidR="00972F44">
        <w:rPr>
          <w:lang w:eastAsia="ja-JP"/>
        </w:rPr>
        <w:t>1</w:t>
      </w:r>
      <w:r w:rsidRPr="0030664F">
        <w:rPr>
          <w:lang w:eastAsia="ja-JP"/>
        </w:rPr>
        <w:t xml:space="preserve">], </w:t>
      </w:r>
      <w:r w:rsidR="00972F44">
        <w:rPr>
          <w:lang w:eastAsia="ja-JP"/>
        </w:rPr>
        <w:t xml:space="preserve">we discussed the necessity of multi-slot PUCCH before a UE has a dedicated PUCCH configuration. </w:t>
      </w:r>
      <w:r w:rsidR="00972F44" w:rsidRPr="00780569">
        <w:rPr>
          <w:rFonts w:eastAsiaTheme="minorEastAsia"/>
          <w:lang w:val="en-US" w:eastAsia="ja-JP"/>
        </w:rPr>
        <w:t xml:space="preserve">It </w:t>
      </w:r>
      <w:r w:rsidR="0059287D">
        <w:rPr>
          <w:rFonts w:eastAsiaTheme="minorEastAsia"/>
          <w:lang w:val="en-US" w:eastAsia="ja-JP"/>
        </w:rPr>
        <w:t xml:space="preserve">would be important </w:t>
      </w:r>
      <w:r w:rsidR="00972F44" w:rsidRPr="00780569">
        <w:rPr>
          <w:rFonts w:eastAsiaTheme="minorEastAsia"/>
          <w:lang w:val="en-US" w:eastAsia="ja-JP"/>
        </w:rPr>
        <w:t>to support the coverage corresponding to 14 symbols for 15 kHz subcarrier spacing</w:t>
      </w:r>
      <w:r w:rsidR="0059287D">
        <w:rPr>
          <w:rFonts w:eastAsiaTheme="minorEastAsia"/>
          <w:lang w:val="en-US" w:eastAsia="ja-JP"/>
        </w:rPr>
        <w:t xml:space="preserve"> (i.e., LTE coverage) at least for 30 kHz in FR1</w:t>
      </w:r>
      <w:r w:rsidR="00972F44" w:rsidRPr="00780569">
        <w:rPr>
          <w:rFonts w:eastAsiaTheme="minorEastAsia"/>
          <w:lang w:val="en-US" w:eastAsia="ja-JP"/>
        </w:rPr>
        <w:t>. In order to support such coverage, for larger subcarrier spacing, multi-slot transmission should be able to be configured for PUCCH format 1.</w:t>
      </w:r>
      <w:r w:rsidR="00972F44">
        <w:rPr>
          <w:rFonts w:eastAsiaTheme="minorEastAsia"/>
          <w:lang w:val="en-US" w:eastAsia="ja-JP"/>
        </w:rPr>
        <w:t xml:space="preserve"> In</w:t>
      </w:r>
      <w:r w:rsidR="00972F44">
        <w:rPr>
          <w:rFonts w:eastAsiaTheme="minorEastAsia"/>
          <w:lang w:eastAsia="ja-JP"/>
        </w:rPr>
        <w:t xml:space="preserve"> current UE feature list [2], “r</w:t>
      </w:r>
      <w:r w:rsidR="00972F44" w:rsidRPr="00960169">
        <w:rPr>
          <w:rFonts w:eastAsiaTheme="minorEastAsia"/>
          <w:lang w:eastAsia="ja-JP"/>
        </w:rPr>
        <w:t>epetitions for PUCCH format 1, 3,</w:t>
      </w:r>
      <w:r w:rsidR="00972F44">
        <w:rPr>
          <w:rFonts w:eastAsiaTheme="minorEastAsia"/>
          <w:lang w:eastAsia="ja-JP"/>
        </w:rPr>
        <w:t xml:space="preserve"> </w:t>
      </w:r>
      <w:r w:rsidR="00972F44" w:rsidRPr="00960169">
        <w:rPr>
          <w:rFonts w:eastAsiaTheme="minorEastAsia"/>
          <w:lang w:eastAsia="ja-JP"/>
        </w:rPr>
        <w:t>and</w:t>
      </w:r>
      <w:r w:rsidR="00972F44">
        <w:rPr>
          <w:rFonts w:eastAsiaTheme="minorEastAsia"/>
          <w:lang w:eastAsia="ja-JP"/>
        </w:rPr>
        <w:t xml:space="preserve"> 4 over multiple slots with K = </w:t>
      </w:r>
      <w:r w:rsidR="00972F44" w:rsidRPr="00960169">
        <w:rPr>
          <w:rFonts w:eastAsiaTheme="minorEastAsia"/>
          <w:lang w:eastAsia="ja-JP"/>
        </w:rPr>
        <w:t>2, 4, 8</w:t>
      </w:r>
      <w:r w:rsidR="00972F44">
        <w:rPr>
          <w:rFonts w:eastAsiaTheme="minorEastAsia"/>
          <w:lang w:eastAsia="ja-JP"/>
        </w:rPr>
        <w:t>” is [mandatory with capability signalling]. In order to support multi-slot PUCCH for HARQ-ACK transmission for Msg.4, this feature should be “mandatory without capability signalling.</w:t>
      </w:r>
    </w:p>
    <w:p w14:paraId="76074327" w14:textId="6EE3A35B" w:rsidR="001011EA" w:rsidRDefault="001011EA" w:rsidP="0030664F">
      <w:pPr>
        <w:tabs>
          <w:tab w:val="left" w:pos="4008"/>
        </w:tabs>
        <w:spacing w:before="120" w:after="120"/>
        <w:rPr>
          <w:rFonts w:eastAsiaTheme="minorEastAsia"/>
          <w:lang w:eastAsia="ja-JP"/>
        </w:rPr>
      </w:pPr>
      <w:r>
        <w:rPr>
          <w:rFonts w:eastAsiaTheme="minorEastAsia"/>
          <w:lang w:eastAsia="ja-JP"/>
        </w:rPr>
        <w:t xml:space="preserve">In [3], we also discussed the necessity of Msg.3 repetition. </w:t>
      </w:r>
      <w:r>
        <w:rPr>
          <w:lang w:eastAsia="ja-JP"/>
        </w:rPr>
        <w:t>Although Msg.3 support HARQ by retransmission, in order to schedule Msg.3 retransmission, gNB needs to identify Msg</w:t>
      </w:r>
      <w:r w:rsidR="00293673">
        <w:rPr>
          <w:lang w:eastAsia="ja-JP"/>
        </w:rPr>
        <w:t>.</w:t>
      </w:r>
      <w:r>
        <w:rPr>
          <w:lang w:eastAsia="ja-JP"/>
        </w:rPr>
        <w:t xml:space="preserve">3 was transmitted by UE. This requires power detection of Msg.3 transmission from UE. On the other hand, such power detection can require higher SINR than the </w:t>
      </w:r>
      <w:r w:rsidR="005265DA">
        <w:rPr>
          <w:lang w:eastAsia="ja-JP"/>
        </w:rPr>
        <w:t>PUSCH decoding</w:t>
      </w:r>
      <w:r>
        <w:rPr>
          <w:lang w:eastAsia="ja-JP"/>
        </w:rPr>
        <w:t>. Therefore, depending on the performance of Msg.3 detection, HARQ retransmission of Msg.3 does not work. In order to resolve this situation, Msg</w:t>
      </w:r>
      <w:r w:rsidR="00293673">
        <w:rPr>
          <w:rFonts w:hint="eastAsia"/>
          <w:lang w:eastAsia="ja-JP"/>
        </w:rPr>
        <w:t>.</w:t>
      </w:r>
      <w:r>
        <w:rPr>
          <w:lang w:eastAsia="ja-JP"/>
        </w:rPr>
        <w:t xml:space="preserve">3 repetition should be supported. </w:t>
      </w:r>
      <w:r>
        <w:rPr>
          <w:rFonts w:eastAsiaTheme="minorEastAsia"/>
          <w:lang w:val="en-US" w:eastAsia="ja-JP"/>
        </w:rPr>
        <w:t>In</w:t>
      </w:r>
      <w:r>
        <w:rPr>
          <w:rFonts w:eastAsiaTheme="minorEastAsia"/>
          <w:lang w:eastAsia="ja-JP"/>
        </w:rPr>
        <w:t xml:space="preserve"> UE feature list [2], “</w:t>
      </w:r>
      <w:r w:rsidRPr="00AC2973">
        <w:rPr>
          <w:rFonts w:eastAsiaTheme="minorEastAsia"/>
          <w:lang w:eastAsia="ja-JP"/>
        </w:rPr>
        <w:t>PUSCH repetitions over multiple slots</w:t>
      </w:r>
      <w:r>
        <w:rPr>
          <w:rFonts w:eastAsiaTheme="minorEastAsia"/>
          <w:lang w:eastAsia="ja-JP"/>
        </w:rPr>
        <w:t>” is Optional. In order to support Msg.3 repetition, this feature should be “mandatory without capability signalling”.</w:t>
      </w:r>
    </w:p>
    <w:p w14:paraId="411CD6E6" w14:textId="0C5B09E3" w:rsidR="0030664F" w:rsidRDefault="00972F44" w:rsidP="0030664F">
      <w:pPr>
        <w:tabs>
          <w:tab w:val="left" w:pos="4008"/>
        </w:tabs>
        <w:spacing w:before="120" w:after="120"/>
        <w:rPr>
          <w:lang w:eastAsia="ja-JP"/>
        </w:rPr>
      </w:pPr>
      <w:r>
        <w:rPr>
          <w:rFonts w:eastAsiaTheme="minorEastAsia"/>
          <w:lang w:eastAsia="ja-JP"/>
        </w:rPr>
        <w:t xml:space="preserve"> Therefore, we propose </w:t>
      </w:r>
      <w:r w:rsidR="001011EA">
        <w:rPr>
          <w:rFonts w:eastAsiaTheme="minorEastAsia"/>
          <w:lang w:eastAsia="ja-JP"/>
        </w:rPr>
        <w:t xml:space="preserve">these </w:t>
      </w:r>
      <w:r>
        <w:rPr>
          <w:rFonts w:eastAsiaTheme="minorEastAsia"/>
          <w:lang w:eastAsia="ja-JP"/>
        </w:rPr>
        <w:t>feature</w:t>
      </w:r>
      <w:r w:rsidR="001011EA">
        <w:rPr>
          <w:rFonts w:eastAsiaTheme="minorEastAsia"/>
          <w:lang w:eastAsia="ja-JP"/>
        </w:rPr>
        <w:t>s</w:t>
      </w:r>
      <w:r>
        <w:rPr>
          <w:rFonts w:eastAsiaTheme="minorEastAsia"/>
          <w:lang w:eastAsia="ja-JP"/>
        </w:rPr>
        <w:t xml:space="preserve"> as mandatory as follows.</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66"/>
        <w:gridCol w:w="856"/>
        <w:gridCol w:w="1423"/>
        <w:gridCol w:w="1704"/>
        <w:gridCol w:w="1420"/>
        <w:gridCol w:w="1418"/>
        <w:gridCol w:w="1418"/>
        <w:gridCol w:w="1418"/>
        <w:gridCol w:w="1415"/>
        <w:gridCol w:w="848"/>
        <w:gridCol w:w="1112"/>
      </w:tblGrid>
      <w:tr w:rsidR="00BA57E5" w:rsidRPr="00BA57E5" w14:paraId="522F0661" w14:textId="7D91E8FA" w:rsidTr="00BA57E5">
        <w:trPr>
          <w:trHeight w:val="1800"/>
        </w:trPr>
        <w:tc>
          <w:tcPr>
            <w:tcW w:w="312" w:type="pct"/>
            <w:shd w:val="clear" w:color="000000" w:fill="99CCFF"/>
            <w:vAlign w:val="center"/>
            <w:hideMark/>
          </w:tcPr>
          <w:p w14:paraId="59CC20CE"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Features</w:t>
            </w:r>
          </w:p>
        </w:tc>
        <w:tc>
          <w:tcPr>
            <w:tcW w:w="308" w:type="pct"/>
            <w:shd w:val="clear" w:color="000000" w:fill="99CCFF"/>
            <w:vAlign w:val="center"/>
            <w:hideMark/>
          </w:tcPr>
          <w:p w14:paraId="07135EAC"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w:t>
            </w:r>
          </w:p>
        </w:tc>
        <w:tc>
          <w:tcPr>
            <w:tcW w:w="512" w:type="pct"/>
            <w:shd w:val="clear" w:color="000000" w:fill="99CCFF"/>
            <w:vAlign w:val="center"/>
            <w:hideMark/>
          </w:tcPr>
          <w:p w14:paraId="0D23AC2D"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Feature group</w:t>
            </w:r>
          </w:p>
        </w:tc>
        <w:tc>
          <w:tcPr>
            <w:tcW w:w="613" w:type="pct"/>
            <w:shd w:val="clear" w:color="000000" w:fill="99CCFF"/>
            <w:vAlign w:val="center"/>
            <w:hideMark/>
          </w:tcPr>
          <w:p w14:paraId="66309C74"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Need for g</w:t>
            </w:r>
            <w:r w:rsidRPr="00BA57E5">
              <w:rPr>
                <w:rFonts w:ascii="Calibri" w:eastAsia="ＭＳ Ｐゴシック" w:hAnsi="Calibri" w:cs="Arial"/>
                <w:sz w:val="16"/>
                <w:szCs w:val="18"/>
              </w:rPr>
              <w:t>NB to know whether the</w:t>
            </w:r>
            <w:r w:rsidRPr="00BA57E5">
              <w:rPr>
                <w:rFonts w:ascii="Calibri" w:eastAsia="ＭＳ Ｐゴシック" w:hAnsi="Calibri" w:cs="Arial"/>
                <w:sz w:val="16"/>
                <w:szCs w:val="18"/>
              </w:rPr>
              <w:br/>
              <w:t>feature is supported by the UE</w:t>
            </w:r>
            <w:r w:rsidRPr="00BA57E5">
              <w:rPr>
                <w:rFonts w:ascii="Calibri" w:eastAsia="ＭＳ Ｐゴシック" w:hAnsi="Calibri" w:cs="Arial"/>
                <w:sz w:val="16"/>
                <w:szCs w:val="18"/>
              </w:rPr>
              <w:br/>
              <w:t>(what happens if gNB does not know?)</w:t>
            </w:r>
          </w:p>
        </w:tc>
        <w:tc>
          <w:tcPr>
            <w:tcW w:w="511" w:type="pct"/>
            <w:shd w:val="clear" w:color="auto" w:fill="99CCFF"/>
            <w:vAlign w:val="center"/>
            <w:hideMark/>
          </w:tcPr>
          <w:p w14:paraId="79204D7E"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Type (see R2-1712078)</w:t>
            </w:r>
          </w:p>
        </w:tc>
        <w:tc>
          <w:tcPr>
            <w:tcW w:w="510" w:type="pct"/>
            <w:shd w:val="clear" w:color="auto" w:fill="99CCFF"/>
            <w:vAlign w:val="center"/>
            <w:hideMark/>
          </w:tcPr>
          <w:p w14:paraId="6749E085"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Need of FDD/TDD differentiation</w:t>
            </w:r>
          </w:p>
        </w:tc>
        <w:tc>
          <w:tcPr>
            <w:tcW w:w="510" w:type="pct"/>
            <w:shd w:val="clear" w:color="auto" w:fill="99CCFF"/>
            <w:vAlign w:val="center"/>
          </w:tcPr>
          <w:p w14:paraId="18373100"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Need of FR1/FR2 differentiation</w:t>
            </w:r>
          </w:p>
        </w:tc>
        <w:tc>
          <w:tcPr>
            <w:tcW w:w="510" w:type="pct"/>
            <w:shd w:val="clear" w:color="000000" w:fill="99CCFF"/>
            <w:vAlign w:val="center"/>
            <w:hideMark/>
          </w:tcPr>
          <w:p w14:paraId="64C53C4E"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Responsible WG</w:t>
            </w:r>
          </w:p>
        </w:tc>
        <w:tc>
          <w:tcPr>
            <w:tcW w:w="509" w:type="pct"/>
            <w:shd w:val="clear" w:color="000000" w:fill="BFBFBF"/>
            <w:vAlign w:val="center"/>
            <w:hideMark/>
          </w:tcPr>
          <w:p w14:paraId="7DA774E4"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RAN WG recommendation</w:t>
            </w:r>
          </w:p>
        </w:tc>
        <w:tc>
          <w:tcPr>
            <w:tcW w:w="305" w:type="pct"/>
            <w:shd w:val="clear" w:color="000000" w:fill="FFC000"/>
            <w:vAlign w:val="center"/>
            <w:hideMark/>
          </w:tcPr>
          <w:p w14:paraId="1C3C5900" w14:textId="77777777" w:rsidR="00972F44" w:rsidRPr="00BA57E5" w:rsidRDefault="00972F44" w:rsidP="0056359B">
            <w:pPr>
              <w:snapToGrid w:val="0"/>
              <w:jc w:val="center"/>
              <w:rPr>
                <w:rFonts w:ascii="Arial" w:eastAsia="ＭＳ Ｐゴシック" w:hAnsi="Arial" w:cs="Arial"/>
                <w:b/>
                <w:bCs/>
                <w:sz w:val="16"/>
                <w:szCs w:val="18"/>
              </w:rPr>
            </w:pPr>
            <w:r w:rsidRPr="00BA57E5">
              <w:rPr>
                <w:rFonts w:ascii="Arial" w:eastAsia="ＭＳ Ｐゴシック" w:hAnsi="Arial" w:cs="Arial"/>
                <w:b/>
                <w:bCs/>
                <w:sz w:val="16"/>
                <w:szCs w:val="18"/>
              </w:rPr>
              <w:t>TSG-RAN decision</w:t>
            </w:r>
          </w:p>
        </w:tc>
        <w:tc>
          <w:tcPr>
            <w:tcW w:w="400" w:type="pct"/>
            <w:shd w:val="clear" w:color="auto" w:fill="FFFF00"/>
            <w:vAlign w:val="center"/>
          </w:tcPr>
          <w:p w14:paraId="61A3A9E4" w14:textId="61E8FDAF" w:rsidR="00972F44" w:rsidRPr="00BA57E5" w:rsidRDefault="00972F44" w:rsidP="00BA57E5">
            <w:pPr>
              <w:snapToGrid w:val="0"/>
              <w:jc w:val="center"/>
              <w:rPr>
                <w:rFonts w:ascii="Arial" w:eastAsia="ＭＳ Ｐゴシック" w:hAnsi="Arial" w:cs="Arial"/>
                <w:b/>
                <w:bCs/>
                <w:sz w:val="16"/>
                <w:szCs w:val="18"/>
                <w:lang w:eastAsia="ja-JP"/>
              </w:rPr>
            </w:pPr>
            <w:r w:rsidRPr="00BA57E5">
              <w:rPr>
                <w:rFonts w:ascii="Arial" w:eastAsia="ＭＳ Ｐゴシック" w:hAnsi="Arial" w:cs="Arial" w:hint="eastAsia"/>
                <w:b/>
                <w:bCs/>
                <w:sz w:val="16"/>
                <w:szCs w:val="18"/>
                <w:lang w:eastAsia="ja-JP"/>
              </w:rPr>
              <w:t>Panasonic</w:t>
            </w:r>
            <w:r w:rsidRPr="00BA57E5">
              <w:rPr>
                <w:rFonts w:ascii="Arial" w:eastAsia="ＭＳ Ｐゴシック" w:hAnsi="Arial" w:cs="Arial"/>
                <w:b/>
                <w:bCs/>
                <w:sz w:val="16"/>
                <w:szCs w:val="18"/>
                <w:lang w:eastAsia="ja-JP"/>
              </w:rPr>
              <w:t>’s view</w:t>
            </w:r>
          </w:p>
        </w:tc>
      </w:tr>
      <w:tr w:rsidR="00BA57E5" w:rsidRPr="00BA57E5" w14:paraId="426E9BFE" w14:textId="5EB97F65" w:rsidTr="00BA57E5">
        <w:trPr>
          <w:trHeight w:val="1800"/>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97DDD1" w14:textId="77777777" w:rsidR="00972F44" w:rsidRPr="00BA57E5" w:rsidRDefault="00972F44" w:rsidP="00972F44">
            <w:pPr>
              <w:snapToGrid w:val="0"/>
              <w:jc w:val="center"/>
              <w:rPr>
                <w:rFonts w:ascii="Arial" w:eastAsia="ＭＳ Ｐゴシック" w:hAnsi="Arial" w:cs="Arial"/>
                <w:sz w:val="16"/>
                <w:szCs w:val="18"/>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55E10" w14:textId="77777777" w:rsidR="00972F44" w:rsidRPr="00BA57E5" w:rsidRDefault="00972F44" w:rsidP="00972F44">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4-23</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65C0F" w14:textId="2B0064BF" w:rsidR="00972F44" w:rsidRPr="00BA57E5" w:rsidRDefault="00972F44" w:rsidP="00972F44">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Repetitions for PUCCH format 1, 3,and 4 over multiple slots with K =, 2, 4, 8</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0495E8" w14:textId="77777777" w:rsidR="00972F44" w:rsidRPr="00BA57E5" w:rsidRDefault="00972F44" w:rsidP="00972F44">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Yes</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F4096" w14:textId="77777777" w:rsidR="00972F44" w:rsidRPr="00BA57E5" w:rsidRDefault="00972F44" w:rsidP="00972F44">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Type 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7D91C9" w14:textId="77777777" w:rsidR="00972F44" w:rsidRPr="00BA57E5" w:rsidRDefault="00972F44" w:rsidP="00972F44">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No need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A4E96F2" w14:textId="77777777" w:rsidR="00972F44" w:rsidRPr="00BA57E5" w:rsidRDefault="00972F44" w:rsidP="0056359B">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No need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C008C" w14:textId="77777777" w:rsidR="00972F44" w:rsidRPr="00BA57E5" w:rsidRDefault="00972F44" w:rsidP="00972F44">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RAN1</w:t>
            </w:r>
          </w:p>
        </w:tc>
        <w:tc>
          <w:tcPr>
            <w:tcW w:w="509"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31BDD0E1" w14:textId="3FDB135F" w:rsidR="00972F44" w:rsidRPr="00BA57E5" w:rsidRDefault="00972F44" w:rsidP="00972F44">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[Mandatory with capability signaling]</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030F4B" w14:textId="77777777" w:rsidR="00972F44" w:rsidRPr="00BA57E5" w:rsidRDefault="00972F44" w:rsidP="00972F44">
            <w:pPr>
              <w:snapToGrid w:val="0"/>
              <w:jc w:val="center"/>
              <w:rPr>
                <w:rFonts w:ascii="Arial" w:eastAsia="ＭＳ Ｐゴシック" w:hAnsi="Arial" w:cs="Arial"/>
                <w:b/>
                <w:bCs/>
                <w:sz w:val="16"/>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D59314B" w14:textId="3962BF03" w:rsidR="00972F44" w:rsidRPr="00BA57E5" w:rsidRDefault="00972F44" w:rsidP="00BA57E5">
            <w:pPr>
              <w:snapToGrid w:val="0"/>
              <w:jc w:val="center"/>
              <w:rPr>
                <w:rFonts w:ascii="Arial" w:eastAsia="ＭＳ Ｐゴシック" w:hAnsi="Arial" w:cs="Arial"/>
                <w:b/>
                <w:bCs/>
                <w:sz w:val="16"/>
                <w:szCs w:val="18"/>
              </w:rPr>
            </w:pPr>
            <w:r w:rsidRPr="00BA57E5">
              <w:rPr>
                <w:rFonts w:ascii="Arial" w:eastAsia="ＭＳ Ｐゴシック" w:hAnsi="Arial" w:cs="Arial"/>
                <w:sz w:val="16"/>
                <w:szCs w:val="18"/>
              </w:rPr>
              <w:t>Mandatory without capability signaling</w:t>
            </w:r>
          </w:p>
        </w:tc>
      </w:tr>
      <w:tr w:rsidR="001011EA" w:rsidRPr="00BA57E5" w14:paraId="30186090" w14:textId="77777777" w:rsidTr="00BA57E5">
        <w:trPr>
          <w:trHeight w:val="1800"/>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637E9C16" w14:textId="6425B479" w:rsidR="001011EA" w:rsidRPr="00BA57E5" w:rsidRDefault="001011EA" w:rsidP="001011EA">
            <w:pPr>
              <w:snapToGrid w:val="0"/>
              <w:jc w:val="center"/>
              <w:rPr>
                <w:rFonts w:ascii="Arial" w:eastAsia="ＭＳ Ｐゴシック" w:hAnsi="Arial" w:cs="Arial"/>
                <w:sz w:val="16"/>
                <w:szCs w:val="18"/>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B36E265" w14:textId="638DB66D" w:rsidR="001011EA" w:rsidRPr="00BA57E5" w:rsidRDefault="001011EA" w:rsidP="001011EA">
            <w:pPr>
              <w:snapToGrid w:val="0"/>
              <w:jc w:val="center"/>
              <w:rPr>
                <w:rFonts w:ascii="Arial" w:eastAsia="ＭＳ Ｐゴシック" w:hAnsi="Arial" w:cs="Arial"/>
                <w:sz w:val="16"/>
                <w:szCs w:val="18"/>
                <w:lang w:eastAsia="ja-JP"/>
              </w:rPr>
            </w:pPr>
            <w:r>
              <w:rPr>
                <w:rFonts w:ascii="Arial" w:eastAsia="ＭＳ Ｐゴシック" w:hAnsi="Arial" w:cs="Arial" w:hint="eastAsia"/>
                <w:sz w:val="16"/>
                <w:szCs w:val="18"/>
                <w:lang w:eastAsia="ja-JP"/>
              </w:rPr>
              <w:t>5-17</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5397ED78" w14:textId="2F5233CE" w:rsidR="001011EA" w:rsidRPr="00BA57E5" w:rsidRDefault="001011EA" w:rsidP="001011EA">
            <w:pPr>
              <w:snapToGrid w:val="0"/>
              <w:jc w:val="center"/>
              <w:rPr>
                <w:rFonts w:ascii="Arial" w:eastAsia="ＭＳ Ｐゴシック" w:hAnsi="Arial" w:cs="Arial"/>
                <w:sz w:val="16"/>
                <w:szCs w:val="18"/>
              </w:rPr>
            </w:pPr>
            <w:r w:rsidRPr="0038017A">
              <w:rPr>
                <w:rFonts w:ascii="Arial" w:eastAsia="ＭＳ Ｐゴシック" w:hAnsi="Arial" w:cs="Arial"/>
                <w:sz w:val="16"/>
                <w:szCs w:val="18"/>
              </w:rPr>
              <w:t xml:space="preserve">PUSCH repetitions over multiple slots </w:t>
            </w:r>
            <w:r w:rsidRPr="003C74A1">
              <w:rPr>
                <w:rFonts w:ascii="Arial" w:eastAsia="ＭＳ Ｐゴシック" w:hAnsi="Arial" w:cs="Arial"/>
                <w:sz w:val="18"/>
                <w:szCs w:val="18"/>
              </w:rPr>
              <w:t xml:space="preserve"> </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67DF7F4" w14:textId="7EC54381" w:rsidR="001011EA" w:rsidRPr="00BA57E5" w:rsidRDefault="001011EA" w:rsidP="001011EA">
            <w:pPr>
              <w:snapToGrid w:val="0"/>
              <w:jc w:val="center"/>
              <w:rPr>
                <w:rFonts w:ascii="Arial" w:eastAsia="ＭＳ Ｐゴシック" w:hAnsi="Arial" w:cs="Arial"/>
                <w:sz w:val="16"/>
                <w:szCs w:val="18"/>
              </w:rPr>
            </w:pPr>
            <w:r w:rsidRPr="0038017A">
              <w:rPr>
                <w:rFonts w:ascii="Arial" w:eastAsia="ＭＳ Ｐゴシック" w:hAnsi="Arial" w:cs="Arial"/>
                <w:sz w:val="16"/>
                <w:szCs w:val="18"/>
              </w:rPr>
              <w:t>Yes</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99DF993" w14:textId="2165BF8B" w:rsidR="001011EA" w:rsidRPr="001011EA" w:rsidRDefault="001011EA" w:rsidP="001011EA">
            <w:pPr>
              <w:snapToGrid w:val="0"/>
              <w:jc w:val="center"/>
              <w:rPr>
                <w:rFonts w:ascii="Arial" w:eastAsia="ＭＳ Ｐゴシック" w:hAnsi="Arial" w:cs="Arial"/>
                <w:sz w:val="16"/>
                <w:szCs w:val="18"/>
              </w:rPr>
            </w:pPr>
            <w:r w:rsidRPr="0038017A">
              <w:rPr>
                <w:rFonts w:ascii="Arial" w:eastAsia="ＭＳ Ｐゴシック" w:hAnsi="Arial" w:cs="Arial"/>
                <w:sz w:val="16"/>
                <w:szCs w:val="18"/>
              </w:rPr>
              <w:t>Type 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7C3D24" w14:textId="57720BA4" w:rsidR="001011EA" w:rsidRPr="001011EA" w:rsidRDefault="001011EA" w:rsidP="001011EA">
            <w:pPr>
              <w:snapToGrid w:val="0"/>
              <w:jc w:val="center"/>
              <w:rPr>
                <w:rFonts w:ascii="Arial" w:eastAsia="ＭＳ Ｐゴシック" w:hAnsi="Arial" w:cs="Arial"/>
                <w:sz w:val="16"/>
                <w:szCs w:val="18"/>
              </w:rPr>
            </w:pPr>
            <w:r w:rsidRPr="0038017A">
              <w:rPr>
                <w:rFonts w:ascii="Arial" w:eastAsia="ＭＳ Ｐゴシック" w:hAnsi="Arial" w:cs="Arial"/>
                <w:sz w:val="16"/>
                <w:szCs w:val="18"/>
              </w:rPr>
              <w:t>No need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5426585" w14:textId="4D356BBE" w:rsidR="001011EA" w:rsidRPr="001011EA" w:rsidRDefault="001011EA" w:rsidP="001011EA">
            <w:pPr>
              <w:snapToGrid w:val="0"/>
              <w:jc w:val="center"/>
              <w:rPr>
                <w:rFonts w:ascii="Arial" w:eastAsia="ＭＳ Ｐゴシック" w:hAnsi="Arial" w:cs="Arial"/>
                <w:sz w:val="16"/>
                <w:szCs w:val="18"/>
              </w:rPr>
            </w:pPr>
            <w:r w:rsidRPr="0038017A">
              <w:rPr>
                <w:rFonts w:ascii="Arial" w:eastAsia="ＭＳ Ｐゴシック" w:hAnsi="Arial" w:cs="Arial"/>
                <w:sz w:val="16"/>
                <w:szCs w:val="18"/>
              </w:rPr>
              <w:t>No need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F3D782E" w14:textId="77777777" w:rsidR="001011EA" w:rsidRPr="00BA57E5" w:rsidRDefault="001011EA" w:rsidP="001011EA">
            <w:pPr>
              <w:snapToGrid w:val="0"/>
              <w:jc w:val="center"/>
              <w:rPr>
                <w:rFonts w:ascii="Arial" w:eastAsia="ＭＳ Ｐゴシック" w:hAnsi="Arial" w:cs="Arial"/>
                <w:sz w:val="16"/>
                <w:szCs w:val="18"/>
              </w:rPr>
            </w:pPr>
          </w:p>
        </w:tc>
        <w:tc>
          <w:tcPr>
            <w:tcW w:w="509" w:type="pct"/>
            <w:tcBorders>
              <w:top w:val="single" w:sz="4" w:space="0" w:color="auto"/>
              <w:left w:val="single" w:sz="4" w:space="0" w:color="auto"/>
              <w:bottom w:val="single" w:sz="4" w:space="0" w:color="auto"/>
              <w:right w:val="single" w:sz="4" w:space="0" w:color="auto"/>
            </w:tcBorders>
            <w:shd w:val="clear" w:color="000000" w:fill="BFBFBF"/>
            <w:vAlign w:val="center"/>
          </w:tcPr>
          <w:p w14:paraId="043866E3" w14:textId="77777777" w:rsidR="001011EA" w:rsidRPr="00BA57E5" w:rsidRDefault="001011EA" w:rsidP="001011EA">
            <w:pPr>
              <w:snapToGrid w:val="0"/>
              <w:jc w:val="center"/>
              <w:rPr>
                <w:rFonts w:ascii="Arial" w:eastAsia="ＭＳ Ｐゴシック" w:hAnsi="Arial" w:cs="Arial"/>
                <w:sz w:val="16"/>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CFD4B5" w14:textId="77777777" w:rsidR="001011EA" w:rsidRPr="00BA57E5" w:rsidRDefault="001011EA" w:rsidP="001011EA">
            <w:pPr>
              <w:snapToGrid w:val="0"/>
              <w:jc w:val="center"/>
              <w:rPr>
                <w:rFonts w:ascii="Arial" w:eastAsia="ＭＳ Ｐゴシック" w:hAnsi="Arial" w:cs="Arial"/>
                <w:b/>
                <w:bCs/>
                <w:sz w:val="16"/>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A1FC6BE" w14:textId="4EA29040" w:rsidR="001011EA" w:rsidRPr="00BA57E5" w:rsidRDefault="001011EA" w:rsidP="001011EA">
            <w:pPr>
              <w:snapToGrid w:val="0"/>
              <w:jc w:val="center"/>
              <w:rPr>
                <w:rFonts w:ascii="Arial" w:eastAsia="ＭＳ Ｐゴシック" w:hAnsi="Arial" w:cs="Arial"/>
                <w:sz w:val="16"/>
                <w:szCs w:val="18"/>
              </w:rPr>
            </w:pPr>
            <w:r w:rsidRPr="00BA57E5">
              <w:rPr>
                <w:rFonts w:ascii="Arial" w:eastAsia="ＭＳ Ｐゴシック" w:hAnsi="Arial" w:cs="Arial"/>
                <w:sz w:val="16"/>
                <w:szCs w:val="18"/>
              </w:rPr>
              <w:t>Mandatory without capability signaling</w:t>
            </w:r>
          </w:p>
        </w:tc>
      </w:tr>
    </w:tbl>
    <w:p w14:paraId="17B33DF7" w14:textId="77777777" w:rsidR="00972F44" w:rsidRPr="0030664F" w:rsidRDefault="00972F44" w:rsidP="0030664F">
      <w:pPr>
        <w:tabs>
          <w:tab w:val="left" w:pos="4008"/>
        </w:tabs>
        <w:spacing w:before="120" w:after="120"/>
        <w:rPr>
          <w:lang w:eastAsia="ja-JP"/>
        </w:rPr>
      </w:pPr>
    </w:p>
    <w:p w14:paraId="2E94EEBE" w14:textId="77777777" w:rsidR="006E466A" w:rsidRPr="00025C91" w:rsidRDefault="006E466A"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2356F19" w14:textId="4B481AB9" w:rsidR="00572839" w:rsidRPr="00572839" w:rsidRDefault="000F6BC1" w:rsidP="00985322">
      <w:pPr>
        <w:spacing w:beforeLines="50" w:before="120" w:afterLines="50" w:after="120"/>
        <w:rPr>
          <w:rFonts w:eastAsiaTheme="minorEastAsia"/>
          <w:b/>
          <w:lang w:eastAsia="ja-JP"/>
        </w:rPr>
      </w:pPr>
      <w:r>
        <w:rPr>
          <w:rFonts w:hint="eastAsia"/>
          <w:lang w:eastAsia="ja-JP"/>
        </w:rPr>
        <w:t xml:space="preserve">In this contribution, we </w:t>
      </w:r>
      <w:r w:rsidR="00834359">
        <w:rPr>
          <w:lang w:eastAsia="ja-JP"/>
        </w:rPr>
        <w:t xml:space="preserve">proposed </w:t>
      </w:r>
      <w:r w:rsidR="00985322">
        <w:rPr>
          <w:lang w:eastAsia="ja-JP"/>
        </w:rPr>
        <w:t xml:space="preserve">multi-slot PUCCH </w:t>
      </w:r>
      <w:r w:rsidR="00293673">
        <w:rPr>
          <w:lang w:eastAsia="ja-JP"/>
        </w:rPr>
        <w:t xml:space="preserve">and PUSCH </w:t>
      </w:r>
      <w:r w:rsidR="00985322">
        <w:rPr>
          <w:lang w:eastAsia="ja-JP"/>
        </w:rPr>
        <w:t>supporting to be considered as mandatory.</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965A650" w14:textId="09B1D352" w:rsidR="00382E0B" w:rsidRDefault="00CE5452" w:rsidP="005C183D">
      <w:pPr>
        <w:tabs>
          <w:tab w:val="left" w:pos="4008"/>
        </w:tabs>
        <w:spacing w:before="120" w:after="120"/>
      </w:pPr>
      <w:r>
        <w:rPr>
          <w:rFonts w:eastAsiaTheme="minorEastAsia" w:hint="eastAsia"/>
          <w:lang w:eastAsia="ja-JP"/>
        </w:rPr>
        <w:t xml:space="preserve">[1] </w:t>
      </w:r>
      <w:r w:rsidR="00886D1F">
        <w:rPr>
          <w:rFonts w:hint="eastAsia"/>
        </w:rPr>
        <w:t>R1-1806183</w:t>
      </w:r>
      <w:r w:rsidR="00DB1E14">
        <w:t>, “</w:t>
      </w:r>
      <w:r w:rsidR="00972F44" w:rsidRPr="00972F44">
        <w:t>Discussion on remaining issues on PUCCH resource allocation</w:t>
      </w:r>
      <w:r w:rsidR="00DB1E14">
        <w:t xml:space="preserve">,” </w:t>
      </w:r>
      <w:r w:rsidR="00972F44">
        <w:t>Panasonic</w:t>
      </w:r>
      <w:r w:rsidR="00DB1E14">
        <w:t>, RAN1</w:t>
      </w:r>
      <w:r w:rsidR="00EC2CF7">
        <w:t>#9</w:t>
      </w:r>
      <w:r w:rsidR="00972F44">
        <w:t>3</w:t>
      </w:r>
    </w:p>
    <w:p w14:paraId="6D3F31C6" w14:textId="6898D4EE" w:rsidR="00972F44" w:rsidRDefault="00972F44" w:rsidP="005C183D">
      <w:pPr>
        <w:tabs>
          <w:tab w:val="left" w:pos="4008"/>
        </w:tabs>
        <w:spacing w:before="120" w:after="120"/>
        <w:rPr>
          <w:rFonts w:eastAsiaTheme="minorEastAsia"/>
          <w:lang w:eastAsia="ja-JP"/>
        </w:rPr>
      </w:pPr>
      <w:r>
        <w:rPr>
          <w:rFonts w:eastAsiaTheme="minorEastAsia"/>
          <w:lang w:eastAsia="ja-JP"/>
        </w:rPr>
        <w:t>[2] R1-1805728, “NR UE feature list,” NTT DOCOMO, INC., AT&amp;T, RAN1#92bis</w:t>
      </w:r>
    </w:p>
    <w:p w14:paraId="4A2DA9DE" w14:textId="0665AA95" w:rsidR="001011EA" w:rsidRDefault="001011EA" w:rsidP="005C183D">
      <w:pPr>
        <w:tabs>
          <w:tab w:val="left" w:pos="4008"/>
        </w:tabs>
        <w:spacing w:before="120" w:after="120"/>
      </w:pPr>
      <w:r>
        <w:t xml:space="preserve">[3] </w:t>
      </w:r>
      <w:r w:rsidR="002C3C8F">
        <w:t>R1-1806916</w:t>
      </w:r>
      <w:bookmarkStart w:id="0" w:name="_GoBack"/>
      <w:bookmarkEnd w:id="0"/>
      <w:r>
        <w:t>, “</w:t>
      </w:r>
      <w:r>
        <w:rPr>
          <w:rFonts w:eastAsiaTheme="minorEastAsia"/>
          <w:lang w:eastAsia="ja-JP"/>
        </w:rPr>
        <w:t>Remaining issues on DCI contents and formats,” Panasonic, RAN1#93</w:t>
      </w:r>
    </w:p>
    <w:sectPr w:rsidR="001011EA" w:rsidSect="00BA57E5">
      <w:footerReference w:type="even" r:id="rId9"/>
      <w:footerReference w:type="default" r:id="rId10"/>
      <w:footnotePr>
        <w:numRestart w:val="eachSect"/>
      </w:footnotePr>
      <w:pgSz w:w="16840" w:h="11907" w:orient="landscape" w:code="9"/>
      <w:pgMar w:top="1133" w:right="1416" w:bottom="1134"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C6F44" w14:textId="77777777" w:rsidR="00A2673E" w:rsidRDefault="00A2673E">
      <w:r>
        <w:separator/>
      </w:r>
    </w:p>
  </w:endnote>
  <w:endnote w:type="continuationSeparator" w:id="0">
    <w:p w14:paraId="31FFF6DF" w14:textId="77777777" w:rsidR="00A2673E" w:rsidRDefault="00A2673E">
      <w:r>
        <w:continuationSeparator/>
      </w:r>
    </w:p>
  </w:endnote>
  <w:endnote w:type="continuationNotice" w:id="1">
    <w:p w14:paraId="1D797911" w14:textId="77777777" w:rsidR="00A2673E" w:rsidRDefault="00A26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4D3B96D8"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C3C8F">
      <w:rPr>
        <w:rStyle w:val="af5"/>
      </w:rPr>
      <w:t>2</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3E333" w14:textId="77777777" w:rsidR="00A2673E" w:rsidRDefault="00A2673E">
      <w:r>
        <w:separator/>
      </w:r>
    </w:p>
  </w:footnote>
  <w:footnote w:type="continuationSeparator" w:id="0">
    <w:p w14:paraId="6EC15267" w14:textId="77777777" w:rsidR="00A2673E" w:rsidRDefault="00A2673E">
      <w:r>
        <w:continuationSeparator/>
      </w:r>
    </w:p>
  </w:footnote>
  <w:footnote w:type="continuationNotice" w:id="1">
    <w:p w14:paraId="0AEA3311" w14:textId="77777777" w:rsidR="00A2673E" w:rsidRDefault="00A267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9"/>
  </w:num>
  <w:num w:numId="4">
    <w:abstractNumId w:val="15"/>
  </w:num>
  <w:num w:numId="5">
    <w:abstractNumId w:val="11"/>
  </w:num>
  <w:num w:numId="6">
    <w:abstractNumId w:val="12"/>
  </w:num>
  <w:num w:numId="7">
    <w:abstractNumId w:val="10"/>
  </w:num>
  <w:num w:numId="8">
    <w:abstractNumId w:val="17"/>
  </w:num>
  <w:num w:numId="9">
    <w:abstractNumId w:val="7"/>
  </w:num>
  <w:num w:numId="10">
    <w:abstractNumId w:val="14"/>
  </w:num>
  <w:num w:numId="11">
    <w:abstractNumId w:val="13"/>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07CBF"/>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1EA"/>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550"/>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673"/>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3C8F"/>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017A"/>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4386"/>
    <w:rsid w:val="005056A6"/>
    <w:rsid w:val="005060DB"/>
    <w:rsid w:val="005064C6"/>
    <w:rsid w:val="00506B3B"/>
    <w:rsid w:val="00506DF8"/>
    <w:rsid w:val="00507590"/>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5DA"/>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87D"/>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359"/>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D1F"/>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2F44"/>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5322"/>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73E"/>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3FAD"/>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A34"/>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7E5"/>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D76"/>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867E-93BE-4353-AD8E-3C01B5BF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2</Pages>
  <Words>437</Words>
  <Characters>2494</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40</cp:revision>
  <cp:lastPrinted>2010-04-02T09:58:00Z</cp:lastPrinted>
  <dcterms:created xsi:type="dcterms:W3CDTF">2018-02-15T07:31:00Z</dcterms:created>
  <dcterms:modified xsi:type="dcterms:W3CDTF">2018-05-11T00:40:00Z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