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5B4ACC2D" w:rsidR="00892F08" w:rsidRDefault="00BC7BD4" w:rsidP="00892F08">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#92</w:t>
      </w:r>
      <w:r w:rsidR="007972EF">
        <w:rPr>
          <w:noProof w:val="0"/>
          <w:sz w:val="24"/>
          <w:szCs w:val="24"/>
        </w:rPr>
        <w:t>bis</w:t>
      </w:r>
      <w:r w:rsidRPr="2D0A3676">
        <w:rPr>
          <w:noProof w:val="0"/>
          <w:sz w:val="24"/>
          <w:szCs w:val="24"/>
        </w:rPr>
        <w:t xml:space="preserve"> </w:t>
      </w:r>
      <w:r w:rsidRPr="009C1427">
        <w:rPr>
          <w:bCs/>
          <w:noProof w:val="0"/>
          <w:sz w:val="24"/>
        </w:rPr>
        <w:tab/>
      </w:r>
      <w:r w:rsidR="00561123" w:rsidRPr="00561123">
        <w:rPr>
          <w:sz w:val="24"/>
          <w:szCs w:val="24"/>
        </w:rPr>
        <w:t>R1-1804762</w:t>
      </w:r>
    </w:p>
    <w:p w14:paraId="06196B30" w14:textId="41986C42" w:rsidR="009B06A2" w:rsidRPr="009C1427" w:rsidRDefault="007972EF" w:rsidP="00892F08">
      <w:pPr>
        <w:pStyle w:val="Header"/>
        <w:tabs>
          <w:tab w:val="right" w:pos="9639"/>
        </w:tabs>
        <w:rPr>
          <w:noProof w:val="0"/>
          <w:sz w:val="24"/>
          <w:szCs w:val="24"/>
        </w:rPr>
      </w:pPr>
      <w:r>
        <w:rPr>
          <w:noProof w:val="0"/>
          <w:sz w:val="24"/>
          <w:szCs w:val="24"/>
        </w:rPr>
        <w:t>Sanya</w:t>
      </w:r>
      <w:r w:rsidR="2D0A3676" w:rsidRPr="2D0A3676">
        <w:rPr>
          <w:noProof w:val="0"/>
          <w:sz w:val="24"/>
          <w:szCs w:val="24"/>
        </w:rPr>
        <w:t xml:space="preserve">, </w:t>
      </w:r>
      <w:r>
        <w:rPr>
          <w:noProof w:val="0"/>
          <w:sz w:val="24"/>
          <w:szCs w:val="24"/>
        </w:rPr>
        <w:t>China</w:t>
      </w:r>
      <w:r w:rsidR="2D0A3676" w:rsidRPr="2D0A3676">
        <w:rPr>
          <w:noProof w:val="0"/>
          <w:sz w:val="24"/>
          <w:szCs w:val="24"/>
        </w:rPr>
        <w:t xml:space="preserve">, </w:t>
      </w:r>
      <w:r>
        <w:rPr>
          <w:noProof w:val="0"/>
          <w:sz w:val="24"/>
          <w:szCs w:val="24"/>
        </w:rPr>
        <w:t>16</w:t>
      </w:r>
      <w:r w:rsidR="2D0A3676" w:rsidRPr="2D0A3676">
        <w:rPr>
          <w:noProof w:val="0"/>
          <w:sz w:val="24"/>
          <w:szCs w:val="24"/>
          <w:vertAlign w:val="superscript"/>
        </w:rPr>
        <w:t>th</w:t>
      </w:r>
      <w:r w:rsidR="2D0A3676" w:rsidRPr="2D0A3676">
        <w:rPr>
          <w:noProof w:val="0"/>
          <w:sz w:val="24"/>
          <w:szCs w:val="24"/>
        </w:rPr>
        <w:t xml:space="preserve"> </w:t>
      </w:r>
      <w:r w:rsidR="002A13A8">
        <w:rPr>
          <w:noProof w:val="0"/>
          <w:sz w:val="24"/>
          <w:szCs w:val="24"/>
        </w:rPr>
        <w:t>–</w:t>
      </w:r>
      <w:r w:rsidR="2D0A3676" w:rsidRPr="2D0A3676">
        <w:rPr>
          <w:noProof w:val="0"/>
          <w:sz w:val="24"/>
          <w:szCs w:val="24"/>
        </w:rPr>
        <w:t xml:space="preserve"> </w:t>
      </w:r>
      <w:r w:rsidR="002A13A8">
        <w:rPr>
          <w:noProof w:val="0"/>
          <w:sz w:val="24"/>
          <w:szCs w:val="24"/>
        </w:rPr>
        <w:t>2</w:t>
      </w:r>
      <w:r>
        <w:rPr>
          <w:noProof w:val="0"/>
          <w:sz w:val="24"/>
          <w:szCs w:val="24"/>
        </w:rPr>
        <w:t>0</w:t>
      </w:r>
      <w:r>
        <w:rPr>
          <w:noProof w:val="0"/>
          <w:sz w:val="24"/>
          <w:szCs w:val="24"/>
          <w:vertAlign w:val="superscript"/>
        </w:rPr>
        <w:t>th</w:t>
      </w:r>
      <w:r w:rsidR="2D0A3676" w:rsidRPr="2D0A3676">
        <w:rPr>
          <w:noProof w:val="0"/>
          <w:sz w:val="24"/>
          <w:szCs w:val="24"/>
        </w:rPr>
        <w:t xml:space="preserve"> </w:t>
      </w:r>
      <w:r w:rsidR="00965868">
        <w:rPr>
          <w:noProof w:val="0"/>
          <w:sz w:val="24"/>
          <w:szCs w:val="24"/>
        </w:rPr>
        <w:t>A</w:t>
      </w:r>
      <w:r>
        <w:rPr>
          <w:noProof w:val="0"/>
          <w:sz w:val="24"/>
          <w:szCs w:val="24"/>
        </w:rPr>
        <w:t>pril</w:t>
      </w:r>
      <w:r w:rsidR="2D0A3676" w:rsidRPr="2D0A3676">
        <w:rPr>
          <w:noProof w:val="0"/>
          <w:sz w:val="24"/>
          <w:szCs w:val="24"/>
        </w:rPr>
        <w:t xml:space="preserve"> 2018</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5A81E0AF">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267B26FA" w:rsidR="00BC7BD4" w:rsidRPr="009C1427" w:rsidRDefault="00BC7BD4" w:rsidP="2D0A367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E11538" w:rsidRPr="2D0A3676">
        <w:rPr>
          <w:noProof w:val="0"/>
          <w:sz w:val="24"/>
          <w:szCs w:val="24"/>
        </w:rPr>
        <w:t xml:space="preserve">On </w:t>
      </w:r>
      <w:r w:rsidR="001600F0" w:rsidRPr="2D0A3676">
        <w:rPr>
          <w:noProof w:val="0"/>
          <w:sz w:val="24"/>
          <w:szCs w:val="24"/>
        </w:rPr>
        <w:t xml:space="preserve">remaining </w:t>
      </w:r>
      <w:r w:rsidR="00FE6F2E">
        <w:rPr>
          <w:noProof w:val="0"/>
          <w:sz w:val="24"/>
          <w:szCs w:val="24"/>
        </w:rPr>
        <w:t>details</w:t>
      </w:r>
      <w:r w:rsidR="001600F0" w:rsidRPr="2D0A3676">
        <w:rPr>
          <w:noProof w:val="0"/>
          <w:sz w:val="24"/>
          <w:szCs w:val="24"/>
        </w:rPr>
        <w:t xml:space="preserve"> o</w:t>
      </w:r>
      <w:r w:rsidR="00A351DF">
        <w:rPr>
          <w:noProof w:val="0"/>
          <w:sz w:val="24"/>
          <w:szCs w:val="24"/>
        </w:rPr>
        <w:t>f</w:t>
      </w:r>
      <w:r w:rsidR="0036702F">
        <w:rPr>
          <w:noProof w:val="0"/>
          <w:sz w:val="24"/>
          <w:szCs w:val="24"/>
        </w:rPr>
        <w:t xml:space="preserve"> </w:t>
      </w:r>
      <w:r w:rsidR="001600F0" w:rsidRPr="2D0A3676">
        <w:rPr>
          <w:noProof w:val="0"/>
          <w:sz w:val="24"/>
          <w:szCs w:val="24"/>
        </w:rPr>
        <w:t>BWPs</w:t>
      </w:r>
    </w:p>
    <w:bookmarkEnd w:id="0"/>
    <w:bookmarkEnd w:id="1"/>
    <w:p w14:paraId="12916ABB" w14:textId="1CD13D7B" w:rsidR="00787640" w:rsidRPr="009C1427" w:rsidRDefault="00BC7BD4" w:rsidP="2D0A367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B57459" w:rsidRPr="00B57459">
        <w:rPr>
          <w:rFonts w:cs="Arial"/>
          <w:b/>
          <w:bCs/>
          <w:sz w:val="24"/>
          <w:szCs w:val="24"/>
          <w:lang w:val="en-US"/>
        </w:rPr>
        <w:t>1.</w:t>
      </w:r>
      <w:r w:rsidR="00B868A9" w:rsidRPr="00B57459">
        <w:rPr>
          <w:rFonts w:cs="Arial"/>
          <w:b/>
          <w:bCs/>
          <w:sz w:val="24"/>
          <w:szCs w:val="24"/>
          <w:lang w:val="en-US"/>
        </w:rPr>
        <w:t>3.4.1.</w:t>
      </w:r>
      <w:r w:rsidR="001600F0" w:rsidRPr="009C1427">
        <w:rPr>
          <w:rFonts w:cs="Arial"/>
          <w:b/>
          <w:bCs/>
          <w:sz w:val="24"/>
          <w:lang w:val="en-US"/>
        </w:rPr>
        <w:tab/>
      </w:r>
    </w:p>
    <w:p w14:paraId="6FB8491E" w14:textId="48940899" w:rsidR="0034111C" w:rsidRPr="005D49C0" w:rsidRDefault="00787640" w:rsidP="5A81E0AF">
      <w:pPr>
        <w:tabs>
          <w:tab w:val="left" w:pos="1985"/>
        </w:tabs>
        <w:spacing w:line="360" w:lineRule="auto"/>
        <w:rPr>
          <w:rFonts w:ascii="Arial" w:hAnsi="Arial" w:cs="Arial"/>
          <w:b/>
          <w:bCs/>
          <w:sz w:val="24"/>
          <w:szCs w:val="24"/>
          <w:lang w:val="en-GB"/>
        </w:rPr>
      </w:pPr>
      <w:r w:rsidRPr="2D0A3676">
        <w:rPr>
          <w:rFonts w:ascii="Arial" w:hAnsi="Arial" w:cs="Arial"/>
          <w:b/>
          <w:bCs/>
          <w:sz w:val="24"/>
          <w:szCs w:val="24"/>
          <w:lang w:val="en-GB"/>
        </w:rPr>
        <w:t xml:space="preserve">Document </w:t>
      </w:r>
      <w:r w:rsidRPr="005D49C0">
        <w:rPr>
          <w:rFonts w:ascii="Arial" w:hAnsi="Arial" w:cs="Arial"/>
          <w:b/>
          <w:bCs/>
          <w:sz w:val="24"/>
          <w:lang w:val="en-GB"/>
        </w:rPr>
        <w:tab/>
      </w:r>
      <w:r w:rsidRPr="005D49C0">
        <w:rPr>
          <w:rFonts w:ascii="Arial" w:hAnsi="Arial" w:cs="Arial"/>
          <w:b/>
          <w:bCs/>
          <w:sz w:val="24"/>
          <w:lang w:val="en-GB"/>
        </w:rPr>
        <w:tab/>
      </w:r>
      <w:r w:rsidRPr="5A81E0AF">
        <w:rPr>
          <w:rFonts w:ascii="Arial" w:hAnsi="Arial" w:cs="Arial"/>
          <w:b/>
          <w:bCs/>
          <w:sz w:val="24"/>
          <w:szCs w:val="24"/>
          <w:lang w:val="en-GB"/>
        </w:rPr>
        <w:t>Discussion and Decision</w:t>
      </w:r>
      <w:r w:rsidR="2D0A3676" w:rsidRPr="2D0A3676">
        <w:rPr>
          <w:rFonts w:ascii="Arial" w:hAnsi="Arial" w:cs="Arial"/>
          <w:b/>
          <w:bCs/>
          <w:sz w:val="24"/>
          <w:szCs w:val="24"/>
          <w:lang w:val="en-GB"/>
        </w:rPr>
        <w:t xml:space="preserve"> </w:t>
      </w:r>
    </w:p>
    <w:p w14:paraId="0BDA0527" w14:textId="5F920BB7" w:rsidR="0034111C" w:rsidRPr="009C1427" w:rsidRDefault="2D0A3676" w:rsidP="00DB43D5">
      <w:pPr>
        <w:pStyle w:val="Heading1"/>
      </w:pPr>
      <w:r>
        <w:t>Introduction</w:t>
      </w:r>
    </w:p>
    <w:p w14:paraId="17342BDB" w14:textId="77777777" w:rsidR="005A0B35" w:rsidRDefault="2D0A3676" w:rsidP="2D0A3676">
      <w:pPr>
        <w:spacing w:before="120" w:after="120"/>
        <w:jc w:val="both"/>
        <w:rPr>
          <w:rFonts w:ascii="Times New Roman"/>
          <w:sz w:val="20"/>
          <w:szCs w:val="20"/>
          <w:lang w:val="en-GB"/>
        </w:rPr>
      </w:pPr>
      <w:r w:rsidRPr="2D0A3676">
        <w:rPr>
          <w:rFonts w:ascii="Times New Roman"/>
          <w:sz w:val="20"/>
          <w:szCs w:val="20"/>
          <w:lang w:val="en-GB"/>
        </w:rPr>
        <w:t xml:space="preserve">In RAN1#91, it has been concluded that </w:t>
      </w:r>
    </w:p>
    <w:p w14:paraId="65A8986F" w14:textId="16F0425C" w:rsidR="005A0B35" w:rsidRPr="00D66C19" w:rsidRDefault="2D0A3676" w:rsidP="00D66C19">
      <w:pPr>
        <w:pStyle w:val="ListParagraph"/>
        <w:numPr>
          <w:ilvl w:val="0"/>
          <w:numId w:val="11"/>
        </w:numPr>
        <w:spacing w:before="120" w:after="120"/>
        <w:jc w:val="both"/>
        <w:rPr>
          <w:rFonts w:ascii="Times New Roman"/>
          <w:i/>
          <w:iCs/>
          <w:sz w:val="20"/>
          <w:szCs w:val="20"/>
          <w:lang w:val="en-GB"/>
        </w:rPr>
      </w:pPr>
      <w:r w:rsidRPr="69F1F06E">
        <w:rPr>
          <w:rFonts w:ascii="Times New Roman"/>
          <w:i/>
          <w:iCs/>
          <w:sz w:val="20"/>
          <w:szCs w:val="20"/>
          <w:lang w:val="en-GB"/>
        </w:rPr>
        <w:t>remaining details of default BWP timer are discussed in RAN2</w:t>
      </w:r>
    </w:p>
    <w:p w14:paraId="1A2E8F7A" w14:textId="3AD1AB97" w:rsidR="005A0B35" w:rsidRPr="00D66C19" w:rsidRDefault="2D0A3676" w:rsidP="00D66C19">
      <w:pPr>
        <w:pStyle w:val="ListParagraph"/>
        <w:numPr>
          <w:ilvl w:val="0"/>
          <w:numId w:val="11"/>
        </w:numPr>
        <w:spacing w:before="120" w:after="120"/>
        <w:jc w:val="both"/>
        <w:rPr>
          <w:rFonts w:ascii="Times New Roman"/>
          <w:i/>
          <w:iCs/>
          <w:sz w:val="20"/>
          <w:szCs w:val="20"/>
          <w:lang w:val="en-GB"/>
        </w:rPr>
      </w:pPr>
      <w:r w:rsidRPr="69F1F06E">
        <w:rPr>
          <w:rFonts w:ascii="Times New Roman"/>
          <w:i/>
          <w:iCs/>
          <w:sz w:val="20"/>
          <w:szCs w:val="20"/>
          <w:lang w:val="en-GB"/>
        </w:rPr>
        <w:t>transition times due to BWP switching are discussed in RAN4</w:t>
      </w:r>
    </w:p>
    <w:p w14:paraId="518A7990" w14:textId="77777777" w:rsidR="005A0B35" w:rsidRPr="005A0B35" w:rsidRDefault="005A0B35" w:rsidP="005A0B35">
      <w:pPr>
        <w:pStyle w:val="ListParagraph"/>
        <w:spacing w:before="120" w:after="120"/>
        <w:jc w:val="both"/>
        <w:rPr>
          <w:rFonts w:ascii="Times New Roman"/>
          <w:sz w:val="20"/>
          <w:szCs w:val="20"/>
          <w:lang w:val="en-GB"/>
        </w:rPr>
      </w:pPr>
    </w:p>
    <w:p w14:paraId="3321DD6F" w14:textId="06B6457D" w:rsidR="001600F0" w:rsidRDefault="2D0A3676" w:rsidP="2D0A3676">
      <w:pPr>
        <w:spacing w:before="120" w:after="120"/>
        <w:jc w:val="both"/>
        <w:rPr>
          <w:rFonts w:ascii="Times New Roman"/>
          <w:sz w:val="20"/>
          <w:szCs w:val="20"/>
          <w:lang w:val="en-GB"/>
        </w:rPr>
      </w:pPr>
      <w:r w:rsidRPr="2D0A3676">
        <w:rPr>
          <w:rFonts w:ascii="Times New Roman"/>
          <w:sz w:val="20"/>
          <w:szCs w:val="20"/>
          <w:lang w:val="en-GB"/>
        </w:rPr>
        <w:t xml:space="preserve">The remaining aspects to </w:t>
      </w:r>
      <w:r w:rsidR="009A2987">
        <w:rPr>
          <w:rFonts w:ascii="Times New Roman"/>
          <w:sz w:val="20"/>
          <w:szCs w:val="20"/>
          <w:lang w:val="en-GB"/>
        </w:rPr>
        <w:t xml:space="preserve">be </w:t>
      </w:r>
      <w:r w:rsidRPr="2D0A3676">
        <w:rPr>
          <w:rFonts w:ascii="Times New Roman"/>
          <w:sz w:val="20"/>
          <w:szCs w:val="20"/>
          <w:lang w:val="en-GB"/>
        </w:rPr>
        <w:t>discuss</w:t>
      </w:r>
      <w:r w:rsidR="009A2987">
        <w:rPr>
          <w:rFonts w:ascii="Times New Roman"/>
          <w:sz w:val="20"/>
          <w:szCs w:val="20"/>
          <w:lang w:val="en-GB"/>
        </w:rPr>
        <w:t>ed</w:t>
      </w:r>
      <w:r w:rsidRPr="2D0A3676">
        <w:rPr>
          <w:rFonts w:ascii="Times New Roman"/>
          <w:sz w:val="20"/>
          <w:szCs w:val="20"/>
          <w:lang w:val="en-GB"/>
        </w:rPr>
        <w:t xml:space="preserve"> in RAN1 </w:t>
      </w:r>
      <w:r w:rsidR="000B35CB">
        <w:rPr>
          <w:rFonts w:ascii="Times New Roman"/>
          <w:sz w:val="20"/>
          <w:szCs w:val="20"/>
          <w:lang w:val="en-GB"/>
        </w:rPr>
        <w:t>aiming R15 completion are:</w:t>
      </w:r>
      <w:r w:rsidRPr="2D0A3676">
        <w:rPr>
          <w:rFonts w:ascii="Times New Roman"/>
          <w:sz w:val="20"/>
          <w:szCs w:val="20"/>
          <w:lang w:val="en-GB"/>
        </w:rPr>
        <w:t xml:space="preserve"> </w:t>
      </w:r>
    </w:p>
    <w:p w14:paraId="4AEC1D34" w14:textId="7BFBFF97" w:rsidR="007C268E" w:rsidRPr="00D66C19" w:rsidRDefault="009A2987"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Pr>
          <w:rFonts w:ascii="Times New Roman"/>
          <w:i/>
          <w:iCs/>
          <w:sz w:val="20"/>
          <w:szCs w:val="20"/>
          <w:lang w:val="en-GB" w:eastAsia="fi-FI"/>
        </w:rPr>
        <w:t>Design of BWP switching DCI</w:t>
      </w:r>
    </w:p>
    <w:p w14:paraId="4C9E3AB4" w14:textId="67181F27" w:rsidR="008E440E" w:rsidRDefault="2D0A3676"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sidRPr="69F1F06E">
        <w:rPr>
          <w:rFonts w:ascii="Times New Roman"/>
          <w:i/>
          <w:iCs/>
          <w:sz w:val="20"/>
          <w:szCs w:val="20"/>
          <w:lang w:val="en-GB" w:eastAsia="fi-FI"/>
        </w:rPr>
        <w:t xml:space="preserve">Aspects of HARQ-ACK transmission during/after UL BWP switching </w:t>
      </w:r>
    </w:p>
    <w:p w14:paraId="237002DF" w14:textId="0DAF2167" w:rsidR="002A13A8" w:rsidRDefault="009A2987"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bookmarkStart w:id="2" w:name="_Hlk505964763"/>
      <w:r>
        <w:rPr>
          <w:rFonts w:ascii="Times New Roman"/>
          <w:i/>
          <w:iCs/>
          <w:sz w:val="20"/>
          <w:szCs w:val="20"/>
          <w:lang w:val="en-GB" w:eastAsia="fi-FI"/>
        </w:rPr>
        <w:t xml:space="preserve">Fast </w:t>
      </w:r>
      <w:r w:rsidR="002A13A8">
        <w:rPr>
          <w:rFonts w:ascii="Times New Roman"/>
          <w:i/>
          <w:iCs/>
          <w:sz w:val="20"/>
          <w:szCs w:val="20"/>
          <w:lang w:val="en-GB" w:eastAsia="fi-FI"/>
        </w:rPr>
        <w:t xml:space="preserve">CSI </w:t>
      </w:r>
      <w:r>
        <w:rPr>
          <w:rFonts w:ascii="Times New Roman"/>
          <w:i/>
          <w:iCs/>
          <w:sz w:val="20"/>
          <w:szCs w:val="20"/>
          <w:lang w:val="en-GB" w:eastAsia="fi-FI"/>
        </w:rPr>
        <w:t>acquisition after BWP switch</w:t>
      </w:r>
    </w:p>
    <w:bookmarkEnd w:id="2"/>
    <w:p w14:paraId="5F74A1D8" w14:textId="338FBD8B" w:rsidR="00D719C9" w:rsidRDefault="007972EF" w:rsidP="00D66C19">
      <w:pPr>
        <w:pStyle w:val="ListParagraph"/>
        <w:numPr>
          <w:ilvl w:val="0"/>
          <w:numId w:val="9"/>
        </w:numPr>
        <w:tabs>
          <w:tab w:val="left" w:pos="1080"/>
          <w:tab w:val="left" w:pos="1440"/>
        </w:tabs>
        <w:spacing w:after="0" w:line="240" w:lineRule="auto"/>
        <w:textAlignment w:val="baseline"/>
        <w:rPr>
          <w:rFonts w:ascii="Times New Roman"/>
          <w:i/>
          <w:iCs/>
          <w:sz w:val="20"/>
          <w:szCs w:val="20"/>
          <w:lang w:val="en-GB" w:eastAsia="fi-FI"/>
        </w:rPr>
      </w:pPr>
      <w:r>
        <w:rPr>
          <w:rFonts w:ascii="Times New Roman"/>
          <w:i/>
          <w:iCs/>
          <w:sz w:val="20"/>
          <w:szCs w:val="20"/>
          <w:lang w:val="en-GB" w:eastAsia="fi-FI"/>
        </w:rPr>
        <w:t>R</w:t>
      </w:r>
      <w:r w:rsidR="009A2987">
        <w:rPr>
          <w:rFonts w:ascii="Times New Roman"/>
          <w:i/>
          <w:iCs/>
          <w:sz w:val="20"/>
          <w:szCs w:val="20"/>
          <w:lang w:val="en-GB" w:eastAsia="fi-FI"/>
        </w:rPr>
        <w:t>eference point A configuration</w:t>
      </w:r>
    </w:p>
    <w:p w14:paraId="39FC49E7" w14:textId="77777777" w:rsidR="008B264C" w:rsidRPr="00D66C19" w:rsidRDefault="008B264C" w:rsidP="008B264C">
      <w:pPr>
        <w:pStyle w:val="ListParagraph"/>
        <w:tabs>
          <w:tab w:val="left" w:pos="1080"/>
          <w:tab w:val="left" w:pos="1440"/>
        </w:tabs>
        <w:spacing w:after="0" w:line="240" w:lineRule="auto"/>
        <w:textAlignment w:val="baseline"/>
        <w:rPr>
          <w:rFonts w:ascii="Times New Roman"/>
          <w:i/>
          <w:iCs/>
          <w:sz w:val="20"/>
          <w:szCs w:val="20"/>
          <w:lang w:val="en-GB" w:eastAsia="fi-FI"/>
        </w:rPr>
      </w:pPr>
    </w:p>
    <w:p w14:paraId="06869A7A" w14:textId="1F74BF91" w:rsidR="000B442C" w:rsidRPr="000B35CB" w:rsidRDefault="2D0A3676" w:rsidP="00626666">
      <w:pPr>
        <w:pStyle w:val="Heading1"/>
      </w:pPr>
      <w:r>
        <w:t>Remaining aspects of BWPs</w:t>
      </w:r>
      <w:bookmarkStart w:id="3" w:name="OLE_LINK13"/>
      <w:bookmarkStart w:id="4" w:name="OLE_LINK14"/>
    </w:p>
    <w:p w14:paraId="512C76A3" w14:textId="2FA6C7F1" w:rsidR="001600F0" w:rsidRPr="00B20742" w:rsidRDefault="2D0A3676" w:rsidP="00DB43D5">
      <w:pPr>
        <w:pStyle w:val="Heading2"/>
      </w:pPr>
      <w:r>
        <w:t xml:space="preserve">On </w:t>
      </w:r>
      <w:r w:rsidR="006529E4">
        <w:t>design of BWP switching DCI</w:t>
      </w:r>
    </w:p>
    <w:p w14:paraId="4568DE35" w14:textId="0057C307" w:rsidR="00B10D1A" w:rsidRPr="000D330F" w:rsidRDefault="000D12F4" w:rsidP="00B10D1A">
      <w:pPr>
        <w:jc w:val="both"/>
        <w:rPr>
          <w:rFonts w:ascii="Times New Roman" w:eastAsia="Times New Roman" w:hAnsi="Times New Roman" w:cs="Times New Roman"/>
          <w:sz w:val="20"/>
        </w:rPr>
      </w:pPr>
      <w:r w:rsidRPr="000D330F">
        <w:rPr>
          <w:rFonts w:ascii="Times New Roman" w:eastAsia="Times New Roman" w:hAnsi="Times New Roman" w:cs="Times New Roman"/>
          <w:sz w:val="20"/>
        </w:rPr>
        <w:t>The support of</w:t>
      </w:r>
      <w:r w:rsidR="00B10D1A" w:rsidRPr="000D330F">
        <w:rPr>
          <w:rFonts w:ascii="Times New Roman" w:eastAsia="Times New Roman" w:hAnsi="Times New Roman" w:cs="Times New Roman"/>
          <w:sz w:val="20"/>
        </w:rPr>
        <w:t xml:space="preserve"> zero-RA scheduling DCI for BWP switching</w:t>
      </w:r>
      <w:r w:rsidRPr="000D330F">
        <w:rPr>
          <w:rFonts w:ascii="Times New Roman" w:eastAsia="Times New Roman" w:hAnsi="Times New Roman" w:cs="Times New Roman"/>
          <w:sz w:val="20"/>
        </w:rPr>
        <w:t xml:space="preserve"> has been discussed for several meetings</w:t>
      </w:r>
      <w:r w:rsidR="00B10D1A" w:rsidRPr="000D330F">
        <w:rPr>
          <w:rFonts w:ascii="Times New Roman" w:eastAsia="Times New Roman" w:hAnsi="Times New Roman" w:cs="Times New Roman"/>
          <w:sz w:val="20"/>
        </w:rPr>
        <w:t xml:space="preserve">. </w:t>
      </w:r>
      <w:r w:rsidRPr="000D330F">
        <w:rPr>
          <w:rFonts w:ascii="Times New Roman" w:eastAsia="Times New Roman" w:hAnsi="Times New Roman" w:cs="Times New Roman"/>
          <w:sz w:val="20"/>
        </w:rPr>
        <w:t>A</w:t>
      </w:r>
      <w:r w:rsidR="00B10D1A" w:rsidRPr="000D330F">
        <w:rPr>
          <w:rFonts w:ascii="Times New Roman" w:eastAsia="Times New Roman" w:hAnsi="Times New Roman" w:cs="Times New Roman"/>
          <w:sz w:val="20"/>
        </w:rPr>
        <w:t xml:space="preserve"> </w:t>
      </w:r>
      <w:r w:rsidRPr="000D330F">
        <w:rPr>
          <w:rFonts w:ascii="Times New Roman" w:eastAsia="Times New Roman" w:hAnsi="Times New Roman" w:cs="Times New Roman"/>
          <w:sz w:val="20"/>
        </w:rPr>
        <w:t xml:space="preserve">scheduling </w:t>
      </w:r>
      <w:r w:rsidR="00B10D1A" w:rsidRPr="000D330F">
        <w:rPr>
          <w:rFonts w:ascii="Times New Roman" w:eastAsia="Times New Roman" w:hAnsi="Times New Roman" w:cs="Times New Roman"/>
          <w:sz w:val="20"/>
        </w:rPr>
        <w:t xml:space="preserve">DCI is designed for non-zero-RA scheduling as the normal case. </w:t>
      </w:r>
      <w:r w:rsidR="00626666" w:rsidRPr="000D330F">
        <w:rPr>
          <w:rFonts w:ascii="Times New Roman" w:eastAsia="Times New Roman" w:hAnsi="Times New Roman" w:cs="Times New Roman"/>
          <w:sz w:val="20"/>
        </w:rPr>
        <w:t>Therefore</w:t>
      </w:r>
      <w:r w:rsidR="00B10D1A" w:rsidRPr="000D330F">
        <w:rPr>
          <w:rFonts w:ascii="Times New Roman" w:eastAsia="Times New Roman" w:hAnsi="Times New Roman" w:cs="Times New Roman"/>
          <w:sz w:val="20"/>
        </w:rPr>
        <w:t>, if we want to use zero-RA scheduling DCI, some specific state should be found to represent the zero-RA. With type 0 RA, zero-RA can be configured by setting all the bit</w:t>
      </w:r>
      <w:r w:rsidR="00626666" w:rsidRPr="000D330F">
        <w:rPr>
          <w:rFonts w:ascii="Times New Roman" w:eastAsia="Times New Roman" w:hAnsi="Times New Roman" w:cs="Times New Roman"/>
          <w:sz w:val="20"/>
        </w:rPr>
        <w:t>s</w:t>
      </w:r>
      <w:r w:rsidR="00B10D1A" w:rsidRPr="000D330F">
        <w:rPr>
          <w:rFonts w:ascii="Times New Roman" w:eastAsia="Times New Roman" w:hAnsi="Times New Roman" w:cs="Times New Roman"/>
          <w:sz w:val="20"/>
        </w:rPr>
        <w:t xml:space="preserve"> </w:t>
      </w:r>
      <w:r w:rsidR="00626666" w:rsidRPr="000D330F">
        <w:rPr>
          <w:rFonts w:ascii="Times New Roman" w:eastAsia="Times New Roman" w:hAnsi="Times New Roman" w:cs="Times New Roman"/>
          <w:sz w:val="20"/>
        </w:rPr>
        <w:t xml:space="preserve">to </w:t>
      </w:r>
      <w:r w:rsidR="00B10D1A" w:rsidRPr="000D330F">
        <w:rPr>
          <w:rFonts w:ascii="Times New Roman" w:eastAsia="Times New Roman" w:hAnsi="Times New Roman" w:cs="Times New Roman"/>
          <w:sz w:val="20"/>
        </w:rPr>
        <w:t>0 in the bitmap for RA in frequency domain.</w:t>
      </w:r>
      <w:r w:rsidRPr="000D330F">
        <w:rPr>
          <w:rFonts w:ascii="Times New Roman" w:eastAsia="Times New Roman" w:hAnsi="Times New Roman" w:cs="Times New Roman"/>
          <w:sz w:val="20"/>
        </w:rPr>
        <w:t xml:space="preserve"> With type 1 RA</w:t>
      </w:r>
      <w:r w:rsidR="00B10D1A" w:rsidRPr="000D330F">
        <w:rPr>
          <w:rFonts w:ascii="Times New Roman" w:eastAsia="Times New Roman" w:hAnsi="Times New Roman" w:cs="Times New Roman"/>
          <w:sz w:val="20"/>
        </w:rPr>
        <w:t xml:space="preserve">, the length in terms of contiguously allocated </w:t>
      </w:r>
      <w:r w:rsidR="00626666" w:rsidRPr="000D330F">
        <w:rPr>
          <w:rFonts w:ascii="Times New Roman" w:eastAsia="Times New Roman" w:hAnsi="Times New Roman" w:cs="Times New Roman"/>
          <w:sz w:val="20"/>
        </w:rPr>
        <w:t xml:space="preserve">virtual </w:t>
      </w:r>
      <w:r w:rsidR="00B10D1A" w:rsidRPr="000D330F">
        <w:rPr>
          <w:rFonts w:ascii="Times New Roman" w:eastAsia="Times New Roman" w:hAnsi="Times New Roman" w:cs="Times New Roman"/>
          <w:sz w:val="20"/>
        </w:rPr>
        <w:t xml:space="preserve">resource blocks </w:t>
      </w:r>
      <w:r w:rsidR="00B10D1A" w:rsidRPr="000D330F">
        <w:rPr>
          <w:rFonts w:ascii="Times New Roman" w:hAnsi="Times New Roman" w:cs="Times New Roman"/>
          <w:color w:val="000000"/>
          <w:position w:val="-10"/>
          <w:sz w:val="20"/>
          <w:lang w:eastAsia="en-GB"/>
        </w:rPr>
        <w:object w:dxaOrig="440" w:dyaOrig="300" w14:anchorId="34303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4" o:title=""/>
          </v:shape>
          <o:OLEObject Type="Embed" ProgID="Equation.3" ShapeID="_x0000_i1025" DrawAspect="Content" ObjectID="_1584550721" r:id="rId15"/>
        </w:object>
      </w:r>
      <w:r w:rsidR="00B10D1A" w:rsidRPr="000D330F">
        <w:rPr>
          <w:rFonts w:ascii="Times New Roman" w:eastAsia="Times New Roman" w:hAnsi="Times New Roman" w:cs="Times New Roman"/>
          <w:sz w:val="20"/>
        </w:rPr>
        <w:t xml:space="preserve"> </w:t>
      </w:r>
      <w:r w:rsidRPr="000D330F">
        <w:rPr>
          <w:rFonts w:ascii="Times New Roman" w:eastAsia="Times New Roman" w:hAnsi="Times New Roman" w:cs="Times New Roman"/>
          <w:sz w:val="20"/>
        </w:rPr>
        <w:t>can</w:t>
      </w:r>
      <w:r w:rsidR="00B10D1A" w:rsidRPr="000D330F">
        <w:rPr>
          <w:rFonts w:ascii="Times New Roman" w:eastAsia="Times New Roman" w:hAnsi="Times New Roman" w:cs="Times New Roman"/>
          <w:sz w:val="20"/>
        </w:rPr>
        <w:t xml:space="preserve">not be 0, </w:t>
      </w:r>
      <w:r w:rsidRPr="000D330F">
        <w:rPr>
          <w:rFonts w:ascii="Times New Roman" w:eastAsia="Times New Roman" w:hAnsi="Times New Roman" w:cs="Times New Roman"/>
          <w:sz w:val="20"/>
        </w:rPr>
        <w:t>however a state of all ones could be used, because it is a reserved state for all supported BWP sizes in R15</w:t>
      </w:r>
      <w:r w:rsidR="00B10D1A" w:rsidRPr="000D330F">
        <w:rPr>
          <w:rFonts w:ascii="Times New Roman" w:eastAsia="Times New Roman" w:hAnsi="Times New Roman" w:cs="Times New Roman"/>
          <w:sz w:val="20"/>
        </w:rPr>
        <w:t>.</w:t>
      </w:r>
      <w:r w:rsidRPr="000D330F">
        <w:rPr>
          <w:rFonts w:ascii="Times New Roman" w:eastAsia="Times New Roman" w:hAnsi="Times New Roman" w:cs="Times New Roman"/>
          <w:sz w:val="20"/>
        </w:rPr>
        <w:t xml:space="preserve"> The time-domain resource allocation signals a row in a preconfigured table, where each row is consisting of a combination K0, SLIV and DMRS TYPE. Therefore, the reserved state is not always available. Observations are s</w:t>
      </w:r>
      <w:r w:rsidR="00B10D1A" w:rsidRPr="000D330F">
        <w:rPr>
          <w:rFonts w:ascii="Times New Roman" w:eastAsia="Times New Roman" w:hAnsi="Times New Roman" w:cs="Times New Roman"/>
          <w:sz w:val="20"/>
        </w:rPr>
        <w:t xml:space="preserve">ummarized in Table 1. </w:t>
      </w:r>
    </w:p>
    <w:p w14:paraId="41E11104" w14:textId="1EE096D3" w:rsidR="00B10D1A" w:rsidRPr="00B10D1A" w:rsidRDefault="00B10D1A" w:rsidP="00B10D1A">
      <w:pPr>
        <w:jc w:val="center"/>
        <w:rPr>
          <w:rFonts w:ascii="Times New Roman" w:hAnsi="Times New Roman" w:cs="Times New Roman"/>
        </w:rPr>
      </w:pPr>
      <w:r>
        <w:rPr>
          <w:rFonts w:ascii="Times New Roman" w:hAnsi="Times New Roman" w:cs="Times New Roman" w:hint="eastAsia"/>
        </w:rPr>
        <w:t>Table 1. summary of RA used for zero-RA</w:t>
      </w:r>
    </w:p>
    <w:tbl>
      <w:tblPr>
        <w:tblStyle w:val="TableGrid"/>
        <w:tblW w:w="0" w:type="auto"/>
        <w:tblLook w:val="04A0" w:firstRow="1" w:lastRow="0" w:firstColumn="1" w:lastColumn="0" w:noHBand="0" w:noVBand="1"/>
      </w:tblPr>
      <w:tblGrid>
        <w:gridCol w:w="1838"/>
        <w:gridCol w:w="5670"/>
        <w:gridCol w:w="2121"/>
      </w:tblGrid>
      <w:tr w:rsidR="00B10D1A" w14:paraId="7CB5B8C0" w14:textId="77777777" w:rsidTr="00B10D1A">
        <w:tc>
          <w:tcPr>
            <w:tcW w:w="1838" w:type="dxa"/>
            <w:shd w:val="clear" w:color="auto" w:fill="FFE599" w:themeFill="accent4" w:themeFillTint="66"/>
          </w:tcPr>
          <w:p w14:paraId="28BF05AF" w14:textId="78DB43E9" w:rsidR="00B10D1A" w:rsidRPr="000D330F" w:rsidRDefault="00B10D1A" w:rsidP="00B10D1A">
            <w:pPr>
              <w:jc w:val="both"/>
              <w:rPr>
                <w:rFonts w:ascii="Times New Roman" w:hAnsi="Times New Roman" w:cs="Times New Roman"/>
                <w:sz w:val="20"/>
              </w:rPr>
            </w:pPr>
            <w:r w:rsidRPr="000D330F">
              <w:rPr>
                <w:rFonts w:ascii="Times New Roman" w:hAnsi="Times New Roman" w:cs="Times New Roman" w:hint="eastAsia"/>
                <w:sz w:val="20"/>
              </w:rPr>
              <w:t>RA type</w:t>
            </w:r>
          </w:p>
        </w:tc>
        <w:tc>
          <w:tcPr>
            <w:tcW w:w="5670" w:type="dxa"/>
            <w:shd w:val="clear" w:color="auto" w:fill="FFE599" w:themeFill="accent4" w:themeFillTint="66"/>
          </w:tcPr>
          <w:p w14:paraId="4349DA5F" w14:textId="1A68F1AF" w:rsidR="00B10D1A" w:rsidRPr="000D330F" w:rsidRDefault="00B10D1A" w:rsidP="00B10D1A">
            <w:pPr>
              <w:jc w:val="both"/>
              <w:rPr>
                <w:rFonts w:ascii="Times New Roman" w:hAnsi="Times New Roman" w:cs="Times New Roman"/>
                <w:sz w:val="20"/>
              </w:rPr>
            </w:pPr>
            <w:r w:rsidRPr="000D330F">
              <w:rPr>
                <w:rFonts w:ascii="Times New Roman" w:hAnsi="Times New Roman" w:cs="Times New Roman"/>
                <w:sz w:val="20"/>
              </w:rPr>
              <w:t>A</w:t>
            </w:r>
            <w:r w:rsidRPr="000D330F">
              <w:rPr>
                <w:rFonts w:ascii="Times New Roman" w:hAnsi="Times New Roman" w:cs="Times New Roman" w:hint="eastAsia"/>
                <w:sz w:val="20"/>
              </w:rPr>
              <w:t>nalysis</w:t>
            </w:r>
          </w:p>
        </w:tc>
        <w:tc>
          <w:tcPr>
            <w:tcW w:w="2121" w:type="dxa"/>
            <w:shd w:val="clear" w:color="auto" w:fill="FFE599" w:themeFill="accent4" w:themeFillTint="66"/>
          </w:tcPr>
          <w:p w14:paraId="034B5983" w14:textId="756227A8" w:rsidR="00B10D1A" w:rsidRPr="000D330F" w:rsidRDefault="00B10D1A" w:rsidP="00B10D1A">
            <w:pPr>
              <w:jc w:val="both"/>
              <w:rPr>
                <w:rFonts w:ascii="Times New Roman" w:hAnsi="Times New Roman" w:cs="Times New Roman"/>
                <w:sz w:val="20"/>
              </w:rPr>
            </w:pPr>
            <w:r w:rsidRPr="000D330F">
              <w:rPr>
                <w:rFonts w:ascii="Times New Roman" w:hAnsi="Times New Roman" w:cs="Times New Roman"/>
                <w:sz w:val="20"/>
              </w:rPr>
              <w:t>C</w:t>
            </w:r>
            <w:r w:rsidRPr="000D330F">
              <w:rPr>
                <w:rFonts w:ascii="Times New Roman" w:hAnsi="Times New Roman" w:cs="Times New Roman" w:hint="eastAsia"/>
                <w:sz w:val="20"/>
              </w:rPr>
              <w:t>onclusion</w:t>
            </w:r>
          </w:p>
        </w:tc>
      </w:tr>
      <w:tr w:rsidR="00B10D1A" w14:paraId="4EAC7F00" w14:textId="77777777" w:rsidTr="00B10D1A">
        <w:tc>
          <w:tcPr>
            <w:tcW w:w="1838" w:type="dxa"/>
          </w:tcPr>
          <w:p w14:paraId="2132056B" w14:textId="19AAEF51" w:rsidR="00B10D1A" w:rsidRPr="000D330F" w:rsidRDefault="00B10D1A" w:rsidP="00B10D1A">
            <w:pPr>
              <w:jc w:val="both"/>
              <w:rPr>
                <w:rFonts w:ascii="Times New Roman" w:hAnsi="Times New Roman" w:cs="Times New Roman"/>
                <w:b/>
                <w:sz w:val="20"/>
              </w:rPr>
            </w:pPr>
            <w:r w:rsidRPr="000D330F">
              <w:rPr>
                <w:rFonts w:ascii="Times New Roman" w:hAnsi="Times New Roman" w:cs="Times New Roman"/>
                <w:b/>
                <w:sz w:val="20"/>
              </w:rPr>
              <w:t>T</w:t>
            </w:r>
            <w:r w:rsidRPr="000D330F">
              <w:rPr>
                <w:rFonts w:ascii="Times New Roman" w:hAnsi="Times New Roman" w:cs="Times New Roman" w:hint="eastAsia"/>
                <w:b/>
                <w:sz w:val="20"/>
              </w:rPr>
              <w:t>ype</w:t>
            </w:r>
            <w:r w:rsidR="002B39EE" w:rsidRPr="000D330F">
              <w:rPr>
                <w:rFonts w:ascii="Times New Roman" w:hAnsi="Times New Roman" w:cs="Times New Roman"/>
                <w:b/>
                <w:sz w:val="20"/>
              </w:rPr>
              <w:t>-</w:t>
            </w:r>
            <w:r w:rsidRPr="000D330F">
              <w:rPr>
                <w:rFonts w:ascii="Times New Roman" w:hAnsi="Times New Roman" w:cs="Times New Roman"/>
                <w:b/>
                <w:sz w:val="20"/>
              </w:rPr>
              <w:t>0 RA</w:t>
            </w:r>
            <w:r w:rsidR="00633792" w:rsidRPr="000D330F">
              <w:rPr>
                <w:rFonts w:ascii="Times New Roman" w:hAnsi="Times New Roman" w:cs="Times New Roman"/>
                <w:b/>
                <w:sz w:val="20"/>
              </w:rPr>
              <w:t>, frequency domain</w:t>
            </w:r>
          </w:p>
        </w:tc>
        <w:tc>
          <w:tcPr>
            <w:tcW w:w="5670" w:type="dxa"/>
          </w:tcPr>
          <w:p w14:paraId="1706A5DA" w14:textId="49A959A4" w:rsidR="00B10D1A" w:rsidRPr="000D330F" w:rsidRDefault="00B10D1A" w:rsidP="00B10D1A">
            <w:pPr>
              <w:jc w:val="both"/>
              <w:rPr>
                <w:rFonts w:ascii="Times New Roman" w:hAnsi="Times New Roman" w:cs="Times New Roman"/>
                <w:sz w:val="20"/>
              </w:rPr>
            </w:pPr>
            <w:r w:rsidRPr="000D330F">
              <w:rPr>
                <w:rFonts w:ascii="Times New Roman" w:hAnsi="Times New Roman" w:cs="Times New Roman"/>
                <w:sz w:val="20"/>
              </w:rPr>
              <w:t xml:space="preserve">For RA in frequency domain, ‘0000…0000’ as </w:t>
            </w:r>
            <w:r w:rsidRPr="000D330F">
              <w:rPr>
                <w:rFonts w:ascii="Times New Roman" w:eastAsia="Times New Roman" w:hAnsi="Times New Roman" w:cs="Times New Roman"/>
                <w:sz w:val="20"/>
              </w:rPr>
              <w:t>the bitmap for RA</w:t>
            </w:r>
          </w:p>
        </w:tc>
        <w:tc>
          <w:tcPr>
            <w:tcW w:w="2121" w:type="dxa"/>
          </w:tcPr>
          <w:p w14:paraId="751556B6" w14:textId="492C18DE" w:rsidR="00B10D1A" w:rsidRPr="000D330F" w:rsidRDefault="00684B77" w:rsidP="00B10D1A">
            <w:pPr>
              <w:jc w:val="both"/>
              <w:rPr>
                <w:rFonts w:ascii="Times New Roman" w:hAnsi="Times New Roman" w:cs="Times New Roman"/>
                <w:sz w:val="20"/>
                <w:highlight w:val="green"/>
              </w:rPr>
            </w:pPr>
            <w:r w:rsidRPr="000D330F">
              <w:rPr>
                <w:rFonts w:ascii="Times New Roman" w:hAnsi="Times New Roman" w:cs="Times New Roman"/>
                <w:sz w:val="20"/>
                <w:highlight w:val="green"/>
              </w:rPr>
              <w:t>Possible</w:t>
            </w:r>
          </w:p>
        </w:tc>
      </w:tr>
      <w:tr w:rsidR="00B10D1A" w14:paraId="510D9872" w14:textId="77777777" w:rsidTr="00B10D1A">
        <w:tc>
          <w:tcPr>
            <w:tcW w:w="1838" w:type="dxa"/>
          </w:tcPr>
          <w:p w14:paraId="4A90F8A5" w14:textId="45626ABC" w:rsidR="00B10D1A" w:rsidRPr="000D330F" w:rsidRDefault="00B10D1A" w:rsidP="00B10D1A">
            <w:pPr>
              <w:jc w:val="both"/>
              <w:rPr>
                <w:rFonts w:ascii="Times New Roman" w:hAnsi="Times New Roman" w:cs="Times New Roman"/>
                <w:b/>
                <w:sz w:val="20"/>
              </w:rPr>
            </w:pPr>
            <w:r w:rsidRPr="000D330F">
              <w:rPr>
                <w:rFonts w:ascii="Times New Roman" w:hAnsi="Times New Roman" w:cs="Times New Roman" w:hint="eastAsia"/>
                <w:b/>
                <w:sz w:val="20"/>
              </w:rPr>
              <w:t>Type</w:t>
            </w:r>
            <w:r w:rsidR="002B39EE" w:rsidRPr="000D330F">
              <w:rPr>
                <w:rFonts w:ascii="Times New Roman" w:hAnsi="Times New Roman" w:cs="Times New Roman"/>
                <w:b/>
                <w:sz w:val="20"/>
              </w:rPr>
              <w:t>-</w:t>
            </w:r>
            <w:r w:rsidRPr="000D330F">
              <w:rPr>
                <w:rFonts w:ascii="Times New Roman" w:hAnsi="Times New Roman" w:cs="Times New Roman" w:hint="eastAsia"/>
                <w:b/>
                <w:sz w:val="20"/>
              </w:rPr>
              <w:t>1RA</w:t>
            </w:r>
            <w:r w:rsidRPr="000D330F">
              <w:rPr>
                <w:rFonts w:ascii="Times New Roman" w:hAnsi="Times New Roman" w:cs="Times New Roman"/>
                <w:b/>
                <w:sz w:val="20"/>
              </w:rPr>
              <w:t>, frequency domain</w:t>
            </w:r>
          </w:p>
        </w:tc>
        <w:tc>
          <w:tcPr>
            <w:tcW w:w="5670" w:type="dxa"/>
          </w:tcPr>
          <w:p w14:paraId="06736FAF" w14:textId="77777777" w:rsidR="00B10D1A" w:rsidRPr="000D330F" w:rsidRDefault="00B10D1A" w:rsidP="00B10D1A">
            <w:pPr>
              <w:ind w:firstLine="284"/>
              <w:rPr>
                <w:color w:val="000000"/>
                <w:sz w:val="20"/>
              </w:rPr>
            </w:pPr>
            <w:r w:rsidRPr="000D330F">
              <w:rPr>
                <w:color w:val="000000"/>
                <w:sz w:val="20"/>
              </w:rPr>
              <w:t xml:space="preserve">if </w:t>
            </w:r>
            <w:r w:rsidRPr="000D330F">
              <w:rPr>
                <w:color w:val="000000"/>
                <w:position w:val="-10"/>
                <w:sz w:val="20"/>
                <w:lang w:eastAsia="en-GB"/>
              </w:rPr>
              <w:object w:dxaOrig="1939" w:dyaOrig="400" w14:anchorId="19F87976">
                <v:shape id="_x0000_i1026" type="#_x0000_t75" style="width:96pt;height:18pt" o:ole="">
                  <v:imagedata r:id="rId16" o:title=""/>
                </v:shape>
                <o:OLEObject Type="Embed" ProgID="Equation.3" ShapeID="_x0000_i1026" DrawAspect="Content" ObjectID="_1584550722" r:id="rId17"/>
              </w:object>
            </w:r>
            <w:r w:rsidRPr="000D330F">
              <w:rPr>
                <w:color w:val="000000"/>
                <w:sz w:val="20"/>
              </w:rPr>
              <w:t xml:space="preserve"> then</w:t>
            </w:r>
          </w:p>
          <w:p w14:paraId="159038C9" w14:textId="77777777" w:rsidR="00B10D1A" w:rsidRPr="000D330F" w:rsidRDefault="00B10D1A" w:rsidP="00B10D1A">
            <w:pPr>
              <w:ind w:left="284" w:firstLine="284"/>
              <w:rPr>
                <w:color w:val="000000"/>
                <w:sz w:val="20"/>
              </w:rPr>
            </w:pPr>
            <w:r w:rsidRPr="000D330F">
              <w:rPr>
                <w:color w:val="000000"/>
                <w:position w:val="-10"/>
                <w:sz w:val="20"/>
                <w:lang w:eastAsia="en-GB"/>
              </w:rPr>
              <w:object w:dxaOrig="2620" w:dyaOrig="340" w14:anchorId="6C585C10">
                <v:shape id="_x0000_i1027" type="#_x0000_t75" style="width:132pt;height:18pt" o:ole="">
                  <v:imagedata r:id="rId18" o:title=""/>
                </v:shape>
                <o:OLEObject Type="Embed" ProgID="Equation.3" ShapeID="_x0000_i1027" DrawAspect="Content" ObjectID="_1584550723" r:id="rId19"/>
              </w:object>
            </w:r>
          </w:p>
          <w:p w14:paraId="58DF30F0" w14:textId="77777777" w:rsidR="00B10D1A" w:rsidRPr="000D330F" w:rsidRDefault="00B10D1A" w:rsidP="00B10D1A">
            <w:pPr>
              <w:ind w:firstLine="284"/>
              <w:rPr>
                <w:color w:val="000000"/>
                <w:sz w:val="20"/>
              </w:rPr>
            </w:pPr>
            <w:r w:rsidRPr="000D330F">
              <w:rPr>
                <w:color w:val="000000"/>
                <w:sz w:val="20"/>
              </w:rPr>
              <w:t xml:space="preserve">else </w:t>
            </w:r>
          </w:p>
          <w:p w14:paraId="056550B1" w14:textId="77777777" w:rsidR="00B10D1A" w:rsidRPr="000D330F" w:rsidRDefault="00B10D1A" w:rsidP="00B10D1A">
            <w:pPr>
              <w:ind w:left="284" w:firstLine="284"/>
              <w:rPr>
                <w:color w:val="000000"/>
                <w:sz w:val="20"/>
              </w:rPr>
            </w:pPr>
            <w:r w:rsidRPr="000D330F">
              <w:rPr>
                <w:color w:val="000000"/>
                <w:position w:val="-10"/>
                <w:sz w:val="20"/>
                <w:lang w:eastAsia="en-GB"/>
              </w:rPr>
              <w:object w:dxaOrig="4420" w:dyaOrig="340" w14:anchorId="14D0B47F">
                <v:shape id="_x0000_i1028" type="#_x0000_t75" style="width:222pt;height:18pt" o:ole="">
                  <v:imagedata r:id="rId20" o:title=""/>
                </v:shape>
                <o:OLEObject Type="Embed" ProgID="Equation.3" ShapeID="_x0000_i1028" DrawAspect="Content" ObjectID="_1584550724" r:id="rId21"/>
              </w:object>
            </w:r>
          </w:p>
          <w:p w14:paraId="121FCD20" w14:textId="77777777" w:rsidR="00B10D1A" w:rsidRPr="000D330F" w:rsidRDefault="00B10D1A" w:rsidP="00B10D1A">
            <w:pPr>
              <w:jc w:val="both"/>
              <w:rPr>
                <w:color w:val="000000"/>
                <w:sz w:val="20"/>
              </w:rPr>
            </w:pPr>
            <w:r w:rsidRPr="000D330F">
              <w:rPr>
                <w:color w:val="000000"/>
                <w:sz w:val="20"/>
              </w:rPr>
              <w:lastRenderedPageBreak/>
              <w:t>where</w:t>
            </w:r>
            <w:r w:rsidRPr="000D330F">
              <w:rPr>
                <w:color w:val="000000"/>
                <w:position w:val="-10"/>
                <w:sz w:val="20"/>
                <w:lang w:eastAsia="en-GB"/>
              </w:rPr>
              <w:object w:dxaOrig="440" w:dyaOrig="300" w14:anchorId="25A92828">
                <v:shape id="_x0000_i1029" type="#_x0000_t75" style="width:24pt;height:18pt" o:ole="">
                  <v:imagedata r:id="rId22" o:title=""/>
                </v:shape>
                <o:OLEObject Type="Embed" ProgID="Equation.3" ShapeID="_x0000_i1029" DrawAspect="Content" ObjectID="_1584550725" r:id="rId23"/>
              </w:object>
            </w:r>
            <w:r w:rsidRPr="000D330F">
              <w:rPr>
                <w:color w:val="000000"/>
                <w:sz w:val="20"/>
              </w:rPr>
              <w:sym w:font="Symbol" w:char="F0B3"/>
            </w:r>
            <w:r w:rsidRPr="000D330F">
              <w:rPr>
                <w:color w:val="000000"/>
                <w:sz w:val="20"/>
              </w:rPr>
              <w:t xml:space="preserve"> 1 and shall not exceed</w:t>
            </w:r>
            <w:r w:rsidRPr="000D330F">
              <w:rPr>
                <w:color w:val="000000"/>
                <w:position w:val="-12"/>
                <w:sz w:val="20"/>
                <w:lang w:eastAsia="en-GB"/>
              </w:rPr>
              <w:object w:dxaOrig="1359" w:dyaOrig="380" w14:anchorId="65764CF6">
                <v:shape id="_x0000_i1030" type="#_x0000_t75" style="width:66pt;height:18pt" o:ole="">
                  <v:imagedata r:id="rId24" o:title=""/>
                </v:shape>
                <o:OLEObject Type="Embed" ProgID="Equation.3" ShapeID="_x0000_i1030" DrawAspect="Content" ObjectID="_1584550726" r:id="rId25"/>
              </w:object>
            </w:r>
            <w:r w:rsidRPr="000D330F">
              <w:rPr>
                <w:color w:val="000000"/>
                <w:sz w:val="20"/>
              </w:rPr>
              <w:t>.</w:t>
            </w:r>
          </w:p>
          <w:p w14:paraId="369F9D05" w14:textId="58680E56" w:rsidR="00D719C9" w:rsidRPr="000D330F" w:rsidRDefault="00684B77" w:rsidP="00B10D1A">
            <w:pPr>
              <w:jc w:val="both"/>
              <w:rPr>
                <w:rFonts w:ascii="Times New Roman" w:eastAsia="Times New Roman" w:hAnsi="Times New Roman" w:cs="Times New Roman"/>
                <w:sz w:val="20"/>
              </w:rPr>
            </w:pPr>
            <w:r w:rsidRPr="000D330F">
              <w:rPr>
                <w:rFonts w:ascii="Times New Roman" w:hAnsi="Times New Roman" w:cs="Times New Roman"/>
                <w:sz w:val="20"/>
              </w:rPr>
              <w:t xml:space="preserve">For RA in frequency domain, ‘1111…1111’ as </w:t>
            </w:r>
            <w:r w:rsidRPr="000D330F">
              <w:rPr>
                <w:rFonts w:ascii="Times New Roman" w:eastAsia="Times New Roman" w:hAnsi="Times New Roman" w:cs="Times New Roman"/>
                <w:sz w:val="20"/>
              </w:rPr>
              <w:t xml:space="preserve">the bitmap for RA is a reserved </w:t>
            </w:r>
            <w:r w:rsidR="00BD7EAB" w:rsidRPr="000D330F">
              <w:rPr>
                <w:color w:val="000000"/>
                <w:sz w:val="20"/>
              </w:rPr>
              <w:t xml:space="preserve">state for all </w:t>
            </w:r>
            <w:r w:rsidR="008559E2" w:rsidRPr="000D330F">
              <w:rPr>
                <w:color w:val="000000"/>
                <w:sz w:val="20"/>
              </w:rPr>
              <w:t xml:space="preserve">Supported BWP sizes of 24-273 </w:t>
            </w:r>
            <w:r w:rsidR="00FD09E1" w:rsidRPr="000D330F">
              <w:rPr>
                <w:color w:val="000000"/>
                <w:sz w:val="20"/>
              </w:rPr>
              <w:t>RBs</w:t>
            </w:r>
            <w:r w:rsidR="008559E2" w:rsidRPr="000D330F">
              <w:rPr>
                <w:color w:val="000000"/>
                <w:sz w:val="20"/>
              </w:rPr>
              <w:t xml:space="preserve"> in R15</w:t>
            </w:r>
          </w:p>
        </w:tc>
        <w:tc>
          <w:tcPr>
            <w:tcW w:w="2121" w:type="dxa"/>
          </w:tcPr>
          <w:p w14:paraId="2457A2CF" w14:textId="3EFA0B1F" w:rsidR="00B10D1A" w:rsidRPr="000D330F" w:rsidRDefault="00684B77" w:rsidP="00B10D1A">
            <w:pPr>
              <w:jc w:val="both"/>
              <w:rPr>
                <w:rFonts w:ascii="Times New Roman" w:hAnsi="Times New Roman" w:cs="Times New Roman"/>
                <w:sz w:val="20"/>
              </w:rPr>
            </w:pPr>
            <w:r w:rsidRPr="000D330F">
              <w:rPr>
                <w:color w:val="000000"/>
                <w:sz w:val="20"/>
                <w:highlight w:val="green"/>
              </w:rPr>
              <w:lastRenderedPageBreak/>
              <w:t>Possible</w:t>
            </w:r>
            <w:r w:rsidR="004B525B" w:rsidRPr="000D330F">
              <w:rPr>
                <w:color w:val="000000"/>
                <w:sz w:val="20"/>
              </w:rPr>
              <w:t xml:space="preserve"> </w:t>
            </w:r>
          </w:p>
        </w:tc>
      </w:tr>
      <w:tr w:rsidR="00B10D1A" w14:paraId="24ED706D" w14:textId="77777777" w:rsidTr="00B10D1A">
        <w:tc>
          <w:tcPr>
            <w:tcW w:w="1838" w:type="dxa"/>
          </w:tcPr>
          <w:p w14:paraId="119E1E91" w14:textId="72F78F82" w:rsidR="00B10D1A" w:rsidRPr="000D330F" w:rsidRDefault="00B10D1A" w:rsidP="00B10D1A">
            <w:pPr>
              <w:jc w:val="both"/>
              <w:rPr>
                <w:rFonts w:ascii="Times New Roman" w:hAnsi="Times New Roman" w:cs="Times New Roman"/>
                <w:b/>
                <w:sz w:val="20"/>
              </w:rPr>
            </w:pPr>
            <w:r w:rsidRPr="000D330F">
              <w:rPr>
                <w:rFonts w:ascii="Times New Roman" w:hAnsi="Times New Roman" w:cs="Times New Roman" w:hint="eastAsia"/>
                <w:b/>
                <w:sz w:val="20"/>
              </w:rPr>
              <w:t xml:space="preserve">RA </w:t>
            </w:r>
            <w:r w:rsidRPr="000D330F">
              <w:rPr>
                <w:rFonts w:ascii="Times New Roman" w:hAnsi="Times New Roman" w:cs="Times New Roman"/>
                <w:b/>
                <w:sz w:val="20"/>
              </w:rPr>
              <w:t>time domain</w:t>
            </w:r>
          </w:p>
        </w:tc>
        <w:tc>
          <w:tcPr>
            <w:tcW w:w="5670" w:type="dxa"/>
          </w:tcPr>
          <w:p w14:paraId="7A074949" w14:textId="350B90AE" w:rsidR="00B10D1A" w:rsidRPr="000D330F" w:rsidRDefault="00684B77" w:rsidP="00684B77">
            <w:pPr>
              <w:rPr>
                <w:rFonts w:ascii="Times New Roman" w:eastAsia="Times New Roman" w:hAnsi="Times New Roman" w:cs="Times New Roman"/>
                <w:sz w:val="20"/>
              </w:rPr>
            </w:pPr>
            <w:r w:rsidRPr="000D330F">
              <w:rPr>
                <w:color w:val="000000"/>
                <w:sz w:val="20"/>
                <w:lang w:eastAsia="ko-KR"/>
              </w:rPr>
              <w:t>Consist of a combination K0, SLIV and DMRS TYPE.</w:t>
            </w:r>
            <w:r w:rsidRPr="000D330F">
              <w:rPr>
                <w:color w:val="000000"/>
                <w:sz w:val="20"/>
              </w:rPr>
              <w:t xml:space="preserve"> The reserved state is not always available.</w:t>
            </w:r>
          </w:p>
        </w:tc>
        <w:tc>
          <w:tcPr>
            <w:tcW w:w="2121" w:type="dxa"/>
          </w:tcPr>
          <w:p w14:paraId="04936099" w14:textId="08A38CA5" w:rsidR="00B10D1A" w:rsidRPr="000D330F" w:rsidRDefault="00684B77" w:rsidP="00B10D1A">
            <w:pPr>
              <w:jc w:val="both"/>
              <w:rPr>
                <w:rFonts w:ascii="Times New Roman" w:eastAsia="Times New Roman" w:hAnsi="Times New Roman" w:cs="Times New Roman"/>
                <w:sz w:val="20"/>
              </w:rPr>
            </w:pPr>
            <w:r w:rsidRPr="000D330F">
              <w:rPr>
                <w:rFonts w:ascii="Times New Roman" w:eastAsia="Times New Roman" w:hAnsi="Times New Roman" w:cs="Times New Roman"/>
                <w:sz w:val="20"/>
                <w:highlight w:val="red"/>
              </w:rPr>
              <w:t>Not possible</w:t>
            </w:r>
          </w:p>
        </w:tc>
      </w:tr>
    </w:tbl>
    <w:p w14:paraId="43BEF63B" w14:textId="0D0E85C2" w:rsidR="00B10D1A" w:rsidRDefault="00B10D1A" w:rsidP="00B10D1A">
      <w:pPr>
        <w:jc w:val="both"/>
        <w:rPr>
          <w:rFonts w:ascii="Times New Roman" w:eastAsia="Times New Roman" w:hAnsi="Times New Roman" w:cs="Times New Roman"/>
        </w:rPr>
      </w:pPr>
    </w:p>
    <w:p w14:paraId="012E29B0" w14:textId="01AFC89A" w:rsidR="002E537C" w:rsidRPr="00BB5496" w:rsidRDefault="002E537C" w:rsidP="00B10D1A">
      <w:pPr>
        <w:jc w:val="both"/>
        <w:rPr>
          <w:rFonts w:ascii="Times New Roman" w:eastAsia="Times New Roman" w:hAnsi="Times New Roman" w:cs="Times New Roman"/>
          <w:b/>
          <w:sz w:val="20"/>
        </w:rPr>
      </w:pPr>
      <w:r w:rsidRPr="00BB5496">
        <w:rPr>
          <w:rFonts w:ascii="Times New Roman" w:eastAsia="Times New Roman" w:hAnsi="Times New Roman" w:cs="Times New Roman"/>
          <w:b/>
          <w:sz w:val="20"/>
        </w:rPr>
        <w:t>Observation-</w:t>
      </w:r>
      <w:r w:rsidR="008559E2" w:rsidRPr="00BB5496">
        <w:rPr>
          <w:rFonts w:ascii="Times New Roman" w:eastAsia="Times New Roman" w:hAnsi="Times New Roman" w:cs="Times New Roman"/>
          <w:b/>
          <w:sz w:val="20"/>
        </w:rPr>
        <w:t>1</w:t>
      </w:r>
      <w:r w:rsidRPr="00BB5496">
        <w:rPr>
          <w:rFonts w:ascii="Times New Roman" w:eastAsia="Times New Roman" w:hAnsi="Times New Roman" w:cs="Times New Roman"/>
          <w:b/>
          <w:sz w:val="20"/>
        </w:rPr>
        <w:t xml:space="preserve">: Support of zero-RA in NR R15 is feasible </w:t>
      </w:r>
    </w:p>
    <w:p w14:paraId="1272E96B" w14:textId="1015AA08" w:rsidR="002E537C" w:rsidRPr="005F67A4" w:rsidRDefault="002E537C" w:rsidP="00B10D1A">
      <w:pPr>
        <w:jc w:val="both"/>
        <w:rPr>
          <w:rFonts w:ascii="Times New Roman" w:eastAsia="Times New Roman" w:hAnsi="Times New Roman" w:cs="Times New Roman"/>
        </w:rPr>
      </w:pPr>
      <w:r w:rsidRPr="005F67A4">
        <w:rPr>
          <w:rFonts w:ascii="Times New Roman" w:eastAsia="Times New Roman" w:hAnsi="Times New Roman" w:cs="Times New Roman"/>
        </w:rPr>
        <w:t xml:space="preserve">In the NRAH1801, it was agreed </w:t>
      </w:r>
    </w:p>
    <w:p w14:paraId="51A4EC1C" w14:textId="77777777" w:rsidR="002E537C" w:rsidRPr="004C3ED6" w:rsidRDefault="002E537C" w:rsidP="004C3ED6">
      <w:pPr>
        <w:spacing w:after="0"/>
        <w:rPr>
          <w:rFonts w:ascii="Times New Roman" w:hAnsi="Times New Roman" w:cs="Times New Roman"/>
          <w:sz w:val="16"/>
          <w:szCs w:val="16"/>
          <w:highlight w:val="darkYellow"/>
          <w:lang w:eastAsia="x-none"/>
        </w:rPr>
      </w:pPr>
      <w:r w:rsidRPr="004C3ED6">
        <w:rPr>
          <w:rFonts w:ascii="Times New Roman" w:hAnsi="Times New Roman" w:cs="Times New Roman"/>
          <w:sz w:val="16"/>
          <w:szCs w:val="16"/>
          <w:highlight w:val="darkYellow"/>
          <w:lang w:eastAsia="x-none"/>
        </w:rPr>
        <w:t>Working assumption:</w:t>
      </w:r>
    </w:p>
    <w:p w14:paraId="3F02C58A" w14:textId="77777777" w:rsidR="002E537C" w:rsidRPr="004C3ED6" w:rsidRDefault="002E537C" w:rsidP="002E537C">
      <w:pPr>
        <w:numPr>
          <w:ilvl w:val="0"/>
          <w:numId w:val="23"/>
        </w:numPr>
        <w:spacing w:after="0" w:line="240" w:lineRule="auto"/>
        <w:rPr>
          <w:rFonts w:ascii="Times New Roman" w:hAnsi="Times New Roman" w:cs="Times New Roman"/>
          <w:sz w:val="16"/>
          <w:szCs w:val="16"/>
          <w:lang w:eastAsia="x-none"/>
        </w:rPr>
      </w:pPr>
      <w:r w:rsidRPr="004C3ED6">
        <w:rPr>
          <w:rFonts w:ascii="Times New Roman" w:hAnsi="Times New Roman" w:cs="Times New Roman"/>
          <w:sz w:val="16"/>
          <w:szCs w:val="16"/>
          <w:lang w:eastAsia="x-none"/>
        </w:rPr>
        <w:t>Sizes of all DCI bitfields in DCI formats 0-1 and 1-1 in USS determined by current BWP. Data transmitted on the BWP indicated by the BWP index. If the BWP index activates another BWP, transform as follows:</w:t>
      </w:r>
    </w:p>
    <w:p w14:paraId="68611107" w14:textId="77777777" w:rsidR="002E537C" w:rsidRPr="004C3ED6" w:rsidRDefault="002E537C" w:rsidP="002E537C">
      <w:pPr>
        <w:numPr>
          <w:ilvl w:val="1"/>
          <w:numId w:val="23"/>
        </w:numPr>
        <w:spacing w:after="0" w:line="240" w:lineRule="auto"/>
        <w:rPr>
          <w:rFonts w:ascii="Times New Roman" w:hAnsi="Times New Roman" w:cs="Times New Roman"/>
          <w:sz w:val="16"/>
          <w:szCs w:val="16"/>
          <w:lang w:eastAsia="x-none"/>
        </w:rPr>
      </w:pPr>
      <w:r w:rsidRPr="004C3ED6">
        <w:rPr>
          <w:rFonts w:ascii="Times New Roman" w:hAnsi="Times New Roman" w:cs="Times New Roman"/>
          <w:sz w:val="16"/>
          <w:szCs w:val="16"/>
          <w:lang w:eastAsia="x-none"/>
        </w:rPr>
        <w:t>Zero-pad too small bitfields to match the new BWP</w:t>
      </w:r>
    </w:p>
    <w:p w14:paraId="6ED727D6" w14:textId="77777777" w:rsidR="002E537C" w:rsidRPr="004C3ED6" w:rsidRDefault="002E537C" w:rsidP="002E537C">
      <w:pPr>
        <w:numPr>
          <w:ilvl w:val="1"/>
          <w:numId w:val="23"/>
        </w:numPr>
        <w:spacing w:after="0" w:line="240" w:lineRule="auto"/>
        <w:rPr>
          <w:rFonts w:ascii="Times New Roman" w:hAnsi="Times New Roman" w:cs="Times New Roman"/>
          <w:sz w:val="16"/>
          <w:szCs w:val="16"/>
          <w:lang w:eastAsia="x-none"/>
        </w:rPr>
      </w:pPr>
      <w:r w:rsidRPr="004C3ED6">
        <w:rPr>
          <w:rFonts w:ascii="Times New Roman" w:hAnsi="Times New Roman" w:cs="Times New Roman"/>
          <w:sz w:val="16"/>
          <w:szCs w:val="16"/>
          <w:lang w:eastAsia="x-none"/>
        </w:rPr>
        <w:t>Truncate too large bitfields to match the new BWP</w:t>
      </w:r>
    </w:p>
    <w:p w14:paraId="64A462FD" w14:textId="77777777" w:rsidR="002E537C" w:rsidRPr="005F67A4" w:rsidRDefault="002E537C" w:rsidP="00B10D1A">
      <w:pPr>
        <w:jc w:val="both"/>
        <w:rPr>
          <w:rFonts w:ascii="Times New Roman" w:eastAsia="Times New Roman" w:hAnsi="Times New Roman" w:cs="Times New Roman"/>
          <w:b/>
        </w:rPr>
      </w:pPr>
    </w:p>
    <w:p w14:paraId="261A3B48" w14:textId="1575ABA6" w:rsidR="000E3284" w:rsidRPr="000D330F" w:rsidRDefault="000D12F4" w:rsidP="000D330F">
      <w:pPr>
        <w:jc w:val="both"/>
        <w:rPr>
          <w:rFonts w:ascii="Times New Roman" w:eastAsia="Times New Roman" w:hAnsi="Times New Roman" w:cs="Times New Roman"/>
          <w:sz w:val="20"/>
          <w:szCs w:val="20"/>
        </w:rPr>
      </w:pPr>
      <w:r w:rsidRPr="000D330F">
        <w:rPr>
          <w:rFonts w:ascii="Times New Roman" w:eastAsia="Times New Roman" w:hAnsi="Times New Roman" w:cs="Times New Roman"/>
          <w:sz w:val="20"/>
          <w:szCs w:val="20"/>
        </w:rPr>
        <w:t>The</w:t>
      </w:r>
      <w:r w:rsidR="002E537C" w:rsidRPr="000D330F">
        <w:rPr>
          <w:rFonts w:ascii="Times New Roman" w:eastAsia="Times New Roman" w:hAnsi="Times New Roman" w:cs="Times New Roman"/>
          <w:sz w:val="20"/>
          <w:szCs w:val="20"/>
        </w:rPr>
        <w:t xml:space="preserve"> consequence of this </w:t>
      </w:r>
      <w:r w:rsidR="00CB2EBE" w:rsidRPr="000D330F">
        <w:rPr>
          <w:rFonts w:ascii="Times New Roman" w:eastAsia="Times New Roman" w:hAnsi="Times New Roman" w:cs="Times New Roman"/>
          <w:sz w:val="20"/>
          <w:szCs w:val="20"/>
        </w:rPr>
        <w:t>WA (if confirmed)</w:t>
      </w:r>
      <w:r w:rsidR="001725ED" w:rsidRPr="000D330F">
        <w:rPr>
          <w:rFonts w:ascii="Times New Roman" w:eastAsia="Times New Roman" w:hAnsi="Times New Roman" w:cs="Times New Roman"/>
          <w:sz w:val="20"/>
          <w:szCs w:val="20"/>
        </w:rPr>
        <w:t xml:space="preserve"> would be </w:t>
      </w:r>
      <w:r w:rsidR="00C06B18" w:rsidRPr="000D330F">
        <w:rPr>
          <w:rFonts w:ascii="Times New Roman" w:eastAsia="Times New Roman" w:hAnsi="Times New Roman" w:cs="Times New Roman"/>
          <w:sz w:val="20"/>
          <w:szCs w:val="20"/>
        </w:rPr>
        <w:t xml:space="preserve">a </w:t>
      </w:r>
      <w:r w:rsidR="00A66544" w:rsidRPr="000D330F">
        <w:rPr>
          <w:rFonts w:ascii="Times New Roman" w:eastAsia="Times New Roman" w:hAnsi="Times New Roman" w:cs="Times New Roman"/>
          <w:sz w:val="20"/>
          <w:szCs w:val="20"/>
        </w:rPr>
        <w:t xml:space="preserve">gNB’s scheduling restriction </w:t>
      </w:r>
      <w:r w:rsidR="00C06B18" w:rsidRPr="000D330F">
        <w:rPr>
          <w:rFonts w:ascii="Times New Roman" w:eastAsia="Times New Roman" w:hAnsi="Times New Roman" w:cs="Times New Roman"/>
          <w:sz w:val="20"/>
          <w:szCs w:val="20"/>
        </w:rPr>
        <w:t>in the first slot after transition period</w:t>
      </w:r>
      <w:r w:rsidR="00A66544" w:rsidRPr="000D330F">
        <w:rPr>
          <w:rFonts w:ascii="Times New Roman" w:eastAsia="Times New Roman" w:hAnsi="Times New Roman" w:cs="Times New Roman"/>
          <w:sz w:val="20"/>
          <w:szCs w:val="20"/>
        </w:rPr>
        <w:t>. With TYPE0 RA a gNB would be able to schedule</w:t>
      </w:r>
      <w:r w:rsidR="00C06B18" w:rsidRPr="000D330F">
        <w:rPr>
          <w:rFonts w:ascii="Times New Roman" w:eastAsia="Times New Roman" w:hAnsi="Times New Roman" w:cs="Times New Roman"/>
          <w:sz w:val="20"/>
          <w:szCs w:val="20"/>
        </w:rPr>
        <w:t xml:space="preserve"> only</w:t>
      </w:r>
      <w:r w:rsidR="001725ED" w:rsidRPr="000D330F">
        <w:rPr>
          <w:rFonts w:ascii="Times New Roman" w:eastAsia="Times New Roman" w:hAnsi="Times New Roman" w:cs="Times New Roman"/>
          <w:sz w:val="20"/>
          <w:szCs w:val="20"/>
        </w:rPr>
        <w:t xml:space="preserve"> </w:t>
      </w:r>
      <w:r w:rsidR="000B35CB" w:rsidRPr="000D330F">
        <w:rPr>
          <w:rFonts w:ascii="Times New Roman" w:eastAsia="Times New Roman" w:hAnsi="Times New Roman" w:cs="Times New Roman"/>
          <w:sz w:val="20"/>
          <w:szCs w:val="20"/>
        </w:rPr>
        <w:t xml:space="preserve">a </w:t>
      </w:r>
      <w:r w:rsidR="00C06B18" w:rsidRPr="000D330F">
        <w:rPr>
          <w:rFonts w:ascii="Times New Roman" w:eastAsia="Times New Roman" w:hAnsi="Times New Roman" w:cs="Times New Roman"/>
          <w:sz w:val="20"/>
          <w:szCs w:val="20"/>
        </w:rPr>
        <w:t>part</w:t>
      </w:r>
      <w:r w:rsidR="000B35CB" w:rsidRPr="000D330F">
        <w:rPr>
          <w:rFonts w:ascii="Times New Roman" w:eastAsia="Times New Roman" w:hAnsi="Times New Roman" w:cs="Times New Roman"/>
          <w:sz w:val="20"/>
          <w:szCs w:val="20"/>
        </w:rPr>
        <w:t>/sub-band</w:t>
      </w:r>
      <w:r w:rsidR="00C06B18" w:rsidRPr="000D330F">
        <w:rPr>
          <w:rFonts w:ascii="Times New Roman" w:eastAsia="Times New Roman" w:hAnsi="Times New Roman" w:cs="Times New Roman"/>
          <w:sz w:val="20"/>
          <w:szCs w:val="20"/>
        </w:rPr>
        <w:t xml:space="preserve"> of the</w:t>
      </w:r>
      <w:r w:rsidR="003F174E" w:rsidRPr="000D330F">
        <w:rPr>
          <w:rFonts w:ascii="Times New Roman" w:eastAsia="Times New Roman" w:hAnsi="Times New Roman" w:cs="Times New Roman"/>
          <w:sz w:val="20"/>
          <w:szCs w:val="20"/>
        </w:rPr>
        <w:t xml:space="preserve"> new BWP after transition period</w:t>
      </w:r>
      <w:r w:rsidR="00C06B18" w:rsidRPr="000D330F">
        <w:rPr>
          <w:rFonts w:ascii="Times New Roman" w:eastAsia="Times New Roman" w:hAnsi="Times New Roman" w:cs="Times New Roman"/>
          <w:sz w:val="20"/>
          <w:szCs w:val="20"/>
        </w:rPr>
        <w:t xml:space="preserve"> with TYPE0 RA</w:t>
      </w:r>
      <w:r w:rsidR="00A66544" w:rsidRPr="000D330F">
        <w:rPr>
          <w:rFonts w:ascii="Times New Roman" w:eastAsia="Times New Roman" w:hAnsi="Times New Roman" w:cs="Times New Roman"/>
          <w:sz w:val="20"/>
          <w:szCs w:val="20"/>
        </w:rPr>
        <w:t>,</w:t>
      </w:r>
      <w:r w:rsidR="00494BC3" w:rsidRPr="000D330F">
        <w:rPr>
          <w:rFonts w:ascii="Times New Roman" w:eastAsia="Times New Roman" w:hAnsi="Times New Roman" w:cs="Times New Roman"/>
          <w:sz w:val="20"/>
          <w:szCs w:val="20"/>
        </w:rPr>
        <w:t xml:space="preserve"> as shown in Figure</w:t>
      </w:r>
      <w:r w:rsidR="0036702F" w:rsidRPr="000D330F">
        <w:rPr>
          <w:rFonts w:ascii="Times New Roman" w:eastAsia="Times New Roman" w:hAnsi="Times New Roman" w:cs="Times New Roman"/>
          <w:sz w:val="20"/>
          <w:szCs w:val="20"/>
        </w:rPr>
        <w:t xml:space="preserve"> </w:t>
      </w:r>
      <w:r w:rsidR="00494BC3" w:rsidRPr="000D330F">
        <w:rPr>
          <w:rFonts w:ascii="Times New Roman" w:eastAsia="Times New Roman" w:hAnsi="Times New Roman" w:cs="Times New Roman"/>
          <w:sz w:val="20"/>
          <w:szCs w:val="20"/>
        </w:rPr>
        <w:t>1.</w:t>
      </w:r>
      <w:r w:rsidR="00DB6ED3" w:rsidRPr="000D330F">
        <w:rPr>
          <w:rFonts w:ascii="Times New Roman" w:eastAsia="Times New Roman" w:hAnsi="Times New Roman" w:cs="Times New Roman"/>
          <w:sz w:val="20"/>
          <w:szCs w:val="20"/>
        </w:rPr>
        <w:t xml:space="preserve"> And with TYPE 1 RA, shown in Figure 2.</w:t>
      </w:r>
      <w:r w:rsidR="00A66544" w:rsidRPr="000D330F">
        <w:rPr>
          <w:rFonts w:ascii="Times New Roman" w:eastAsia="Times New Roman" w:hAnsi="Times New Roman" w:cs="Times New Roman"/>
          <w:sz w:val="20"/>
          <w:szCs w:val="20"/>
        </w:rPr>
        <w:t xml:space="preserve"> </w:t>
      </w:r>
    </w:p>
    <w:p w14:paraId="2AD63F46" w14:textId="77777777" w:rsidR="0041000D" w:rsidRDefault="0041000D" w:rsidP="0041000D">
      <w:pPr>
        <w:keepNext/>
        <w:jc w:val="center"/>
      </w:pPr>
      <w:r>
        <w:object w:dxaOrig="7332" w:dyaOrig="1596" w14:anchorId="64AD2968">
          <v:shape id="_x0000_i1031" type="#_x0000_t75" style="width:276pt;height:60pt" o:ole="">
            <v:imagedata r:id="rId26" o:title=""/>
          </v:shape>
          <o:OLEObject Type="Embed" ProgID="Visio.Drawing.15" ShapeID="_x0000_i1031" DrawAspect="Content" ObjectID="_1584550727" r:id="rId27"/>
        </w:object>
      </w:r>
    </w:p>
    <w:p w14:paraId="78463911" w14:textId="7CDC2510" w:rsidR="0041000D" w:rsidRDefault="0041000D" w:rsidP="0041000D">
      <w:pPr>
        <w:pStyle w:val="Caption"/>
        <w:jc w:val="center"/>
        <w:rPr>
          <w:rFonts w:ascii="Times New Roman" w:eastAsia="Times New Roman" w:hAnsi="Times New Roman" w:cs="Times New Roman"/>
        </w:rPr>
      </w:pPr>
      <w:r>
        <w:t xml:space="preserve">Figure </w:t>
      </w:r>
      <w:r w:rsidR="00D45EB9">
        <w:fldChar w:fldCharType="begin"/>
      </w:r>
      <w:r w:rsidR="00D45EB9">
        <w:instrText xml:space="preserve"> SEQ Figure \* ARABIC </w:instrText>
      </w:r>
      <w:r w:rsidR="00D45EB9">
        <w:fldChar w:fldCharType="separate"/>
      </w:r>
      <w:r w:rsidR="009E0C07">
        <w:rPr>
          <w:noProof/>
        </w:rPr>
        <w:t>1</w:t>
      </w:r>
      <w:r w:rsidR="00D45EB9">
        <w:rPr>
          <w:noProof/>
        </w:rPr>
        <w:fldChar w:fldCharType="end"/>
      </w:r>
      <w:r>
        <w:rPr>
          <w:lang w:val="en-US"/>
        </w:rPr>
        <w:t xml:space="preserve"> TYPE0 zero-padding</w:t>
      </w:r>
    </w:p>
    <w:p w14:paraId="39083CCF" w14:textId="77777777" w:rsidR="0041000D" w:rsidRDefault="0041000D" w:rsidP="0041000D">
      <w:pPr>
        <w:jc w:val="both"/>
        <w:rPr>
          <w:rFonts w:ascii="Times New Roman" w:eastAsia="Times New Roman" w:hAnsi="Times New Roman" w:cs="Times New Roman"/>
        </w:rPr>
      </w:pPr>
    </w:p>
    <w:p w14:paraId="0C119FF4" w14:textId="77777777" w:rsidR="0041000D" w:rsidRDefault="0041000D" w:rsidP="0041000D">
      <w:pPr>
        <w:keepNext/>
        <w:jc w:val="center"/>
      </w:pPr>
      <w:r>
        <w:object w:dxaOrig="7308" w:dyaOrig="1596" w14:anchorId="621A6D0C">
          <v:shape id="_x0000_i1032" type="#_x0000_t75" style="width:276pt;height:60pt" o:ole="">
            <v:imagedata r:id="rId28" o:title=""/>
          </v:shape>
          <o:OLEObject Type="Embed" ProgID="Visio.Drawing.15" ShapeID="_x0000_i1032" DrawAspect="Content" ObjectID="_1584550728" r:id="rId29"/>
        </w:object>
      </w:r>
    </w:p>
    <w:p w14:paraId="1B320373" w14:textId="01442F76" w:rsidR="0041000D" w:rsidRDefault="0041000D" w:rsidP="0041000D">
      <w:pPr>
        <w:pStyle w:val="Caption"/>
        <w:jc w:val="center"/>
      </w:pPr>
      <w:r>
        <w:t xml:space="preserve">Figure </w:t>
      </w:r>
      <w:r w:rsidR="00D45EB9">
        <w:fldChar w:fldCharType="begin"/>
      </w:r>
      <w:r w:rsidR="00D45EB9">
        <w:instrText xml:space="preserve"> SEQ Figure \* ARABIC </w:instrText>
      </w:r>
      <w:r w:rsidR="00D45EB9">
        <w:fldChar w:fldCharType="separate"/>
      </w:r>
      <w:r w:rsidR="009E0C07">
        <w:rPr>
          <w:noProof/>
        </w:rPr>
        <w:t>2</w:t>
      </w:r>
      <w:r w:rsidR="00D45EB9">
        <w:rPr>
          <w:noProof/>
        </w:rPr>
        <w:fldChar w:fldCharType="end"/>
      </w:r>
      <w:r>
        <w:rPr>
          <w:lang w:val="en-US"/>
        </w:rPr>
        <w:t xml:space="preserve"> TYPE1 according to WA with unpredictable resource allocations</w:t>
      </w:r>
    </w:p>
    <w:p w14:paraId="41E07549" w14:textId="240E1A5B" w:rsidR="000E3284" w:rsidRPr="000D330F" w:rsidRDefault="00DB6ED3" w:rsidP="000D330F">
      <w:pPr>
        <w:jc w:val="both"/>
        <w:rPr>
          <w:rFonts w:ascii="Times New Roman" w:eastAsia="Times New Roman" w:hAnsi="Times New Roman" w:cs="Times New Roman"/>
          <w:sz w:val="20"/>
        </w:rPr>
      </w:pPr>
      <w:r w:rsidRPr="000D330F">
        <w:rPr>
          <w:rFonts w:ascii="Times New Roman" w:eastAsia="Times New Roman" w:hAnsi="Times New Roman" w:cs="Times New Roman"/>
          <w:sz w:val="20"/>
        </w:rPr>
        <w:t xml:space="preserve">With TYPE1 RA, the restriction </w:t>
      </w:r>
      <w:r w:rsidR="009C3DC8">
        <w:rPr>
          <w:rFonts w:ascii="Times New Roman" w:eastAsia="Times New Roman" w:hAnsi="Times New Roman" w:cs="Times New Roman"/>
          <w:sz w:val="20"/>
        </w:rPr>
        <w:t>is illustrated</w:t>
      </w:r>
      <w:r w:rsidRPr="000D330F">
        <w:rPr>
          <w:rFonts w:ascii="Times New Roman" w:eastAsia="Times New Roman" w:hAnsi="Times New Roman" w:cs="Times New Roman"/>
          <w:sz w:val="20"/>
        </w:rPr>
        <w:t xml:space="preserve"> on Figure 3</w:t>
      </w:r>
      <w:r w:rsidR="00561123">
        <w:rPr>
          <w:rFonts w:ascii="Times New Roman" w:eastAsia="Times New Roman" w:hAnsi="Times New Roman" w:cs="Times New Roman"/>
          <w:sz w:val="20"/>
        </w:rPr>
        <w:t>,</w:t>
      </w:r>
      <w:r w:rsidRPr="000D330F">
        <w:rPr>
          <w:rFonts w:ascii="Times New Roman" w:eastAsia="Times New Roman" w:hAnsi="Times New Roman" w:cs="Times New Roman"/>
          <w:sz w:val="20"/>
        </w:rPr>
        <w:t xml:space="preserve"> </w:t>
      </w:r>
      <w:r w:rsidR="00BB5496">
        <w:rPr>
          <w:rFonts w:ascii="Times New Roman" w:eastAsia="Times New Roman" w:hAnsi="Times New Roman" w:cs="Times New Roman"/>
          <w:sz w:val="20"/>
        </w:rPr>
        <w:t>showing RIV values and corresponding start (</w:t>
      </w:r>
      <m:oMath>
        <m:r>
          <w:rPr>
            <w:rFonts w:ascii="Cambria Math" w:eastAsia="Times New Roman" w:hAnsi="Cambria Math" w:cs="Times New Roman"/>
            <w:sz w:val="20"/>
          </w:rPr>
          <m:t>R</m:t>
        </m:r>
        <m:sSub>
          <m:sSubPr>
            <m:ctrlPr>
              <w:rPr>
                <w:rFonts w:ascii="Cambria Math" w:eastAsia="Times New Roman" w:hAnsi="Cambria Math" w:cs="Times New Roman"/>
                <w:i/>
                <w:sz w:val="20"/>
              </w:rPr>
            </m:ctrlPr>
          </m:sSubPr>
          <m:e>
            <m:r>
              <w:rPr>
                <w:rFonts w:ascii="Cambria Math" w:eastAsia="Times New Roman" w:hAnsi="Cambria Math" w:cs="Times New Roman"/>
                <w:sz w:val="20"/>
              </w:rPr>
              <m:t>B</m:t>
            </m:r>
          </m:e>
          <m:sub>
            <m:r>
              <w:rPr>
                <w:rFonts w:ascii="Cambria Math" w:eastAsia="Times New Roman" w:hAnsi="Cambria Math" w:cs="Times New Roman"/>
                <w:sz w:val="20"/>
              </w:rPr>
              <m:t>start</m:t>
            </m:r>
          </m:sub>
        </m:sSub>
      </m:oMath>
      <w:r w:rsidR="00BB5496">
        <w:rPr>
          <w:rFonts w:ascii="Times New Roman" w:eastAsia="Times New Roman" w:hAnsi="Times New Roman" w:cs="Times New Roman"/>
          <w:sz w:val="20"/>
        </w:rPr>
        <w:t>) and length (</w:t>
      </w:r>
      <m:oMath>
        <m:sSub>
          <m:sSubPr>
            <m:ctrlPr>
              <w:rPr>
                <w:rFonts w:ascii="Cambria Math" w:eastAsia="Times New Roman" w:hAnsi="Cambria Math" w:cs="Times New Roman"/>
                <w:i/>
                <w:sz w:val="20"/>
              </w:rPr>
            </m:ctrlPr>
          </m:sSubPr>
          <m:e>
            <m:r>
              <w:rPr>
                <w:rFonts w:ascii="Cambria Math" w:eastAsia="Times New Roman" w:hAnsi="Cambria Math" w:cs="Times New Roman"/>
                <w:sz w:val="20"/>
              </w:rPr>
              <m:t>L</m:t>
            </m:r>
          </m:e>
          <m:sub>
            <m:r>
              <w:rPr>
                <w:rFonts w:ascii="Cambria Math" w:eastAsia="Times New Roman" w:hAnsi="Cambria Math" w:cs="Times New Roman"/>
                <w:sz w:val="20"/>
              </w:rPr>
              <m:t>RB</m:t>
            </m:r>
          </m:sub>
        </m:sSub>
      </m:oMath>
      <w:r w:rsidR="00BB5496">
        <w:rPr>
          <w:rFonts w:ascii="Times New Roman" w:eastAsia="Times New Roman" w:hAnsi="Times New Roman" w:cs="Times New Roman"/>
          <w:sz w:val="20"/>
        </w:rPr>
        <w:t>) for 24RB BWP.</w:t>
      </w:r>
      <w:r w:rsidRPr="000D330F">
        <w:rPr>
          <w:rFonts w:ascii="Times New Roman" w:eastAsia="Times New Roman" w:hAnsi="Times New Roman" w:cs="Times New Roman"/>
          <w:sz w:val="20"/>
        </w:rPr>
        <w:t xml:space="preserve"> If most significant bits of RIV value </w:t>
      </w:r>
      <w:r w:rsidR="00073324" w:rsidRPr="000D330F">
        <w:rPr>
          <w:rFonts w:ascii="Times New Roman" w:eastAsia="Times New Roman" w:hAnsi="Times New Roman" w:cs="Times New Roman"/>
          <w:sz w:val="20"/>
        </w:rPr>
        <w:t>are</w:t>
      </w:r>
      <w:r w:rsidRPr="000D330F">
        <w:rPr>
          <w:rFonts w:ascii="Times New Roman" w:eastAsia="Times New Roman" w:hAnsi="Times New Roman" w:cs="Times New Roman"/>
          <w:sz w:val="20"/>
        </w:rPr>
        <w:t xml:space="preserve"> set to 0, gNB can schedule only small allocations or full BW</w:t>
      </w:r>
      <w:r w:rsidR="00EA7690" w:rsidRPr="000D330F">
        <w:rPr>
          <w:rFonts w:ascii="Times New Roman" w:eastAsia="Times New Roman" w:hAnsi="Times New Roman" w:cs="Times New Roman"/>
          <w:sz w:val="20"/>
        </w:rPr>
        <w:t xml:space="preserve"> corresponding to low values of RIV</w:t>
      </w:r>
      <w:r w:rsidRPr="000D330F">
        <w:rPr>
          <w:rFonts w:ascii="Times New Roman" w:eastAsia="Times New Roman" w:hAnsi="Times New Roman" w:cs="Times New Roman"/>
          <w:sz w:val="20"/>
        </w:rPr>
        <w:t xml:space="preserve">. </w:t>
      </w:r>
      <w:r w:rsidRPr="000D330F">
        <w:rPr>
          <w:rFonts w:ascii="Times New Roman" w:eastAsia="Times New Roman" w:hAnsi="Times New Roman" w:cs="Times New Roman"/>
          <w:b/>
          <w:sz w:val="20"/>
        </w:rPr>
        <w:t>While small-allocations are sufficient for</w:t>
      </w:r>
      <w:r w:rsidR="002C5927" w:rsidRPr="000D330F">
        <w:rPr>
          <w:rFonts w:ascii="Times New Roman" w:eastAsia="Times New Roman" w:hAnsi="Times New Roman" w:cs="Times New Roman"/>
          <w:b/>
          <w:sz w:val="20"/>
        </w:rPr>
        <w:t xml:space="preserve"> </w:t>
      </w:r>
      <w:r w:rsidR="00AE47F0" w:rsidRPr="000D330F">
        <w:rPr>
          <w:rFonts w:ascii="Times New Roman" w:eastAsia="Times New Roman" w:hAnsi="Times New Roman" w:cs="Times New Roman"/>
          <w:b/>
          <w:sz w:val="20"/>
        </w:rPr>
        <w:t>scheduling</w:t>
      </w:r>
      <w:r w:rsidRPr="000D330F">
        <w:rPr>
          <w:rFonts w:ascii="Times New Roman" w:eastAsia="Times New Roman" w:hAnsi="Times New Roman" w:cs="Times New Roman"/>
          <w:b/>
          <w:sz w:val="20"/>
        </w:rPr>
        <w:t xml:space="preserve"> RAR (as in LTE), for regular scheduling after BWP switch it might be too restrictive</w:t>
      </w:r>
      <w:r w:rsidRPr="000D330F">
        <w:rPr>
          <w:rFonts w:ascii="Times New Roman" w:eastAsia="Times New Roman" w:hAnsi="Times New Roman" w:cs="Times New Roman"/>
          <w:sz w:val="20"/>
        </w:rPr>
        <w:t>.</w:t>
      </w:r>
      <w:r w:rsidR="00EA7690" w:rsidRPr="000D330F">
        <w:rPr>
          <w:rFonts w:ascii="Times New Roman" w:eastAsia="Times New Roman" w:hAnsi="Times New Roman" w:cs="Times New Roman"/>
          <w:sz w:val="20"/>
        </w:rPr>
        <w:t xml:space="preserve"> </w:t>
      </w:r>
      <w:r w:rsidR="00BB5496">
        <w:rPr>
          <w:rFonts w:ascii="Times New Roman" w:eastAsia="Times New Roman" w:hAnsi="Times New Roman" w:cs="Times New Roman"/>
          <w:sz w:val="20"/>
        </w:rPr>
        <w:t>And the issue becomes more significant</w:t>
      </w:r>
      <w:r w:rsidR="00EA7690" w:rsidRPr="000D330F">
        <w:rPr>
          <w:rFonts w:ascii="Times New Roman" w:eastAsia="Times New Roman" w:hAnsi="Times New Roman" w:cs="Times New Roman"/>
          <w:sz w:val="20"/>
        </w:rPr>
        <w:t xml:space="preserve">, if in addition to first </w:t>
      </w:r>
      <w:r w:rsidR="00BB5496">
        <w:rPr>
          <w:rFonts w:ascii="Times New Roman" w:eastAsia="Times New Roman" w:hAnsi="Times New Roman" w:cs="Times New Roman"/>
          <w:sz w:val="20"/>
        </w:rPr>
        <w:t>Px</w:t>
      </w:r>
      <w:r w:rsidR="00EA7690" w:rsidRPr="000D330F">
        <w:rPr>
          <w:rFonts w:ascii="Times New Roman" w:eastAsia="Times New Roman" w:hAnsi="Times New Roman" w:cs="Times New Roman"/>
          <w:sz w:val="20"/>
        </w:rPr>
        <w:t xml:space="preserve">SCH after switching this restriction </w:t>
      </w:r>
      <w:r w:rsidR="00BB5496">
        <w:rPr>
          <w:rFonts w:ascii="Times New Roman" w:eastAsia="Times New Roman" w:hAnsi="Times New Roman" w:cs="Times New Roman"/>
          <w:sz w:val="20"/>
        </w:rPr>
        <w:t>applies also</w:t>
      </w:r>
      <w:r w:rsidR="00EA7690" w:rsidRPr="000D330F">
        <w:rPr>
          <w:rFonts w:ascii="Times New Roman" w:eastAsia="Times New Roman" w:hAnsi="Times New Roman" w:cs="Times New Roman"/>
          <w:sz w:val="20"/>
        </w:rPr>
        <w:t xml:space="preserve"> to</w:t>
      </w:r>
      <w:r w:rsidR="00BB5496">
        <w:rPr>
          <w:rFonts w:ascii="Times New Roman" w:eastAsia="Times New Roman" w:hAnsi="Times New Roman" w:cs="Times New Roman"/>
          <w:sz w:val="20"/>
        </w:rPr>
        <w:t xml:space="preserve"> all Px</w:t>
      </w:r>
      <w:r w:rsidR="00EA7690" w:rsidRPr="000D330F">
        <w:rPr>
          <w:rFonts w:ascii="Times New Roman" w:eastAsia="Times New Roman" w:hAnsi="Times New Roman" w:cs="Times New Roman"/>
          <w:sz w:val="20"/>
        </w:rPr>
        <w:t xml:space="preserve">SCH scheduled by fall-back DCI as discussed in accompanying contribution </w:t>
      </w:r>
      <w:r w:rsidR="000D330F" w:rsidRPr="000D330F">
        <w:rPr>
          <w:rFonts w:ascii="Times New Roman" w:eastAsia="Times New Roman" w:hAnsi="Times New Roman" w:cs="Times New Roman"/>
          <w:sz w:val="20"/>
        </w:rPr>
        <w:fldChar w:fldCharType="begin"/>
      </w:r>
      <w:r w:rsidR="000D330F" w:rsidRPr="000D330F">
        <w:rPr>
          <w:rFonts w:ascii="Times New Roman" w:eastAsia="Times New Roman" w:hAnsi="Times New Roman" w:cs="Times New Roman"/>
          <w:sz w:val="20"/>
        </w:rPr>
        <w:instrText xml:space="preserve"> REF _Ref510623357 \r \h  \* MERGEFORMAT </w:instrText>
      </w:r>
      <w:r w:rsidR="000D330F" w:rsidRPr="000D330F">
        <w:rPr>
          <w:rFonts w:ascii="Times New Roman" w:eastAsia="Times New Roman" w:hAnsi="Times New Roman" w:cs="Times New Roman"/>
          <w:sz w:val="20"/>
        </w:rPr>
      </w:r>
      <w:r w:rsidR="000D330F" w:rsidRPr="000D330F">
        <w:rPr>
          <w:rFonts w:ascii="Times New Roman" w:eastAsia="Times New Roman" w:hAnsi="Times New Roman" w:cs="Times New Roman"/>
          <w:sz w:val="20"/>
        </w:rPr>
        <w:fldChar w:fldCharType="separate"/>
      </w:r>
      <w:r w:rsidR="000D330F" w:rsidRPr="000D330F">
        <w:rPr>
          <w:rFonts w:ascii="Times New Roman" w:eastAsia="Times New Roman" w:hAnsi="Times New Roman" w:cs="Times New Roman"/>
          <w:sz w:val="20"/>
        </w:rPr>
        <w:t>[1]</w:t>
      </w:r>
      <w:r w:rsidR="000D330F" w:rsidRPr="000D330F">
        <w:rPr>
          <w:rFonts w:ascii="Times New Roman" w:eastAsia="Times New Roman" w:hAnsi="Times New Roman" w:cs="Times New Roman"/>
          <w:sz w:val="20"/>
        </w:rPr>
        <w:fldChar w:fldCharType="end"/>
      </w:r>
      <w:r w:rsidR="000D330F" w:rsidRPr="000D330F">
        <w:rPr>
          <w:rFonts w:ascii="Times New Roman" w:eastAsia="Times New Roman" w:hAnsi="Times New Roman" w:cs="Times New Roman"/>
          <w:sz w:val="20"/>
        </w:rPr>
        <w:t>.</w:t>
      </w:r>
    </w:p>
    <w:p w14:paraId="1210CC7F" w14:textId="36FAEBE5" w:rsidR="00B7595A" w:rsidRDefault="009E3A62" w:rsidP="00B7595A">
      <w:pPr>
        <w:keepNext/>
      </w:pPr>
      <w:r>
        <w:rPr>
          <w:noProof/>
        </w:rPr>
        <w:lastRenderedPageBreak/>
        <w:drawing>
          <wp:inline distT="0" distB="0" distL="0" distR="0" wp14:anchorId="533883BC" wp14:editId="293F8C3C">
            <wp:extent cx="6120765" cy="29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765" cy="2901950"/>
                    </a:xfrm>
                    <a:prstGeom prst="rect">
                      <a:avLst/>
                    </a:prstGeom>
                  </pic:spPr>
                </pic:pic>
              </a:graphicData>
            </a:graphic>
          </wp:inline>
        </w:drawing>
      </w:r>
    </w:p>
    <w:p w14:paraId="63472349" w14:textId="6FD7F60D" w:rsidR="000E3284" w:rsidRDefault="00B7595A" w:rsidP="00B7595A">
      <w:pPr>
        <w:pStyle w:val="Caption"/>
        <w:jc w:val="center"/>
        <w:rPr>
          <w:rFonts w:ascii="Times New Roman" w:eastAsia="Times New Roman" w:hAnsi="Times New Roman" w:cs="Times New Roman"/>
        </w:rPr>
      </w:pPr>
      <w:r>
        <w:t xml:space="preserve">Figure </w:t>
      </w:r>
      <w:r w:rsidR="00D45EB9">
        <w:fldChar w:fldCharType="begin"/>
      </w:r>
      <w:r w:rsidR="00D45EB9">
        <w:instrText xml:space="preserve"> SEQ Figure \* ARABIC </w:instrText>
      </w:r>
      <w:r w:rsidR="00D45EB9">
        <w:fldChar w:fldCharType="separate"/>
      </w:r>
      <w:r w:rsidR="009E0C07">
        <w:rPr>
          <w:noProof/>
        </w:rPr>
        <w:t>3</w:t>
      </w:r>
      <w:r w:rsidR="00D45EB9">
        <w:rPr>
          <w:noProof/>
        </w:rPr>
        <w:fldChar w:fldCharType="end"/>
      </w:r>
      <w:r w:rsidR="009E3A62">
        <w:rPr>
          <w:lang w:val="en-US"/>
        </w:rPr>
        <w:t xml:space="preserve"> RB</w:t>
      </w:r>
      <w:r w:rsidRPr="009E3A62">
        <w:rPr>
          <w:vertAlign w:val="subscript"/>
          <w:lang w:val="en-US"/>
        </w:rPr>
        <w:t>start</w:t>
      </w:r>
      <w:r>
        <w:rPr>
          <w:lang w:val="en-US"/>
        </w:rPr>
        <w:t xml:space="preserve"> and L</w:t>
      </w:r>
      <w:r w:rsidRPr="009E3A62">
        <w:rPr>
          <w:vertAlign w:val="subscript"/>
          <w:lang w:val="en-US"/>
        </w:rPr>
        <w:t>RB</w:t>
      </w:r>
      <w:r>
        <w:rPr>
          <w:lang w:val="en-US"/>
        </w:rPr>
        <w:t xml:space="preserve"> to RIV mapping for 24RB BWP</w:t>
      </w:r>
    </w:p>
    <w:p w14:paraId="323B9DEB" w14:textId="08419FFB" w:rsidR="000E3284" w:rsidRDefault="000E3284" w:rsidP="00A67D2F">
      <w:pPr>
        <w:jc w:val="center"/>
        <w:rPr>
          <w:rFonts w:ascii="Times New Roman" w:eastAsia="Times New Roman" w:hAnsi="Times New Roman" w:cs="Times New Roman"/>
        </w:rPr>
      </w:pPr>
    </w:p>
    <w:p w14:paraId="0223FCA5" w14:textId="2080509F" w:rsidR="00494BC3" w:rsidRPr="00BB5496" w:rsidRDefault="006A00D3" w:rsidP="00C06B18">
      <w:pPr>
        <w:jc w:val="both"/>
        <w:rPr>
          <w:rFonts w:ascii="Times New Roman" w:eastAsia="Times New Roman" w:hAnsi="Times New Roman" w:cs="Times New Roman"/>
          <w:b/>
          <w:sz w:val="20"/>
          <w:szCs w:val="20"/>
        </w:rPr>
      </w:pPr>
      <w:r w:rsidRPr="00BB5496">
        <w:rPr>
          <w:rFonts w:ascii="Times New Roman" w:eastAsia="Times New Roman" w:hAnsi="Times New Roman" w:cs="Times New Roman"/>
          <w:b/>
          <w:sz w:val="20"/>
          <w:szCs w:val="20"/>
        </w:rPr>
        <w:t>Observation-</w:t>
      </w:r>
      <w:r w:rsidR="00BB5496">
        <w:rPr>
          <w:rFonts w:ascii="Times New Roman" w:eastAsia="Times New Roman" w:hAnsi="Times New Roman" w:cs="Times New Roman"/>
          <w:b/>
          <w:sz w:val="20"/>
          <w:szCs w:val="20"/>
        </w:rPr>
        <w:t>2</w:t>
      </w:r>
      <w:r w:rsidRPr="00BB5496">
        <w:rPr>
          <w:rFonts w:ascii="Times New Roman" w:eastAsia="Times New Roman" w:hAnsi="Times New Roman" w:cs="Times New Roman"/>
          <w:b/>
          <w:sz w:val="20"/>
          <w:szCs w:val="20"/>
        </w:rPr>
        <w:t>: Padding the RIV</w:t>
      </w:r>
      <w:r w:rsidR="0041000D" w:rsidRPr="00BB5496">
        <w:rPr>
          <w:rFonts w:ascii="Times New Roman" w:eastAsia="Times New Roman" w:hAnsi="Times New Roman" w:cs="Times New Roman"/>
          <w:b/>
          <w:sz w:val="20"/>
          <w:szCs w:val="20"/>
        </w:rPr>
        <w:t xml:space="preserve"> value with zeros results in undesirable</w:t>
      </w:r>
      <w:r w:rsidRPr="00BB5496">
        <w:rPr>
          <w:rFonts w:ascii="Times New Roman" w:eastAsia="Times New Roman" w:hAnsi="Times New Roman" w:cs="Times New Roman"/>
          <w:b/>
          <w:sz w:val="20"/>
          <w:szCs w:val="20"/>
        </w:rPr>
        <w:t xml:space="preserve"> pruning of </w:t>
      </w:r>
      <w:r w:rsidR="00D77853" w:rsidRPr="00BB5496">
        <w:rPr>
          <w:rFonts w:ascii="Times New Roman" w:eastAsia="Times New Roman" w:hAnsi="Times New Roman" w:cs="Times New Roman"/>
          <w:b/>
          <w:sz w:val="20"/>
          <w:szCs w:val="20"/>
        </w:rPr>
        <w:t>start and/or length values</w:t>
      </w:r>
      <w:r w:rsidRPr="00BB5496">
        <w:rPr>
          <w:rFonts w:ascii="Times New Roman" w:eastAsia="Times New Roman" w:hAnsi="Times New Roman" w:cs="Times New Roman"/>
          <w:b/>
          <w:sz w:val="20"/>
          <w:szCs w:val="20"/>
        </w:rPr>
        <w:t xml:space="preserve">. </w:t>
      </w:r>
      <w:r w:rsidR="002C5927" w:rsidRPr="00BB5496">
        <w:rPr>
          <w:rFonts w:ascii="Times New Roman" w:eastAsia="Times New Roman" w:hAnsi="Times New Roman" w:cs="Times New Roman"/>
          <w:b/>
          <w:sz w:val="20"/>
          <w:szCs w:val="20"/>
        </w:rPr>
        <w:t>This might be sufficient for scheduling of RAR, but not for regular data channels.</w:t>
      </w:r>
    </w:p>
    <w:p w14:paraId="09A97B01" w14:textId="5F2D0FCB" w:rsidR="002B377C" w:rsidRPr="00BB5496" w:rsidRDefault="00A66544" w:rsidP="00C06B18">
      <w:pPr>
        <w:jc w:val="both"/>
        <w:rPr>
          <w:rFonts w:ascii="Times New Roman" w:eastAsia="Times New Roman" w:hAnsi="Times New Roman" w:cs="Times New Roman"/>
          <w:sz w:val="20"/>
          <w:szCs w:val="20"/>
        </w:rPr>
      </w:pPr>
      <w:r w:rsidRPr="00BB5496">
        <w:rPr>
          <w:rFonts w:ascii="Times New Roman" w:eastAsia="Times New Roman" w:hAnsi="Times New Roman" w:cs="Times New Roman"/>
          <w:sz w:val="20"/>
          <w:szCs w:val="20"/>
        </w:rPr>
        <w:t>Therefore, we propose a modification to WA for TYPE1 RA, where the DCI RA-</w:t>
      </w:r>
      <w:r w:rsidR="004576AC" w:rsidRPr="00BB5496">
        <w:rPr>
          <w:rFonts w:ascii="Times New Roman" w:eastAsia="Times New Roman" w:hAnsi="Times New Roman" w:cs="Times New Roman"/>
          <w:sz w:val="20"/>
          <w:szCs w:val="20"/>
        </w:rPr>
        <w:t>bit</w:t>
      </w:r>
      <w:r w:rsidRPr="00BB5496">
        <w:rPr>
          <w:rFonts w:ascii="Times New Roman" w:eastAsia="Times New Roman" w:hAnsi="Times New Roman" w:cs="Times New Roman"/>
          <w:sz w:val="20"/>
          <w:szCs w:val="20"/>
        </w:rPr>
        <w:t>field is interp</w:t>
      </w:r>
      <w:r w:rsidR="004576AC" w:rsidRPr="00BB5496">
        <w:rPr>
          <w:rFonts w:ascii="Times New Roman" w:eastAsia="Times New Roman" w:hAnsi="Times New Roman" w:cs="Times New Roman"/>
          <w:sz w:val="20"/>
          <w:szCs w:val="20"/>
        </w:rPr>
        <w:t>reted based on the shortened</w:t>
      </w:r>
      <w:r w:rsidR="006A00D3" w:rsidRPr="00BB5496">
        <w:rPr>
          <w:rFonts w:ascii="Times New Roman" w:eastAsia="Times New Roman" w:hAnsi="Times New Roman" w:cs="Times New Roman"/>
          <w:sz w:val="20"/>
          <w:szCs w:val="20"/>
        </w:rPr>
        <w:t xml:space="preserve"> virtual</w:t>
      </w:r>
      <w:r w:rsidR="004576AC" w:rsidRPr="00BB5496">
        <w:rPr>
          <w:rFonts w:ascii="Times New Roman" w:eastAsia="Times New Roman" w:hAnsi="Times New Roman" w:cs="Times New Roman"/>
          <w:sz w:val="20"/>
          <w:szCs w:val="20"/>
        </w:rPr>
        <w:t xml:space="preserve"> BW</w:t>
      </w:r>
      <w:r w:rsidR="006A00D3" w:rsidRPr="00BB5496">
        <w:rPr>
          <w:rFonts w:ascii="Times New Roman" w:eastAsia="Times New Roman" w:hAnsi="Times New Roman" w:cs="Times New Roman"/>
          <w:sz w:val="20"/>
          <w:szCs w:val="20"/>
        </w:rPr>
        <w:t xml:space="preserve">P, as shown in Figure </w:t>
      </w:r>
      <w:r w:rsidR="00BB5496">
        <w:rPr>
          <w:rFonts w:ascii="Times New Roman" w:eastAsia="Times New Roman" w:hAnsi="Times New Roman" w:cs="Times New Roman"/>
          <w:sz w:val="20"/>
          <w:szCs w:val="20"/>
        </w:rPr>
        <w:t>4</w:t>
      </w:r>
      <w:r w:rsidR="004576AC" w:rsidRPr="00BB5496">
        <w:rPr>
          <w:rFonts w:ascii="Times New Roman" w:eastAsia="Times New Roman" w:hAnsi="Times New Roman" w:cs="Times New Roman"/>
          <w:sz w:val="20"/>
          <w:szCs w:val="20"/>
        </w:rPr>
        <w:t xml:space="preserve">. The shortened </w:t>
      </w:r>
      <w:r w:rsidR="00905C72" w:rsidRPr="00BB5496">
        <w:rPr>
          <w:rFonts w:ascii="Times New Roman" w:eastAsia="Times New Roman" w:hAnsi="Times New Roman" w:cs="Times New Roman"/>
          <w:sz w:val="20"/>
          <w:szCs w:val="20"/>
        </w:rPr>
        <w:t xml:space="preserve">virtual </w:t>
      </w:r>
      <w:r w:rsidR="004576AC" w:rsidRPr="00BB5496">
        <w:rPr>
          <w:rFonts w:ascii="Times New Roman" w:eastAsia="Times New Roman" w:hAnsi="Times New Roman" w:cs="Times New Roman"/>
          <w:sz w:val="20"/>
          <w:szCs w:val="20"/>
        </w:rPr>
        <w:t xml:space="preserve">BW is determined given the size of the RA-bitfield </w:t>
      </w:r>
      <w:r w:rsidR="00BB5496" w:rsidRPr="00BB5496">
        <w:rPr>
          <w:rFonts w:ascii="Times New Roman" w:eastAsia="Times New Roman" w:hAnsi="Times New Roman" w:cs="Times New Roman"/>
          <w:i/>
          <w:sz w:val="20"/>
          <w:szCs w:val="20"/>
        </w:rPr>
        <w:t>b</w:t>
      </w:r>
      <w:r w:rsidR="00BB5496" w:rsidRPr="00BB5496">
        <w:rPr>
          <w:rFonts w:ascii="Times New Roman" w:eastAsia="Times New Roman" w:hAnsi="Times New Roman" w:cs="Times New Roman"/>
          <w:sz w:val="20"/>
          <w:szCs w:val="20"/>
        </w:rPr>
        <w:t xml:space="preserve"> </w:t>
      </w:r>
      <w:r w:rsidR="004576AC" w:rsidRPr="00BB5496">
        <w:rPr>
          <w:rFonts w:ascii="Times New Roman" w:eastAsia="Times New Roman" w:hAnsi="Times New Roman" w:cs="Times New Roman"/>
          <w:sz w:val="20"/>
          <w:szCs w:val="20"/>
        </w:rPr>
        <w:t>of the BWP</w:t>
      </w:r>
      <w:r w:rsidR="00BB5496">
        <w:rPr>
          <w:rFonts w:ascii="Times New Roman" w:eastAsia="Times New Roman" w:hAnsi="Times New Roman" w:cs="Times New Roman"/>
          <w:sz w:val="20"/>
          <w:szCs w:val="20"/>
        </w:rPr>
        <w:t xml:space="preserve"> where switching DCI is transmitted</w:t>
      </w:r>
      <w:r w:rsidR="004576AC" w:rsidRPr="00BB5496">
        <w:rPr>
          <w:rFonts w:ascii="Times New Roman" w:eastAsia="Times New Roman" w:hAnsi="Times New Roman" w:cs="Times New Roman"/>
          <w:sz w:val="20"/>
          <w:szCs w:val="20"/>
        </w:rPr>
        <w:t xml:space="preserve">, as </w:t>
      </w:r>
      <w:r w:rsidR="004576AC" w:rsidRPr="00BB5496">
        <w:rPr>
          <w:rFonts w:ascii="Times New Roman" w:hAnsi="Times New Roman" w:cs="Times New Roman"/>
          <w:b/>
          <w:color w:val="FF0000"/>
          <w:position w:val="-36"/>
          <w:sz w:val="20"/>
          <w:szCs w:val="20"/>
        </w:rPr>
        <w:object w:dxaOrig="2400" w:dyaOrig="840" w14:anchorId="51792BB5">
          <v:shape id="_x0000_i1033" type="#_x0000_t75" style="width:126pt;height:42pt" o:ole="">
            <v:imagedata r:id="rId31" o:title=""/>
          </v:shape>
          <o:OLEObject Type="Embed" ProgID="Equation.DSMT4" ShapeID="_x0000_i1033" DrawAspect="Content" ObjectID="_1584550729" r:id="rId32"/>
        </w:object>
      </w:r>
      <w:r w:rsidR="004576AC" w:rsidRPr="00BB5496">
        <w:rPr>
          <w:rFonts w:ascii="Times New Roman" w:eastAsia="Times New Roman" w:hAnsi="Times New Roman" w:cs="Times New Roman"/>
          <w:sz w:val="20"/>
          <w:szCs w:val="20"/>
        </w:rPr>
        <w:t>.</w:t>
      </w:r>
      <w:r w:rsidR="00561123">
        <w:rPr>
          <w:rFonts w:ascii="Times New Roman" w:eastAsia="Times New Roman" w:hAnsi="Times New Roman" w:cs="Times New Roman"/>
          <w:sz w:val="20"/>
          <w:szCs w:val="20"/>
        </w:rPr>
        <w:t xml:space="preserve"> The interpretation of RA bitfield according to size of virtual BWP’#1 allows for larger allocations compared to interpretation according to the size of BWP#0.</w:t>
      </w:r>
    </w:p>
    <w:p w14:paraId="7C6E11DC" w14:textId="25B02B0C" w:rsidR="00905C72" w:rsidRDefault="00905C72" w:rsidP="00C06B18">
      <w:pPr>
        <w:jc w:val="both"/>
      </w:pPr>
    </w:p>
    <w:p w14:paraId="131198E2" w14:textId="1043D57C" w:rsidR="00905C72" w:rsidRDefault="00D77853" w:rsidP="00905C72">
      <w:pPr>
        <w:keepNext/>
        <w:jc w:val="center"/>
      </w:pPr>
      <w:r>
        <w:object w:dxaOrig="7188" w:dyaOrig="2172" w14:anchorId="0B250D4E">
          <v:shape id="_x0000_i1034" type="#_x0000_t75" style="width:336pt;height:102pt" o:ole="">
            <v:imagedata r:id="rId33" o:title=""/>
          </v:shape>
          <o:OLEObject Type="Embed" ProgID="Visio.Drawing.15" ShapeID="_x0000_i1034" DrawAspect="Content" ObjectID="_1584550730" r:id="rId34"/>
        </w:object>
      </w:r>
    </w:p>
    <w:p w14:paraId="7270243A" w14:textId="3E44C364" w:rsidR="00905C72" w:rsidRPr="00C06B18" w:rsidRDefault="00905C72" w:rsidP="00905C72">
      <w:pPr>
        <w:pStyle w:val="Caption"/>
        <w:jc w:val="center"/>
        <w:rPr>
          <w:rFonts w:ascii="Times New Roman" w:eastAsia="Times New Roman" w:hAnsi="Times New Roman" w:cs="Times New Roman"/>
        </w:rPr>
      </w:pPr>
      <w:r>
        <w:t xml:space="preserve">Figure </w:t>
      </w:r>
      <w:r w:rsidR="00D45EB9">
        <w:fldChar w:fldCharType="begin"/>
      </w:r>
      <w:r w:rsidR="00D45EB9">
        <w:instrText xml:space="preserve"> SEQ Figure \* ARABIC </w:instrText>
      </w:r>
      <w:r w:rsidR="00D45EB9">
        <w:fldChar w:fldCharType="separate"/>
      </w:r>
      <w:r w:rsidR="009E0C07">
        <w:rPr>
          <w:noProof/>
        </w:rPr>
        <w:t>4</w:t>
      </w:r>
      <w:r w:rsidR="00D45EB9">
        <w:rPr>
          <w:noProof/>
        </w:rPr>
        <w:fldChar w:fldCharType="end"/>
      </w:r>
      <w:r>
        <w:rPr>
          <w:lang w:val="en-US"/>
        </w:rPr>
        <w:t xml:space="preserve"> TYPE1 - proposed - with shortened virtual BWP size</w:t>
      </w:r>
    </w:p>
    <w:p w14:paraId="6D9C16F3" w14:textId="07C8CF54" w:rsidR="003F174E" w:rsidRPr="00BB5496" w:rsidRDefault="00A66544" w:rsidP="00B10D1A">
      <w:pPr>
        <w:jc w:val="both"/>
        <w:rPr>
          <w:rFonts w:ascii="Times New Roman" w:eastAsia="Times New Roman" w:hAnsi="Times New Roman" w:cs="Times New Roman"/>
          <w:sz w:val="20"/>
        </w:rPr>
      </w:pPr>
      <w:r w:rsidRPr="00BB5496">
        <w:rPr>
          <w:rFonts w:ascii="Times New Roman" w:eastAsia="Times New Roman" w:hAnsi="Times New Roman" w:cs="Times New Roman"/>
          <w:sz w:val="20"/>
        </w:rPr>
        <w:t>On the other hand, t</w:t>
      </w:r>
      <w:r w:rsidR="00C06B18" w:rsidRPr="00BB5496">
        <w:rPr>
          <w:rFonts w:ascii="Times New Roman" w:eastAsia="Times New Roman" w:hAnsi="Times New Roman" w:cs="Times New Roman"/>
          <w:sz w:val="20"/>
        </w:rPr>
        <w:t xml:space="preserve">he first slot after transition period </w:t>
      </w:r>
      <w:r w:rsidR="003F174E" w:rsidRPr="00BB5496">
        <w:rPr>
          <w:rFonts w:ascii="Times New Roman" w:eastAsia="Times New Roman" w:hAnsi="Times New Roman" w:cs="Times New Roman"/>
          <w:sz w:val="20"/>
        </w:rPr>
        <w:t>could be scheduled from the new BWP instead, but it cannot be</w:t>
      </w:r>
      <w:r w:rsidRPr="00BB5496">
        <w:rPr>
          <w:rFonts w:ascii="Times New Roman" w:eastAsia="Times New Roman" w:hAnsi="Times New Roman" w:cs="Times New Roman"/>
          <w:sz w:val="20"/>
        </w:rPr>
        <w:t>,</w:t>
      </w:r>
      <w:r w:rsidR="003F174E" w:rsidRPr="00BB5496">
        <w:rPr>
          <w:rFonts w:ascii="Times New Roman" w:eastAsia="Times New Roman" w:hAnsi="Times New Roman" w:cs="Times New Roman"/>
          <w:sz w:val="20"/>
        </w:rPr>
        <w:t xml:space="preserve"> because UE would be mandated to process two PDSCH at the same time</w:t>
      </w:r>
      <w:r w:rsidRPr="00BB5496">
        <w:rPr>
          <w:rFonts w:ascii="Times New Roman" w:eastAsia="Times New Roman" w:hAnsi="Times New Roman" w:cs="Times New Roman"/>
          <w:sz w:val="20"/>
        </w:rPr>
        <w:t>, which can be part of UE’s capability but not a mandatory feature</w:t>
      </w:r>
      <w:r w:rsidR="003F174E" w:rsidRPr="00BB5496">
        <w:rPr>
          <w:rFonts w:ascii="Times New Roman" w:eastAsia="Times New Roman" w:hAnsi="Times New Roman" w:cs="Times New Roman"/>
          <w:sz w:val="20"/>
        </w:rPr>
        <w:t>.</w:t>
      </w:r>
      <w:r w:rsidR="001725ED" w:rsidRPr="00BB5496">
        <w:rPr>
          <w:rFonts w:ascii="Times New Roman" w:eastAsia="Times New Roman" w:hAnsi="Times New Roman" w:cs="Times New Roman"/>
          <w:sz w:val="20"/>
        </w:rPr>
        <w:t xml:space="preserve"> </w:t>
      </w:r>
      <w:r w:rsidR="003F174E" w:rsidRPr="00BB5496">
        <w:rPr>
          <w:rFonts w:ascii="Times New Roman" w:eastAsia="Times New Roman" w:hAnsi="Times New Roman" w:cs="Times New Roman"/>
          <w:sz w:val="20"/>
        </w:rPr>
        <w:t>Therefore, we think that zero-RA “dummy” scheduling DCI for switching should be supported together with the WA (if confirmed</w:t>
      </w:r>
      <w:r w:rsidR="00C06B18" w:rsidRPr="00BB5496">
        <w:rPr>
          <w:rFonts w:ascii="Times New Roman" w:eastAsia="Times New Roman" w:hAnsi="Times New Roman" w:cs="Times New Roman"/>
          <w:sz w:val="20"/>
        </w:rPr>
        <w:t xml:space="preserve"> in some form</w:t>
      </w:r>
      <w:r w:rsidR="003F174E" w:rsidRPr="00BB5496">
        <w:rPr>
          <w:rFonts w:ascii="Times New Roman" w:eastAsia="Times New Roman" w:hAnsi="Times New Roman" w:cs="Times New Roman"/>
          <w:sz w:val="20"/>
        </w:rPr>
        <w:t xml:space="preserve">). Otherwise, we </w:t>
      </w:r>
      <w:r w:rsidRPr="00BB5496">
        <w:rPr>
          <w:rFonts w:ascii="Times New Roman" w:eastAsia="Times New Roman" w:hAnsi="Times New Roman" w:cs="Times New Roman"/>
          <w:sz w:val="20"/>
        </w:rPr>
        <w:t>think that it would be a much cleaner solution to</w:t>
      </w:r>
      <w:r w:rsidR="003F174E" w:rsidRPr="00BB5496">
        <w:rPr>
          <w:rFonts w:ascii="Times New Roman" w:eastAsia="Times New Roman" w:hAnsi="Times New Roman" w:cs="Times New Roman"/>
          <w:sz w:val="20"/>
        </w:rPr>
        <w:t xml:space="preserve"> </w:t>
      </w:r>
      <w:r w:rsidRPr="00BB5496">
        <w:rPr>
          <w:rFonts w:ascii="Times New Roman" w:eastAsia="Times New Roman" w:hAnsi="Times New Roman" w:cs="Times New Roman"/>
          <w:sz w:val="20"/>
        </w:rPr>
        <w:t>support</w:t>
      </w:r>
      <w:r w:rsidR="003F174E" w:rsidRPr="00BB5496">
        <w:rPr>
          <w:rFonts w:ascii="Times New Roman" w:eastAsia="Times New Roman" w:hAnsi="Times New Roman" w:cs="Times New Roman"/>
          <w:sz w:val="20"/>
        </w:rPr>
        <w:t xml:space="preserve"> Option 2</w:t>
      </w:r>
      <w:r w:rsidRPr="00BB5496">
        <w:rPr>
          <w:rFonts w:ascii="Times New Roman" w:eastAsia="Times New Roman" w:hAnsi="Times New Roman" w:cs="Times New Roman"/>
          <w:sz w:val="20"/>
        </w:rPr>
        <w:t>,</w:t>
      </w:r>
      <w:r w:rsidR="003F174E" w:rsidRPr="00BB5496">
        <w:rPr>
          <w:rFonts w:ascii="Times New Roman" w:eastAsia="Times New Roman" w:hAnsi="Times New Roman" w:cs="Times New Roman"/>
          <w:sz w:val="20"/>
        </w:rPr>
        <w:t xml:space="preserve"> discussed in </w:t>
      </w:r>
      <w:r w:rsidR="00561123">
        <w:rPr>
          <w:rFonts w:ascii="Times New Roman" w:eastAsia="Times New Roman" w:hAnsi="Times New Roman" w:cs="Times New Roman"/>
          <w:sz w:val="20"/>
        </w:rPr>
        <w:t xml:space="preserve">the </w:t>
      </w:r>
      <w:r w:rsidR="003F174E" w:rsidRPr="00BB5496">
        <w:rPr>
          <w:rFonts w:ascii="Times New Roman" w:eastAsia="Times New Roman" w:hAnsi="Times New Roman" w:cs="Times New Roman"/>
          <w:sz w:val="20"/>
        </w:rPr>
        <w:t>last meeting</w:t>
      </w:r>
      <w:r w:rsidRPr="00BB5496">
        <w:rPr>
          <w:rFonts w:ascii="Times New Roman" w:eastAsia="Times New Roman" w:hAnsi="Times New Roman" w:cs="Times New Roman"/>
          <w:sz w:val="20"/>
        </w:rPr>
        <w:t>,</w:t>
      </w:r>
      <w:r w:rsidR="003F174E" w:rsidRPr="00BB5496">
        <w:rPr>
          <w:rFonts w:ascii="Times New Roman" w:eastAsia="Times New Roman" w:hAnsi="Times New Roman" w:cs="Times New Roman"/>
          <w:sz w:val="20"/>
        </w:rPr>
        <w:t xml:space="preserve"> where </w:t>
      </w:r>
      <w:r w:rsidR="000B35CB" w:rsidRPr="00BB5496">
        <w:rPr>
          <w:rFonts w:ascii="Times New Roman" w:eastAsia="Times New Roman" w:hAnsi="Times New Roman" w:cs="Times New Roman"/>
          <w:sz w:val="20"/>
        </w:rPr>
        <w:t xml:space="preserve">a </w:t>
      </w:r>
      <w:r w:rsidR="003F174E" w:rsidRPr="00BB5496">
        <w:rPr>
          <w:rFonts w:ascii="Times New Roman" w:eastAsia="Times New Roman" w:hAnsi="Times New Roman" w:cs="Times New Roman"/>
          <w:sz w:val="20"/>
        </w:rPr>
        <w:t>size</w:t>
      </w:r>
      <w:r w:rsidR="000B35CB" w:rsidRPr="00BB5496">
        <w:rPr>
          <w:rFonts w:ascii="Times New Roman" w:eastAsia="Times New Roman" w:hAnsi="Times New Roman" w:cs="Times New Roman"/>
          <w:sz w:val="20"/>
        </w:rPr>
        <w:t xml:space="preserve"> of a DCI format bitfield</w:t>
      </w:r>
      <w:r w:rsidR="0036702F" w:rsidRPr="00BB5496">
        <w:rPr>
          <w:rFonts w:ascii="Times New Roman" w:eastAsia="Times New Roman" w:hAnsi="Times New Roman" w:cs="Times New Roman"/>
          <w:sz w:val="20"/>
        </w:rPr>
        <w:t>s</w:t>
      </w:r>
      <w:r w:rsidR="003F174E" w:rsidRPr="00BB5496">
        <w:rPr>
          <w:rFonts w:ascii="Times New Roman" w:eastAsia="Times New Roman" w:hAnsi="Times New Roman" w:cs="Times New Roman"/>
          <w:sz w:val="20"/>
        </w:rPr>
        <w:t xml:space="preserve"> </w:t>
      </w:r>
      <w:r w:rsidR="0036702F" w:rsidRPr="00BB5496">
        <w:rPr>
          <w:rFonts w:ascii="Times New Roman" w:eastAsia="Times New Roman" w:hAnsi="Times New Roman" w:cs="Times New Roman"/>
          <w:sz w:val="20"/>
        </w:rPr>
        <w:t>are</w:t>
      </w:r>
      <w:r w:rsidR="003F174E" w:rsidRPr="00BB5496">
        <w:rPr>
          <w:rFonts w:ascii="Times New Roman" w:eastAsia="Times New Roman" w:hAnsi="Times New Roman" w:cs="Times New Roman"/>
          <w:sz w:val="20"/>
        </w:rPr>
        <w:t xml:space="preserve"> constant across BWPs</w:t>
      </w:r>
      <w:r w:rsidR="00C06B18" w:rsidRPr="00BB5496">
        <w:rPr>
          <w:rFonts w:ascii="Times New Roman" w:eastAsia="Times New Roman" w:hAnsi="Times New Roman" w:cs="Times New Roman"/>
          <w:sz w:val="20"/>
        </w:rPr>
        <w:t xml:space="preserve">, </w:t>
      </w:r>
      <w:r w:rsidR="003F174E" w:rsidRPr="00BB5496">
        <w:rPr>
          <w:rFonts w:ascii="Times New Roman" w:eastAsia="Times New Roman" w:hAnsi="Times New Roman" w:cs="Times New Roman"/>
          <w:sz w:val="20"/>
        </w:rPr>
        <w:t>and determined by the largest size</w:t>
      </w:r>
      <w:r w:rsidR="000B35CB" w:rsidRPr="00BB5496">
        <w:rPr>
          <w:rFonts w:ascii="Times New Roman" w:eastAsia="Times New Roman" w:hAnsi="Times New Roman" w:cs="Times New Roman"/>
          <w:sz w:val="20"/>
        </w:rPr>
        <w:t xml:space="preserve"> of bitfield</w:t>
      </w:r>
      <w:r w:rsidR="003F174E" w:rsidRPr="00BB5496">
        <w:rPr>
          <w:rFonts w:ascii="Times New Roman" w:eastAsia="Times New Roman" w:hAnsi="Times New Roman" w:cs="Times New Roman"/>
          <w:sz w:val="20"/>
        </w:rPr>
        <w:t xml:space="preserve"> </w:t>
      </w:r>
      <w:r w:rsidR="004B525B" w:rsidRPr="00BB5496">
        <w:rPr>
          <w:rFonts w:ascii="Times New Roman" w:eastAsia="Times New Roman" w:hAnsi="Times New Roman" w:cs="Times New Roman"/>
          <w:sz w:val="20"/>
        </w:rPr>
        <w:t>across configured</w:t>
      </w:r>
      <w:r w:rsidR="003F174E" w:rsidRPr="00BB5496">
        <w:rPr>
          <w:rFonts w:ascii="Times New Roman" w:eastAsia="Times New Roman" w:hAnsi="Times New Roman" w:cs="Times New Roman"/>
          <w:sz w:val="20"/>
        </w:rPr>
        <w:t xml:space="preserve"> BWP</w:t>
      </w:r>
      <w:r w:rsidRPr="00BB5496">
        <w:rPr>
          <w:rFonts w:ascii="Times New Roman" w:eastAsia="Times New Roman" w:hAnsi="Times New Roman" w:cs="Times New Roman"/>
          <w:sz w:val="20"/>
        </w:rPr>
        <w:t xml:space="preserve">s, rather than </w:t>
      </w:r>
      <w:r w:rsidR="0036702F" w:rsidRPr="00BB5496">
        <w:rPr>
          <w:rFonts w:ascii="Times New Roman" w:eastAsia="Times New Roman" w:hAnsi="Times New Roman" w:cs="Times New Roman"/>
          <w:sz w:val="20"/>
        </w:rPr>
        <w:t>above</w:t>
      </w:r>
      <w:r w:rsidRPr="00BB5496">
        <w:rPr>
          <w:rFonts w:ascii="Times New Roman" w:eastAsia="Times New Roman" w:hAnsi="Times New Roman" w:cs="Times New Roman"/>
          <w:sz w:val="20"/>
        </w:rPr>
        <w:t xml:space="preserve"> messy solution.</w:t>
      </w:r>
      <w:r w:rsidR="003F174E" w:rsidRPr="00BB5496">
        <w:rPr>
          <w:rFonts w:ascii="Times New Roman" w:eastAsia="Times New Roman" w:hAnsi="Times New Roman" w:cs="Times New Roman"/>
          <w:sz w:val="20"/>
        </w:rPr>
        <w:t xml:space="preserve"> </w:t>
      </w:r>
      <w:r w:rsidR="00561123">
        <w:rPr>
          <w:rFonts w:ascii="Times New Roman" w:eastAsia="Times New Roman" w:hAnsi="Times New Roman" w:cs="Times New Roman"/>
          <w:sz w:val="20"/>
        </w:rPr>
        <w:t>Based on above discussion we have the following proposal:</w:t>
      </w:r>
    </w:p>
    <w:p w14:paraId="1D258FD1" w14:textId="61604C71" w:rsidR="003F174E" w:rsidRPr="00BB5496" w:rsidRDefault="003F174E" w:rsidP="008B471A">
      <w:pPr>
        <w:spacing w:after="0"/>
        <w:jc w:val="both"/>
        <w:rPr>
          <w:rFonts w:ascii="Times New Roman" w:eastAsia="Times New Roman" w:hAnsi="Times New Roman" w:cs="Times New Roman"/>
          <w:b/>
          <w:sz w:val="20"/>
        </w:rPr>
      </w:pPr>
      <w:bookmarkStart w:id="5" w:name="_Hlk505962253"/>
      <w:r w:rsidRPr="00BB5496">
        <w:rPr>
          <w:rFonts w:ascii="Times New Roman" w:eastAsia="Times New Roman" w:hAnsi="Times New Roman" w:cs="Times New Roman"/>
          <w:b/>
          <w:sz w:val="20"/>
        </w:rPr>
        <w:t>Proposal-</w:t>
      </w:r>
      <w:r w:rsidR="00D77853" w:rsidRPr="00BB5496">
        <w:rPr>
          <w:rFonts w:ascii="Times New Roman" w:eastAsia="Times New Roman" w:hAnsi="Times New Roman" w:cs="Times New Roman"/>
          <w:b/>
          <w:sz w:val="20"/>
        </w:rPr>
        <w:t>1</w:t>
      </w:r>
      <w:r w:rsidRPr="00BB5496">
        <w:rPr>
          <w:rFonts w:ascii="Times New Roman" w:eastAsia="Times New Roman" w:hAnsi="Times New Roman" w:cs="Times New Roman"/>
          <w:b/>
          <w:sz w:val="20"/>
        </w:rPr>
        <w:t>: Support one of the following</w:t>
      </w:r>
      <w:r w:rsidR="004B525B" w:rsidRPr="00BB5496">
        <w:rPr>
          <w:rFonts w:ascii="Times New Roman" w:eastAsia="Times New Roman" w:hAnsi="Times New Roman" w:cs="Times New Roman"/>
          <w:b/>
          <w:sz w:val="20"/>
        </w:rPr>
        <w:t xml:space="preserve"> alternatives</w:t>
      </w:r>
      <w:r w:rsidRPr="00BB5496">
        <w:rPr>
          <w:rFonts w:ascii="Times New Roman" w:eastAsia="Times New Roman" w:hAnsi="Times New Roman" w:cs="Times New Roman"/>
          <w:b/>
          <w:sz w:val="20"/>
        </w:rPr>
        <w:t>:</w:t>
      </w:r>
    </w:p>
    <w:p w14:paraId="6E4B43C0" w14:textId="77777777" w:rsidR="004B525B" w:rsidRPr="00BB5496" w:rsidRDefault="004B525B" w:rsidP="004B525B">
      <w:pPr>
        <w:numPr>
          <w:ilvl w:val="0"/>
          <w:numId w:val="23"/>
        </w:numPr>
        <w:spacing w:after="0" w:line="240" w:lineRule="auto"/>
        <w:rPr>
          <w:rFonts w:ascii="Times New Roman" w:hAnsi="Times New Roman" w:cs="Times New Roman"/>
          <w:b/>
          <w:sz w:val="20"/>
          <w:szCs w:val="20"/>
          <w:lang w:eastAsia="x-none"/>
        </w:rPr>
      </w:pPr>
      <w:r w:rsidRPr="00BB5496">
        <w:rPr>
          <w:rFonts w:ascii="Times New Roman" w:eastAsia="Times New Roman" w:hAnsi="Times New Roman" w:cs="Times New Roman"/>
          <w:b/>
          <w:sz w:val="20"/>
        </w:rPr>
        <w:t>ALT1:</w:t>
      </w:r>
    </w:p>
    <w:p w14:paraId="616B69D2" w14:textId="1D129D1C" w:rsidR="004B525B" w:rsidRPr="00BB5496" w:rsidRDefault="004B525B" w:rsidP="004B525B">
      <w:pPr>
        <w:pStyle w:val="ListParagraph"/>
        <w:numPr>
          <w:ilvl w:val="1"/>
          <w:numId w:val="23"/>
        </w:numPr>
        <w:spacing w:after="0" w:line="240" w:lineRule="auto"/>
        <w:rPr>
          <w:rFonts w:ascii="Times New Roman" w:hAnsi="Times New Roman" w:cs="Times New Roman"/>
          <w:b/>
          <w:sz w:val="20"/>
          <w:szCs w:val="20"/>
          <w:lang w:eastAsia="x-none"/>
        </w:rPr>
      </w:pPr>
      <w:r w:rsidRPr="00BB5496">
        <w:rPr>
          <w:rFonts w:ascii="Times New Roman" w:hAnsi="Times New Roman" w:cs="Times New Roman"/>
          <w:b/>
          <w:sz w:val="20"/>
          <w:szCs w:val="20"/>
          <w:lang w:eastAsia="x-none"/>
        </w:rPr>
        <w:lastRenderedPageBreak/>
        <w:t>Sizes of all DCI bitfields in DCI formats 0-1 and 1-1 in USS determined by current BWP. Data transmitted on the BWP indicated by the BWP index. If the BWP index activates another BWP, transform as follows:</w:t>
      </w:r>
    </w:p>
    <w:p w14:paraId="70C79014" w14:textId="5FAB9A55" w:rsidR="004B525B" w:rsidRPr="00BB5496" w:rsidRDefault="004B0BC6" w:rsidP="004B525B">
      <w:pPr>
        <w:numPr>
          <w:ilvl w:val="2"/>
          <w:numId w:val="23"/>
        </w:numPr>
        <w:spacing w:after="0" w:line="240" w:lineRule="auto"/>
        <w:rPr>
          <w:rFonts w:ascii="Times New Roman" w:hAnsi="Times New Roman" w:cs="Times New Roman"/>
          <w:b/>
          <w:color w:val="FF0000"/>
          <w:sz w:val="20"/>
          <w:szCs w:val="20"/>
          <w:lang w:eastAsia="x-none"/>
        </w:rPr>
      </w:pPr>
      <w:r w:rsidRPr="00BB5496">
        <w:rPr>
          <w:rFonts w:ascii="Times New Roman" w:hAnsi="Times New Roman" w:cs="Times New Roman"/>
          <w:b/>
          <w:color w:val="FF0000"/>
          <w:sz w:val="20"/>
          <w:szCs w:val="20"/>
          <w:lang w:eastAsia="x-none"/>
        </w:rPr>
        <w:t>For TYPE0 RA</w:t>
      </w:r>
      <w:r w:rsidRPr="00BB5496">
        <w:rPr>
          <w:rFonts w:ascii="Times New Roman" w:hAnsi="Times New Roman" w:cs="Times New Roman"/>
          <w:b/>
          <w:sz w:val="20"/>
          <w:szCs w:val="20"/>
          <w:lang w:eastAsia="x-none"/>
        </w:rPr>
        <w:t>, z</w:t>
      </w:r>
      <w:r w:rsidR="004B525B" w:rsidRPr="00BB5496">
        <w:rPr>
          <w:rFonts w:ascii="Times New Roman" w:hAnsi="Times New Roman" w:cs="Times New Roman"/>
          <w:b/>
          <w:sz w:val="20"/>
          <w:szCs w:val="20"/>
          <w:lang w:eastAsia="x-none"/>
        </w:rPr>
        <w:t>ero-pad too small bitfields</w:t>
      </w:r>
      <w:r w:rsidR="00611C68" w:rsidRPr="00BB5496">
        <w:rPr>
          <w:rFonts w:ascii="Times New Roman" w:hAnsi="Times New Roman" w:cs="Times New Roman"/>
          <w:b/>
          <w:sz w:val="20"/>
          <w:szCs w:val="20"/>
          <w:lang w:eastAsia="x-none"/>
        </w:rPr>
        <w:t xml:space="preserve"> to match the</w:t>
      </w:r>
      <w:r w:rsidRPr="00BB5496">
        <w:rPr>
          <w:rFonts w:ascii="Times New Roman" w:hAnsi="Times New Roman" w:cs="Times New Roman"/>
          <w:b/>
          <w:sz w:val="20"/>
          <w:szCs w:val="20"/>
          <w:lang w:eastAsia="x-none"/>
        </w:rPr>
        <w:t xml:space="preserve"> </w:t>
      </w:r>
      <w:r w:rsidRPr="00BB5496">
        <w:rPr>
          <w:rFonts w:ascii="Times New Roman" w:hAnsi="Times New Roman" w:cs="Times New Roman"/>
          <w:b/>
          <w:color w:val="FF0000"/>
          <w:sz w:val="20"/>
          <w:szCs w:val="20"/>
          <w:lang w:eastAsia="x-none"/>
        </w:rPr>
        <w:t>bitfield size of</w:t>
      </w:r>
      <w:r w:rsidR="00611C68" w:rsidRPr="00BB5496">
        <w:rPr>
          <w:rFonts w:ascii="Times New Roman" w:hAnsi="Times New Roman" w:cs="Times New Roman"/>
          <w:b/>
          <w:sz w:val="20"/>
          <w:szCs w:val="20"/>
          <w:lang w:eastAsia="x-none"/>
        </w:rPr>
        <w:t xml:space="preserve"> new BWP</w:t>
      </w:r>
      <w:r w:rsidR="004B525B" w:rsidRPr="00BB5496">
        <w:rPr>
          <w:rFonts w:ascii="Times New Roman" w:hAnsi="Times New Roman" w:cs="Times New Roman"/>
          <w:b/>
          <w:color w:val="FF0000"/>
          <w:sz w:val="20"/>
          <w:szCs w:val="20"/>
          <w:lang w:eastAsia="x-none"/>
        </w:rPr>
        <w:t xml:space="preserve"> </w:t>
      </w:r>
    </w:p>
    <w:p w14:paraId="745A17A2" w14:textId="755EF2EB" w:rsidR="004B0BC6" w:rsidRPr="00BB5496" w:rsidRDefault="004B0BC6" w:rsidP="00ED2553">
      <w:pPr>
        <w:numPr>
          <w:ilvl w:val="2"/>
          <w:numId w:val="23"/>
        </w:numPr>
        <w:spacing w:after="0" w:line="240" w:lineRule="auto"/>
        <w:rPr>
          <w:rFonts w:ascii="Times New Roman" w:hAnsi="Times New Roman" w:cs="Times New Roman"/>
          <w:b/>
          <w:color w:val="FF0000"/>
          <w:sz w:val="20"/>
          <w:szCs w:val="20"/>
          <w:lang w:eastAsia="x-none"/>
        </w:rPr>
      </w:pPr>
      <w:r w:rsidRPr="00BB5496">
        <w:rPr>
          <w:rFonts w:ascii="Times New Roman" w:hAnsi="Times New Roman" w:cs="Times New Roman"/>
          <w:b/>
          <w:color w:val="FF0000"/>
          <w:sz w:val="20"/>
        </w:rPr>
        <w:t xml:space="preserve">For TYPE1 RA, </w:t>
      </w:r>
      <w:r w:rsidRPr="00BB5496">
        <w:rPr>
          <w:rFonts w:ascii="Times New Roman" w:hAnsi="Times New Roman" w:cs="Times New Roman"/>
          <w:b/>
          <w:color w:val="FF0000"/>
          <w:sz w:val="20"/>
          <w:szCs w:val="20"/>
          <w:lang w:eastAsia="x-none"/>
        </w:rPr>
        <w:t xml:space="preserve">reinterpret the too small bitfield of size b based on shortened BWP size </w:t>
      </w:r>
      <w:r w:rsidR="00226537" w:rsidRPr="00BB5496">
        <w:rPr>
          <w:rFonts w:ascii="Times New Roman" w:hAnsi="Times New Roman" w:cs="Times New Roman"/>
          <w:b/>
          <w:color w:val="FF0000"/>
          <w:position w:val="-36"/>
          <w:sz w:val="20"/>
        </w:rPr>
        <w:object w:dxaOrig="2400" w:dyaOrig="840" w14:anchorId="086B4FA9">
          <v:shape id="_x0000_i1035" type="#_x0000_t75" style="width:97.2pt;height:32.4pt" o:ole="">
            <v:imagedata r:id="rId31" o:title=""/>
          </v:shape>
          <o:OLEObject Type="Embed" ProgID="Equation.DSMT4" ShapeID="_x0000_i1035" DrawAspect="Content" ObjectID="_1584550731" r:id="rId35"/>
        </w:object>
      </w:r>
      <w:r w:rsidRPr="00BB5496">
        <w:rPr>
          <w:rFonts w:ascii="Times New Roman" w:hAnsi="Times New Roman" w:cs="Times New Roman"/>
          <w:b/>
          <w:color w:val="FF0000"/>
          <w:sz w:val="20"/>
        </w:rPr>
        <w:t xml:space="preserve">of the new BWP </w:t>
      </w:r>
    </w:p>
    <w:p w14:paraId="73F836E0" w14:textId="4CF259C9" w:rsidR="004B525B" w:rsidRPr="00BB5496" w:rsidRDefault="004B525B" w:rsidP="004B525B">
      <w:pPr>
        <w:numPr>
          <w:ilvl w:val="2"/>
          <w:numId w:val="23"/>
        </w:numPr>
        <w:spacing w:after="0" w:line="240" w:lineRule="auto"/>
        <w:jc w:val="both"/>
        <w:rPr>
          <w:rFonts w:ascii="Times New Roman" w:eastAsia="Times New Roman" w:hAnsi="Times New Roman" w:cs="Times New Roman"/>
          <w:b/>
          <w:sz w:val="20"/>
        </w:rPr>
      </w:pPr>
      <w:r w:rsidRPr="00BB5496">
        <w:rPr>
          <w:rFonts w:ascii="Times New Roman" w:hAnsi="Times New Roman" w:cs="Times New Roman"/>
          <w:b/>
          <w:sz w:val="20"/>
          <w:szCs w:val="20"/>
          <w:lang w:eastAsia="x-none"/>
        </w:rPr>
        <w:t>Truncate too large bitfields to match the</w:t>
      </w:r>
      <w:r w:rsidR="004B0BC6" w:rsidRPr="00BB5496">
        <w:rPr>
          <w:rFonts w:ascii="Times New Roman" w:hAnsi="Times New Roman" w:cs="Times New Roman"/>
          <w:b/>
          <w:sz w:val="20"/>
          <w:szCs w:val="20"/>
          <w:lang w:eastAsia="x-none"/>
        </w:rPr>
        <w:t xml:space="preserve"> </w:t>
      </w:r>
      <w:r w:rsidR="004B0BC6" w:rsidRPr="00BB5496">
        <w:rPr>
          <w:rFonts w:ascii="Times New Roman" w:hAnsi="Times New Roman" w:cs="Times New Roman"/>
          <w:b/>
          <w:color w:val="FF0000"/>
          <w:sz w:val="20"/>
          <w:szCs w:val="20"/>
          <w:lang w:eastAsia="x-none"/>
        </w:rPr>
        <w:t>bitfield size of</w:t>
      </w:r>
      <w:r w:rsidRPr="00BB5496">
        <w:rPr>
          <w:rFonts w:ascii="Times New Roman" w:hAnsi="Times New Roman" w:cs="Times New Roman"/>
          <w:b/>
          <w:sz w:val="20"/>
          <w:szCs w:val="20"/>
          <w:lang w:eastAsia="x-none"/>
        </w:rPr>
        <w:t xml:space="preserve"> new BWP</w:t>
      </w:r>
      <w:r w:rsidR="00611C68" w:rsidRPr="00BB5496">
        <w:rPr>
          <w:rFonts w:ascii="Times New Roman" w:hAnsi="Times New Roman" w:cs="Times New Roman"/>
          <w:b/>
          <w:color w:val="FF0000"/>
          <w:sz w:val="20"/>
          <w:szCs w:val="20"/>
          <w:lang w:eastAsia="x-none"/>
        </w:rPr>
        <w:t xml:space="preserve"> of new BWP to match bitfields of current BWP</w:t>
      </w:r>
      <w:r w:rsidR="00FC1578" w:rsidRPr="00BB5496">
        <w:rPr>
          <w:rFonts w:ascii="Times New Roman" w:hAnsi="Times New Roman" w:cs="Times New Roman"/>
          <w:b/>
          <w:sz w:val="20"/>
          <w:szCs w:val="20"/>
          <w:lang w:eastAsia="x-none"/>
        </w:rPr>
        <w:t xml:space="preserve">, </w:t>
      </w:r>
      <w:r w:rsidR="008B471A" w:rsidRPr="00BB5496">
        <w:rPr>
          <w:rFonts w:ascii="Times New Roman" w:hAnsi="Times New Roman" w:cs="Times New Roman"/>
          <w:b/>
          <w:sz w:val="20"/>
          <w:szCs w:val="20"/>
          <w:lang w:eastAsia="x-none"/>
        </w:rPr>
        <w:t xml:space="preserve">UE determines </w:t>
      </w:r>
      <w:r w:rsidR="00FC1578" w:rsidRPr="00BB5496">
        <w:rPr>
          <w:rFonts w:ascii="Times New Roman" w:hAnsi="Times New Roman" w:cs="Times New Roman"/>
          <w:b/>
          <w:sz w:val="20"/>
          <w:szCs w:val="20"/>
          <w:lang w:eastAsia="x-none"/>
        </w:rPr>
        <w:t>the</w:t>
      </w:r>
      <w:r w:rsidR="00611C68" w:rsidRPr="00BB5496">
        <w:rPr>
          <w:rFonts w:ascii="Times New Roman" w:hAnsi="Times New Roman" w:cs="Times New Roman"/>
          <w:b/>
          <w:sz w:val="20"/>
          <w:szCs w:val="20"/>
          <w:lang w:eastAsia="x-none"/>
        </w:rPr>
        <w:t xml:space="preserve"> frequency resource</w:t>
      </w:r>
      <w:r w:rsidR="008B471A" w:rsidRPr="00BB5496">
        <w:rPr>
          <w:rFonts w:ascii="Times New Roman" w:hAnsi="Times New Roman" w:cs="Times New Roman"/>
          <w:b/>
          <w:sz w:val="20"/>
          <w:szCs w:val="20"/>
          <w:lang w:eastAsia="x-none"/>
        </w:rPr>
        <w:t xml:space="preserve"> allocation </w:t>
      </w:r>
    </w:p>
    <w:p w14:paraId="3531666D" w14:textId="76973885" w:rsidR="003F174E" w:rsidRPr="00BB5496" w:rsidRDefault="008B471A" w:rsidP="004B525B">
      <w:pPr>
        <w:pStyle w:val="ListParagraph"/>
        <w:numPr>
          <w:ilvl w:val="2"/>
          <w:numId w:val="23"/>
        </w:numPr>
        <w:jc w:val="both"/>
        <w:rPr>
          <w:rFonts w:ascii="Times New Roman" w:eastAsia="Times New Roman" w:hAnsi="Times New Roman" w:cs="Times New Roman"/>
          <w:b/>
          <w:color w:val="FF0000"/>
          <w:sz w:val="20"/>
        </w:rPr>
      </w:pPr>
      <w:r w:rsidRPr="00BB5496">
        <w:rPr>
          <w:rFonts w:ascii="Times New Roman" w:eastAsia="Times New Roman" w:hAnsi="Times New Roman" w:cs="Times New Roman"/>
          <w:b/>
          <w:color w:val="FF0000"/>
          <w:sz w:val="20"/>
        </w:rPr>
        <w:t xml:space="preserve">When </w:t>
      </w:r>
      <w:r w:rsidR="003F174E" w:rsidRPr="00BB5496">
        <w:rPr>
          <w:rFonts w:ascii="Times New Roman" w:eastAsia="Times New Roman" w:hAnsi="Times New Roman" w:cs="Times New Roman"/>
          <w:b/>
          <w:color w:val="FF0000"/>
          <w:sz w:val="20"/>
        </w:rPr>
        <w:t>TYPE0 RA bit</w:t>
      </w:r>
      <w:r w:rsidRPr="00BB5496">
        <w:rPr>
          <w:rFonts w:ascii="Times New Roman" w:eastAsia="Times New Roman" w:hAnsi="Times New Roman" w:cs="Times New Roman"/>
          <w:b/>
          <w:color w:val="FF0000"/>
          <w:sz w:val="20"/>
        </w:rPr>
        <w:t xml:space="preserve">s are </w:t>
      </w:r>
      <w:r w:rsidR="00611C68" w:rsidRPr="00BB5496">
        <w:rPr>
          <w:rFonts w:ascii="Times New Roman" w:eastAsia="Times New Roman" w:hAnsi="Times New Roman" w:cs="Times New Roman"/>
          <w:b/>
          <w:color w:val="FF0000"/>
          <w:sz w:val="20"/>
        </w:rPr>
        <w:t xml:space="preserve">all </w:t>
      </w:r>
      <w:r w:rsidRPr="00BB5496">
        <w:rPr>
          <w:rFonts w:ascii="Times New Roman" w:eastAsia="Times New Roman" w:hAnsi="Times New Roman" w:cs="Times New Roman"/>
          <w:b/>
          <w:color w:val="FF0000"/>
          <w:sz w:val="20"/>
        </w:rPr>
        <w:t>set</w:t>
      </w:r>
      <w:r w:rsidR="003F174E" w:rsidRPr="00BB5496">
        <w:rPr>
          <w:rFonts w:ascii="Times New Roman" w:eastAsia="Times New Roman" w:hAnsi="Times New Roman" w:cs="Times New Roman"/>
          <w:b/>
          <w:color w:val="FF0000"/>
          <w:sz w:val="20"/>
        </w:rPr>
        <w:t xml:space="preserve"> to 0</w:t>
      </w:r>
      <w:r w:rsidRPr="00BB5496">
        <w:rPr>
          <w:rFonts w:ascii="Times New Roman" w:eastAsia="Times New Roman" w:hAnsi="Times New Roman" w:cs="Times New Roman"/>
          <w:b/>
          <w:color w:val="FF0000"/>
          <w:sz w:val="20"/>
        </w:rPr>
        <w:t xml:space="preserve">, the scheduling grant </w:t>
      </w:r>
      <w:r w:rsidR="00611C68" w:rsidRPr="00BB5496">
        <w:rPr>
          <w:rFonts w:ascii="Times New Roman" w:eastAsia="Times New Roman" w:hAnsi="Times New Roman" w:cs="Times New Roman"/>
          <w:b/>
          <w:color w:val="FF0000"/>
          <w:sz w:val="20"/>
        </w:rPr>
        <w:t xml:space="preserve">is </w:t>
      </w:r>
      <w:r w:rsidRPr="00BB5496">
        <w:rPr>
          <w:rFonts w:ascii="Times New Roman" w:eastAsia="Times New Roman" w:hAnsi="Times New Roman" w:cs="Times New Roman"/>
          <w:b/>
          <w:color w:val="FF0000"/>
          <w:sz w:val="20"/>
        </w:rPr>
        <w:t>zero-RA grant</w:t>
      </w:r>
    </w:p>
    <w:p w14:paraId="4DABDB60" w14:textId="3286C097" w:rsidR="008B471A" w:rsidRPr="00BB5496" w:rsidRDefault="008B471A" w:rsidP="008B471A">
      <w:pPr>
        <w:pStyle w:val="ListParagraph"/>
        <w:numPr>
          <w:ilvl w:val="2"/>
          <w:numId w:val="23"/>
        </w:numPr>
        <w:jc w:val="both"/>
        <w:rPr>
          <w:rFonts w:ascii="Times New Roman" w:eastAsia="Times New Roman" w:hAnsi="Times New Roman" w:cs="Times New Roman"/>
          <w:b/>
          <w:color w:val="FF0000"/>
          <w:sz w:val="20"/>
        </w:rPr>
      </w:pPr>
      <w:r w:rsidRPr="00BB5496">
        <w:rPr>
          <w:rFonts w:ascii="Times New Roman" w:eastAsia="Times New Roman" w:hAnsi="Times New Roman" w:cs="Times New Roman"/>
          <w:b/>
          <w:color w:val="FF0000"/>
          <w:sz w:val="20"/>
        </w:rPr>
        <w:t xml:space="preserve">When TYPE1 RA bits are </w:t>
      </w:r>
      <w:r w:rsidR="00611C68" w:rsidRPr="00BB5496">
        <w:rPr>
          <w:rFonts w:ascii="Times New Roman" w:eastAsia="Times New Roman" w:hAnsi="Times New Roman" w:cs="Times New Roman"/>
          <w:b/>
          <w:color w:val="FF0000"/>
          <w:sz w:val="20"/>
        </w:rPr>
        <w:t xml:space="preserve">all </w:t>
      </w:r>
      <w:r w:rsidRPr="00BB5496">
        <w:rPr>
          <w:rFonts w:ascii="Times New Roman" w:eastAsia="Times New Roman" w:hAnsi="Times New Roman" w:cs="Times New Roman"/>
          <w:b/>
          <w:color w:val="FF0000"/>
          <w:sz w:val="20"/>
        </w:rPr>
        <w:t xml:space="preserve">set to 1, the scheduling grant </w:t>
      </w:r>
      <w:r w:rsidR="00611C68" w:rsidRPr="00BB5496">
        <w:rPr>
          <w:rFonts w:ascii="Times New Roman" w:eastAsia="Times New Roman" w:hAnsi="Times New Roman" w:cs="Times New Roman"/>
          <w:b/>
          <w:color w:val="FF0000"/>
          <w:sz w:val="20"/>
        </w:rPr>
        <w:t xml:space="preserve">is </w:t>
      </w:r>
      <w:r w:rsidRPr="00BB5496">
        <w:rPr>
          <w:rFonts w:ascii="Times New Roman" w:eastAsia="Times New Roman" w:hAnsi="Times New Roman" w:cs="Times New Roman"/>
          <w:b/>
          <w:color w:val="FF0000"/>
          <w:sz w:val="20"/>
        </w:rPr>
        <w:t>zero-RA grant</w:t>
      </w:r>
    </w:p>
    <w:p w14:paraId="2C92D83C" w14:textId="131B82EA" w:rsidR="00D510E2" w:rsidRPr="00BB5496" w:rsidRDefault="004B525B" w:rsidP="00F708E1">
      <w:pPr>
        <w:pStyle w:val="ListParagraph"/>
        <w:numPr>
          <w:ilvl w:val="0"/>
          <w:numId w:val="23"/>
        </w:numPr>
        <w:jc w:val="both"/>
        <w:rPr>
          <w:rFonts w:ascii="Times New Roman" w:eastAsia="Times New Roman" w:hAnsi="Times New Roman" w:cs="Times New Roman"/>
          <w:sz w:val="20"/>
        </w:rPr>
      </w:pPr>
      <w:r w:rsidRPr="00BB5496">
        <w:rPr>
          <w:rFonts w:ascii="Times New Roman" w:eastAsia="Times New Roman" w:hAnsi="Times New Roman" w:cs="Times New Roman"/>
          <w:b/>
          <w:sz w:val="20"/>
        </w:rPr>
        <w:t>ALT2</w:t>
      </w:r>
      <w:r w:rsidR="00A66544" w:rsidRPr="00BB5496">
        <w:rPr>
          <w:rFonts w:ascii="Times New Roman" w:eastAsia="Times New Roman" w:hAnsi="Times New Roman" w:cs="Times New Roman"/>
          <w:b/>
          <w:sz w:val="20"/>
        </w:rPr>
        <w:t xml:space="preserve"> (our preference)</w:t>
      </w:r>
      <w:r w:rsidRPr="00BB5496">
        <w:rPr>
          <w:rFonts w:ascii="Times New Roman" w:eastAsia="Times New Roman" w:hAnsi="Times New Roman" w:cs="Times New Roman"/>
          <w:b/>
          <w:sz w:val="20"/>
        </w:rPr>
        <w:t>:</w:t>
      </w:r>
      <w:r w:rsidR="00A66544" w:rsidRPr="00BB5496">
        <w:rPr>
          <w:rFonts w:ascii="Times New Roman" w:eastAsia="Times New Roman" w:hAnsi="Times New Roman" w:cs="Times New Roman"/>
          <w:b/>
          <w:sz w:val="20"/>
        </w:rPr>
        <w:t xml:space="preserve"> Do not confirm the WA.</w:t>
      </w:r>
      <w:r w:rsidRPr="00BB5496">
        <w:rPr>
          <w:rFonts w:ascii="Times New Roman" w:eastAsia="Times New Roman" w:hAnsi="Times New Roman" w:cs="Times New Roman"/>
          <w:b/>
          <w:sz w:val="20"/>
        </w:rPr>
        <w:t xml:space="preserve"> </w:t>
      </w:r>
      <w:r w:rsidR="00A66544" w:rsidRPr="00BB5496">
        <w:rPr>
          <w:rFonts w:ascii="Times New Roman" w:eastAsia="Times New Roman" w:hAnsi="Times New Roman" w:cs="Times New Roman"/>
          <w:b/>
          <w:sz w:val="20"/>
        </w:rPr>
        <w:t>Instead,</w:t>
      </w:r>
      <w:r w:rsidR="00A66544" w:rsidRPr="00BB5496">
        <w:rPr>
          <w:rFonts w:ascii="Times New Roman" w:eastAsia="Times New Roman" w:hAnsi="Times New Roman" w:cs="Times New Roman"/>
          <w:sz w:val="20"/>
        </w:rPr>
        <w:t xml:space="preserve"> </w:t>
      </w:r>
      <w:r w:rsidR="00CA58E0" w:rsidRPr="00BB5496">
        <w:rPr>
          <w:rFonts w:ascii="Times New Roman" w:hAnsi="Times New Roman" w:cs="Times New Roman"/>
          <w:b/>
          <w:bCs/>
          <w:sz w:val="20"/>
          <w:lang w:val="en-GB"/>
        </w:rPr>
        <w:t>UE assumes, a</w:t>
      </w:r>
      <w:r w:rsidRPr="00BB5496">
        <w:rPr>
          <w:rFonts w:ascii="Times New Roman" w:hAnsi="Times New Roman" w:cs="Times New Roman"/>
          <w:b/>
          <w:bCs/>
          <w:sz w:val="20"/>
          <w:lang w:val="en-GB"/>
        </w:rPr>
        <w:t xml:space="preserve"> </w:t>
      </w:r>
      <w:r w:rsidR="000B35CB" w:rsidRPr="00BB5496">
        <w:rPr>
          <w:rFonts w:ascii="Times New Roman" w:hAnsi="Times New Roman" w:cs="Times New Roman"/>
          <w:b/>
          <w:bCs/>
          <w:sz w:val="20"/>
          <w:lang w:val="en-GB"/>
        </w:rPr>
        <w:t>bit</w:t>
      </w:r>
      <w:r w:rsidRPr="00BB5496">
        <w:rPr>
          <w:rFonts w:ascii="Times New Roman" w:hAnsi="Times New Roman" w:cs="Times New Roman"/>
          <w:b/>
          <w:bCs/>
          <w:sz w:val="20"/>
          <w:lang w:val="en-GB"/>
        </w:rPr>
        <w:t>field</w:t>
      </w:r>
      <w:r w:rsidR="00CA58E0" w:rsidRPr="00BB5496">
        <w:rPr>
          <w:rFonts w:ascii="Times New Roman" w:hAnsi="Times New Roman" w:cs="Times New Roman"/>
          <w:b/>
          <w:bCs/>
          <w:sz w:val="20"/>
          <w:lang w:val="en-GB"/>
        </w:rPr>
        <w:t xml:space="preserve"> size</w:t>
      </w:r>
      <w:r w:rsidRPr="00BB5496">
        <w:rPr>
          <w:rFonts w:ascii="Times New Roman" w:hAnsi="Times New Roman" w:cs="Times New Roman"/>
          <w:b/>
          <w:bCs/>
          <w:sz w:val="20"/>
          <w:lang w:val="en-GB"/>
        </w:rPr>
        <w:t xml:space="preserve"> in DCI format 1_1 or 0_1 is determined by the largest required </w:t>
      </w:r>
      <w:r w:rsidR="000B35CB" w:rsidRPr="00BB5496">
        <w:rPr>
          <w:rFonts w:ascii="Times New Roman" w:hAnsi="Times New Roman" w:cs="Times New Roman"/>
          <w:b/>
          <w:bCs/>
          <w:sz w:val="20"/>
          <w:lang w:val="en-GB"/>
        </w:rPr>
        <w:t>bitfield</w:t>
      </w:r>
      <w:r w:rsidRPr="00BB5496">
        <w:rPr>
          <w:rFonts w:ascii="Times New Roman" w:hAnsi="Times New Roman" w:cs="Times New Roman"/>
          <w:b/>
          <w:bCs/>
          <w:sz w:val="20"/>
          <w:lang w:val="en-GB"/>
        </w:rPr>
        <w:t xml:space="preserve"> </w:t>
      </w:r>
      <w:r w:rsidR="00CA58E0" w:rsidRPr="00BB5496">
        <w:rPr>
          <w:rFonts w:ascii="Times New Roman" w:hAnsi="Times New Roman" w:cs="Times New Roman"/>
          <w:b/>
          <w:bCs/>
          <w:sz w:val="20"/>
          <w:lang w:val="en-GB"/>
        </w:rPr>
        <w:t xml:space="preserve">size </w:t>
      </w:r>
      <w:r w:rsidRPr="00BB5496">
        <w:rPr>
          <w:rFonts w:ascii="Times New Roman" w:hAnsi="Times New Roman" w:cs="Times New Roman"/>
          <w:b/>
          <w:bCs/>
          <w:sz w:val="20"/>
          <w:lang w:val="en-GB"/>
        </w:rPr>
        <w:t xml:space="preserve">across the configured BWPs, DL BWPs for a DL assignment and UL BWPs for a UL grant. </w:t>
      </w:r>
    </w:p>
    <w:p w14:paraId="22BDD20B" w14:textId="187E41ED" w:rsidR="003F174E" w:rsidRPr="00D510E2" w:rsidRDefault="00D510E2" w:rsidP="00D510E2">
      <w:pPr>
        <w:pStyle w:val="ListParagraph"/>
        <w:numPr>
          <w:ilvl w:val="1"/>
          <w:numId w:val="23"/>
        </w:numPr>
        <w:jc w:val="both"/>
        <w:rPr>
          <w:rFonts w:ascii="Times New Roman" w:eastAsia="Times New Roman" w:hAnsi="Times New Roman" w:cs="Times New Roman"/>
        </w:rPr>
      </w:pPr>
      <w:r w:rsidRPr="00BB5496">
        <w:rPr>
          <w:rFonts w:ascii="Times New Roman" w:hAnsi="Times New Roman" w:cs="Times New Roman"/>
          <w:b/>
          <w:bCs/>
          <w:sz w:val="20"/>
          <w:lang w:val="en-GB"/>
        </w:rPr>
        <w:t>UE truncates too large bitfields in the DCI to match the scheduled BWP</w:t>
      </w:r>
      <w:bookmarkEnd w:id="5"/>
      <w:r w:rsidRPr="00BB5496">
        <w:rPr>
          <w:rFonts w:ascii="Times New Roman" w:hAnsi="Times New Roman" w:cs="Times New Roman"/>
          <w:b/>
          <w:bCs/>
          <w:sz w:val="20"/>
          <w:lang w:val="en-GB"/>
        </w:rPr>
        <w:t>.</w:t>
      </w:r>
      <w:r w:rsidR="003F174E" w:rsidRPr="00D510E2">
        <w:rPr>
          <w:rFonts w:ascii="Times New Roman" w:eastAsia="Times New Roman" w:hAnsi="Times New Roman" w:cs="Times New Roman"/>
        </w:rPr>
        <w:tab/>
      </w:r>
    </w:p>
    <w:p w14:paraId="0FA47758" w14:textId="5913F24F" w:rsidR="00347AC2" w:rsidRPr="00B20742" w:rsidRDefault="2D0A3676" w:rsidP="00DB43D5">
      <w:pPr>
        <w:pStyle w:val="Heading2"/>
      </w:pPr>
      <w:bookmarkStart w:id="6" w:name="_Hlk510452389"/>
      <w:r>
        <w:t xml:space="preserve">On aspects of HARQ-ACK transmission during/after </w:t>
      </w:r>
      <w:r w:rsidR="00A07CB6">
        <w:t xml:space="preserve">DL and/or </w:t>
      </w:r>
      <w:r>
        <w:t>UL BWP switching</w:t>
      </w:r>
      <w:r w:rsidR="004576AC">
        <w:t xml:space="preserve"> transition period</w:t>
      </w:r>
    </w:p>
    <w:bookmarkEnd w:id="6"/>
    <w:p w14:paraId="6416D963" w14:textId="77777777" w:rsidR="00BB5496" w:rsidRPr="005A0B0A" w:rsidRDefault="00BB5496" w:rsidP="00BB5496">
      <w:pPr>
        <w:spacing w:after="0"/>
        <w:jc w:val="both"/>
        <w:rPr>
          <w:rFonts w:ascii="Times New Roman" w:eastAsia="Calibri" w:hAnsi="Times New Roman" w:cs="Times New Roman"/>
          <w:sz w:val="20"/>
          <w:szCs w:val="20"/>
        </w:rPr>
      </w:pPr>
      <w:r w:rsidRPr="005A0B0A">
        <w:rPr>
          <w:rFonts w:ascii="Times New Roman" w:eastAsia="Calibri" w:hAnsi="Times New Roman" w:cs="Times New Roman"/>
          <w:sz w:val="20"/>
          <w:szCs w:val="20"/>
        </w:rPr>
        <w:t>In meeting RAN1#91, the following agreement was agreed related to transmission of HARQ-ACK feedback due on BWP B but scheduled from BWP A for FDD (paired spectrum):</w:t>
      </w:r>
    </w:p>
    <w:p w14:paraId="5B9E84BA" w14:textId="77777777" w:rsidR="00BB5496" w:rsidRPr="005A0B0A" w:rsidRDefault="00BB5496" w:rsidP="00BB5496">
      <w:pPr>
        <w:spacing w:after="0"/>
        <w:jc w:val="both"/>
        <w:rPr>
          <w:rFonts w:ascii="Times New Roman" w:eastAsia="Calibri" w:hAnsi="Times New Roman" w:cs="Times New Roman"/>
          <w:i/>
          <w:sz w:val="20"/>
          <w:szCs w:val="20"/>
        </w:rPr>
      </w:pPr>
      <w:r w:rsidRPr="005A0B0A">
        <w:rPr>
          <w:rFonts w:ascii="Times New Roman" w:eastAsia="Calibri" w:hAnsi="Times New Roman" w:cs="Times New Roman"/>
          <w:i/>
          <w:sz w:val="20"/>
          <w:szCs w:val="20"/>
          <w:highlight w:val="green"/>
        </w:rPr>
        <w:t>Agreements 1:</w:t>
      </w:r>
    </w:p>
    <w:p w14:paraId="6B56C4A3" w14:textId="77777777" w:rsidR="00BB5496" w:rsidRPr="005A0B0A" w:rsidRDefault="00BB5496" w:rsidP="00BB5496">
      <w:pPr>
        <w:numPr>
          <w:ilvl w:val="0"/>
          <w:numId w:val="32"/>
        </w:numPr>
        <w:autoSpaceDN w:val="0"/>
        <w:spacing w:after="0" w:line="256" w:lineRule="auto"/>
        <w:contextualSpacing/>
        <w:jc w:val="both"/>
        <w:rPr>
          <w:rFonts w:ascii="Times New Roman" w:eastAsia="Calibri" w:hAnsi="Times New Roman" w:cs="Times New Roman"/>
          <w:sz w:val="20"/>
          <w:szCs w:val="20"/>
        </w:rPr>
      </w:pPr>
      <w:r w:rsidRPr="005A0B0A">
        <w:rPr>
          <w:rFonts w:ascii="Times New Roman" w:eastAsia="Calibri" w:hAnsi="Times New Roman" w:cs="Times New Roman"/>
          <w:i/>
          <w:sz w:val="20"/>
          <w:szCs w:val="20"/>
        </w:rPr>
        <w:t>A UE is not expected to transmit HARQ-ACK if a UE’s active UL BWP is switched between the reception of the corresponding DL assignment and the time of HARQ-ACK transmission at least for the paired spectrum</w:t>
      </w:r>
    </w:p>
    <w:p w14:paraId="7AC27EB9" w14:textId="77777777" w:rsidR="00BB5496" w:rsidRPr="005A0B0A" w:rsidRDefault="00BB5496" w:rsidP="00BB5496">
      <w:pPr>
        <w:spacing w:after="0"/>
        <w:jc w:val="both"/>
        <w:rPr>
          <w:rFonts w:ascii="Times New Roman" w:eastAsia="Calibri" w:hAnsi="Times New Roman" w:cs="Times New Roman"/>
          <w:sz w:val="20"/>
          <w:szCs w:val="20"/>
          <w:lang w:val="en-GB"/>
        </w:rPr>
      </w:pPr>
    </w:p>
    <w:p w14:paraId="1284736D" w14:textId="77777777" w:rsidR="00BB5496" w:rsidRPr="005A0B0A" w:rsidRDefault="00BB5496" w:rsidP="00BB5496">
      <w:pPr>
        <w:spacing w:line="256" w:lineRule="auto"/>
        <w:rPr>
          <w:rFonts w:ascii="Times New Roman" w:eastAsia="Calibri" w:hAnsi="Times New Roman" w:cs="Times New Roman"/>
          <w:sz w:val="20"/>
          <w:szCs w:val="20"/>
          <w:lang w:eastAsia="x-none"/>
        </w:rPr>
      </w:pPr>
      <w:r w:rsidRPr="005A0B0A">
        <w:rPr>
          <w:rFonts w:ascii="Times New Roman" w:eastAsia="Calibri" w:hAnsi="Times New Roman" w:cs="Times New Roman"/>
          <w:sz w:val="20"/>
          <w:szCs w:val="20"/>
          <w:lang w:eastAsia="x-none"/>
        </w:rPr>
        <w:t xml:space="preserve">In Athens RAN1#92, the following agreement related to HARQ-ACK and BWP switching was reached </w:t>
      </w:r>
    </w:p>
    <w:p w14:paraId="7E4CC594" w14:textId="77777777" w:rsidR="00BB5496" w:rsidRPr="005A0B0A" w:rsidRDefault="00BB5496" w:rsidP="00BB5496">
      <w:pPr>
        <w:spacing w:line="256" w:lineRule="auto"/>
        <w:rPr>
          <w:rFonts w:ascii="Times New Roman" w:eastAsia="Calibri" w:hAnsi="Times New Roman" w:cs="Times New Roman"/>
          <w:i/>
          <w:sz w:val="20"/>
          <w:szCs w:val="20"/>
          <w:highlight w:val="green"/>
          <w:lang w:eastAsia="x-none"/>
        </w:rPr>
      </w:pPr>
      <w:r w:rsidRPr="005A0B0A">
        <w:rPr>
          <w:rFonts w:ascii="Times New Roman" w:eastAsia="Calibri" w:hAnsi="Times New Roman" w:cs="Times New Roman"/>
          <w:i/>
          <w:sz w:val="20"/>
          <w:szCs w:val="20"/>
          <w:highlight w:val="green"/>
          <w:lang w:eastAsia="x-none"/>
        </w:rPr>
        <w:t>Agreements 2:</w:t>
      </w:r>
    </w:p>
    <w:p w14:paraId="6244CCAE" w14:textId="77777777" w:rsidR="00BB5496" w:rsidRPr="005A0B0A" w:rsidRDefault="00BB5496" w:rsidP="00BB5496">
      <w:pPr>
        <w:numPr>
          <w:ilvl w:val="0"/>
          <w:numId w:val="33"/>
        </w:numPr>
        <w:autoSpaceDN w:val="0"/>
        <w:spacing w:after="0" w:line="256" w:lineRule="auto"/>
        <w:rPr>
          <w:rFonts w:ascii="Times New Roman" w:eastAsia="Calibri" w:hAnsi="Times New Roman" w:cs="Times New Roman"/>
          <w:i/>
          <w:sz w:val="20"/>
          <w:szCs w:val="20"/>
          <w:lang w:eastAsia="x-none"/>
        </w:rPr>
      </w:pPr>
      <w:r w:rsidRPr="005A0B0A">
        <w:rPr>
          <w:rFonts w:ascii="Times New Roman" w:eastAsia="Calibri" w:hAnsi="Times New Roman" w:cs="Times New Roman"/>
          <w:i/>
          <w:sz w:val="20"/>
          <w:szCs w:val="20"/>
          <w:lang w:eastAsia="x-none"/>
        </w:rPr>
        <w:t xml:space="preserve">When a UE is configured with Semi-static HARQ-ACK Codebook, HARQ-ACK corresponding to PDSCH transmission(s) of the DL BWP before DL and/or UL BWP switching is not transmitted by the UE after the switching </w:t>
      </w:r>
    </w:p>
    <w:p w14:paraId="046D0A41" w14:textId="77777777" w:rsidR="00BB5496" w:rsidRPr="005A0B0A" w:rsidRDefault="00BB5496" w:rsidP="00BB5496">
      <w:pPr>
        <w:spacing w:after="0"/>
        <w:jc w:val="both"/>
        <w:rPr>
          <w:rFonts w:ascii="Times New Roman" w:eastAsia="Calibri" w:hAnsi="Times New Roman" w:cs="Times New Roman"/>
          <w:sz w:val="20"/>
          <w:szCs w:val="20"/>
        </w:rPr>
      </w:pPr>
    </w:p>
    <w:p w14:paraId="662F0753" w14:textId="77777777" w:rsidR="00BB5496" w:rsidRPr="005A0B0A" w:rsidRDefault="00BB5496" w:rsidP="00BB5496">
      <w:pPr>
        <w:spacing w:after="0"/>
        <w:jc w:val="both"/>
        <w:rPr>
          <w:rFonts w:ascii="Times New Roman" w:eastAsia="Calibri" w:hAnsi="Times New Roman" w:cs="Times New Roman"/>
          <w:sz w:val="20"/>
          <w:szCs w:val="20"/>
          <w:lang w:val="en-GB"/>
        </w:rPr>
      </w:pPr>
    </w:p>
    <w:p w14:paraId="3538DF55" w14:textId="77777777" w:rsidR="00BB5496" w:rsidRPr="005A0B0A" w:rsidRDefault="00BB5496" w:rsidP="00BB5496">
      <w:pPr>
        <w:spacing w:after="0" w:line="256" w:lineRule="auto"/>
        <w:rPr>
          <w:rFonts w:ascii="Times New Roman" w:eastAsia="Calibri" w:hAnsi="Times New Roman" w:cs="Times New Roman"/>
          <w:sz w:val="20"/>
          <w:szCs w:val="20"/>
          <w:lang w:eastAsia="zh-TW"/>
        </w:rPr>
      </w:pPr>
      <w:r w:rsidRPr="005A0B0A">
        <w:rPr>
          <w:rFonts w:ascii="Times New Roman" w:eastAsia="Calibri" w:hAnsi="Times New Roman" w:cs="Times New Roman"/>
          <w:sz w:val="20"/>
          <w:szCs w:val="20"/>
          <w:lang w:eastAsia="zh-TW"/>
        </w:rPr>
        <w:t>For completeness, current text in section 12 of 38.213: “</w:t>
      </w:r>
      <w:r w:rsidRPr="005A0B0A">
        <w:rPr>
          <w:rFonts w:ascii="Times New Roman" w:eastAsia="Calibri" w:hAnsi="Times New Roman" w:cs="Times New Roman"/>
          <w:i/>
          <w:sz w:val="20"/>
          <w:szCs w:val="20"/>
          <w:lang w:eastAsia="zh-TW"/>
        </w:rPr>
        <w:t xml:space="preserve">For paired spectrum operation, a UE is not expected to transmit HARQ-ACK </w:t>
      </w:r>
      <w:r w:rsidRPr="005A0B0A">
        <w:rPr>
          <w:rFonts w:ascii="Times New Roman" w:eastAsia="Malgun Gothic" w:hAnsi="Times New Roman" w:cs="Times New Roman"/>
          <w:i/>
          <w:sz w:val="20"/>
          <w:szCs w:val="20"/>
          <w:lang w:eastAsia="zh-TW"/>
        </w:rPr>
        <w:t xml:space="preserve">on a PUCCH resource indicated by a DCI format 1_0 or a DCI format 1_1 </w:t>
      </w:r>
      <w:r w:rsidRPr="005A0B0A">
        <w:rPr>
          <w:rFonts w:ascii="Times New Roman" w:eastAsia="Calibri" w:hAnsi="Times New Roman" w:cs="Times New Roman"/>
          <w:i/>
          <w:sz w:val="20"/>
          <w:szCs w:val="20"/>
          <w:lang w:eastAsia="zh-TW"/>
        </w:rPr>
        <w:t>if the UE changes its active UL BWP on the PCell between a time of a detection of the DCI format 1_0 or the DCI format 1_1 and a time of a corresponding HARQ-ACK transmission on the PUCCH.</w:t>
      </w:r>
      <w:r w:rsidRPr="005A0B0A">
        <w:rPr>
          <w:rFonts w:ascii="Times New Roman" w:eastAsia="Calibri" w:hAnsi="Times New Roman" w:cs="Times New Roman"/>
          <w:sz w:val="20"/>
          <w:szCs w:val="20"/>
          <w:lang w:eastAsia="zh-TW"/>
        </w:rPr>
        <w:t>”</w:t>
      </w:r>
    </w:p>
    <w:p w14:paraId="61DC9419" w14:textId="77777777" w:rsidR="00BB5496" w:rsidRPr="005A0B0A" w:rsidRDefault="00BB5496" w:rsidP="00BB5496">
      <w:pPr>
        <w:spacing w:after="0" w:line="256" w:lineRule="auto"/>
        <w:rPr>
          <w:rFonts w:ascii="Times New Roman" w:eastAsia="Calibri" w:hAnsi="Times New Roman" w:cs="Times New Roman"/>
          <w:sz w:val="20"/>
          <w:szCs w:val="20"/>
          <w:lang w:eastAsia="zh-TW"/>
        </w:rPr>
      </w:pPr>
    </w:p>
    <w:p w14:paraId="662A6337" w14:textId="77777777" w:rsidR="00BB5496" w:rsidRPr="005A0B0A" w:rsidRDefault="00BB5496" w:rsidP="00BB5496">
      <w:pPr>
        <w:spacing w:after="0"/>
        <w:jc w:val="both"/>
        <w:rPr>
          <w:rFonts w:ascii="Times New Roman" w:eastAsia="Calibri" w:hAnsi="Times New Roman" w:cs="Times New Roman"/>
          <w:sz w:val="20"/>
          <w:szCs w:val="20"/>
          <w:lang w:val="en-GB"/>
        </w:rPr>
      </w:pPr>
      <w:r w:rsidRPr="005A0B0A">
        <w:rPr>
          <w:rFonts w:ascii="Times New Roman" w:eastAsia="Calibri" w:hAnsi="Times New Roman" w:cs="Times New Roman"/>
          <w:sz w:val="20"/>
          <w:szCs w:val="20"/>
        </w:rPr>
        <w:t xml:space="preserve">Given the above two agreements, the last open case seems to be TDD with dynamic codebook. </w:t>
      </w:r>
    </w:p>
    <w:p w14:paraId="032D108C" w14:textId="77777777" w:rsidR="00BB5496" w:rsidRPr="005A0B0A" w:rsidRDefault="00BB5496" w:rsidP="00BB5496">
      <w:pPr>
        <w:spacing w:after="0"/>
        <w:jc w:val="both"/>
        <w:rPr>
          <w:rFonts w:ascii="Times New Roman" w:eastAsia="Calibri" w:hAnsi="Times New Roman" w:cs="Times New Roman"/>
          <w:sz w:val="20"/>
          <w:szCs w:val="20"/>
        </w:rPr>
      </w:pPr>
    </w:p>
    <w:p w14:paraId="72E07CFC" w14:textId="1BB4E646" w:rsidR="00BB5496" w:rsidRPr="005A0B0A" w:rsidRDefault="00BB5496" w:rsidP="00BB5496">
      <w:pPr>
        <w:spacing w:after="0"/>
        <w:jc w:val="both"/>
        <w:rPr>
          <w:rFonts w:ascii="Times New Roman" w:eastAsia="Calibri" w:hAnsi="Times New Roman" w:cs="Times New Roman"/>
          <w:b/>
          <w:sz w:val="20"/>
          <w:szCs w:val="20"/>
        </w:rPr>
      </w:pPr>
      <w:r w:rsidRPr="005A0B0A">
        <w:rPr>
          <w:rFonts w:ascii="Times New Roman" w:eastAsia="Calibri" w:hAnsi="Times New Roman" w:cs="Times New Roman"/>
          <w:b/>
          <w:sz w:val="20"/>
          <w:szCs w:val="20"/>
        </w:rPr>
        <w:t xml:space="preserve">Observation-3: It remains open how to treat HARQ-ACK feedback before switch of DL/UL BWP pair for </w:t>
      </w:r>
      <w:r w:rsidR="00346619">
        <w:rPr>
          <w:rFonts w:ascii="Times New Roman" w:eastAsia="Calibri" w:hAnsi="Times New Roman" w:cs="Times New Roman"/>
          <w:b/>
          <w:sz w:val="20"/>
          <w:szCs w:val="20"/>
        </w:rPr>
        <w:t>un</w:t>
      </w:r>
      <w:r w:rsidRPr="005A0B0A">
        <w:rPr>
          <w:rFonts w:ascii="Times New Roman" w:eastAsia="Calibri" w:hAnsi="Times New Roman" w:cs="Times New Roman"/>
          <w:b/>
          <w:sz w:val="20"/>
          <w:szCs w:val="20"/>
        </w:rPr>
        <w:t xml:space="preserve">paired spectrum with dynamic codebook.  </w:t>
      </w:r>
    </w:p>
    <w:p w14:paraId="2927BD3F" w14:textId="77777777" w:rsidR="00BB5496" w:rsidRPr="005A0B0A" w:rsidRDefault="00BB5496" w:rsidP="00BB5496">
      <w:pPr>
        <w:spacing w:after="0"/>
        <w:jc w:val="both"/>
        <w:rPr>
          <w:rFonts w:ascii="Times New Roman" w:eastAsia="Calibri" w:hAnsi="Times New Roman" w:cs="Times New Roman"/>
          <w:sz w:val="20"/>
          <w:szCs w:val="20"/>
        </w:rPr>
      </w:pPr>
    </w:p>
    <w:p w14:paraId="7493E171" w14:textId="1B1281A1" w:rsidR="00BB5496" w:rsidRPr="005A0B0A" w:rsidRDefault="00BB5496" w:rsidP="00BB5496">
      <w:pPr>
        <w:spacing w:after="0"/>
        <w:jc w:val="both"/>
        <w:rPr>
          <w:rFonts w:ascii="Times New Roman" w:eastAsia="Calibri" w:hAnsi="Times New Roman" w:cs="Times New Roman"/>
          <w:color w:val="000000"/>
          <w:sz w:val="20"/>
          <w:szCs w:val="20"/>
        </w:rPr>
      </w:pPr>
      <w:r w:rsidRPr="005A0B0A">
        <w:rPr>
          <w:rFonts w:ascii="Times New Roman" w:eastAsia="Calibri" w:hAnsi="Times New Roman" w:cs="Times New Roman"/>
          <w:sz w:val="20"/>
          <w:szCs w:val="20"/>
        </w:rPr>
        <w:t xml:space="preserve">The original </w:t>
      </w:r>
      <w:r w:rsidRPr="005A0B0A">
        <w:rPr>
          <w:rFonts w:ascii="Times New Roman" w:eastAsia="Calibri" w:hAnsi="Times New Roman" w:cs="Times New Roman"/>
          <w:i/>
          <w:sz w:val="20"/>
          <w:szCs w:val="20"/>
        </w:rPr>
        <w:t>Agreement 1,</w:t>
      </w:r>
      <w:r w:rsidRPr="005A0B0A">
        <w:rPr>
          <w:rFonts w:ascii="Times New Roman" w:eastAsia="Calibri" w:hAnsi="Times New Roman" w:cs="Times New Roman"/>
          <w:color w:val="000000"/>
          <w:sz w:val="20"/>
          <w:szCs w:val="20"/>
        </w:rPr>
        <w:t xml:space="preserve"> if accepted also for </w:t>
      </w:r>
      <w:r w:rsidR="00A67764">
        <w:rPr>
          <w:rFonts w:ascii="Times New Roman" w:eastAsia="Calibri" w:hAnsi="Times New Roman" w:cs="Times New Roman"/>
          <w:color w:val="000000"/>
          <w:sz w:val="20"/>
          <w:szCs w:val="20"/>
        </w:rPr>
        <w:t>unpaired spectrum</w:t>
      </w:r>
      <w:r w:rsidRPr="005A0B0A">
        <w:rPr>
          <w:rFonts w:ascii="Times New Roman" w:eastAsia="Calibri" w:hAnsi="Times New Roman" w:cs="Times New Roman"/>
          <w:color w:val="000000"/>
          <w:sz w:val="20"/>
          <w:szCs w:val="20"/>
        </w:rPr>
        <w:t>, has two issues:</w:t>
      </w:r>
    </w:p>
    <w:p w14:paraId="683C97CC" w14:textId="0148A946" w:rsidR="00BB5496" w:rsidRPr="005A0B0A" w:rsidRDefault="00BB5496" w:rsidP="00BB5496">
      <w:pPr>
        <w:keepNext/>
        <w:keepLines/>
        <w:numPr>
          <w:ilvl w:val="0"/>
          <w:numId w:val="32"/>
        </w:numPr>
        <w:autoSpaceDN w:val="0"/>
        <w:spacing w:line="256" w:lineRule="auto"/>
        <w:contextualSpacing/>
        <w:jc w:val="both"/>
        <w:rPr>
          <w:rFonts w:ascii="Times New Roman" w:eastAsia="Calibri" w:hAnsi="Times New Roman" w:cs="Times New Roman"/>
          <w:color w:val="595959"/>
          <w:sz w:val="20"/>
          <w:szCs w:val="20"/>
        </w:rPr>
      </w:pPr>
      <w:r w:rsidRPr="005A0B0A">
        <w:rPr>
          <w:rFonts w:ascii="Times New Roman" w:eastAsia="Calibri" w:hAnsi="Times New Roman" w:cs="Times New Roman"/>
          <w:b/>
          <w:color w:val="000000"/>
          <w:sz w:val="20"/>
          <w:szCs w:val="20"/>
        </w:rPr>
        <w:t>Issue-1:</w:t>
      </w:r>
      <w:r w:rsidRPr="005A0B0A">
        <w:rPr>
          <w:rFonts w:ascii="Times New Roman" w:eastAsia="Calibri" w:hAnsi="Times New Roman" w:cs="Times New Roman"/>
          <w:color w:val="000000"/>
          <w:sz w:val="20"/>
          <w:szCs w:val="20"/>
        </w:rPr>
        <w:t xml:space="preserve"> The </w:t>
      </w:r>
      <w:r w:rsidRPr="005A0B0A">
        <w:rPr>
          <w:rFonts w:ascii="Times New Roman" w:eastAsia="Calibri" w:hAnsi="Times New Roman" w:cs="Times New Roman"/>
          <w:b/>
          <w:color w:val="000000"/>
          <w:sz w:val="20"/>
          <w:szCs w:val="20"/>
        </w:rPr>
        <w:t>dropping of ACK/NACK feedback</w:t>
      </w:r>
      <w:r w:rsidRPr="005A0B0A">
        <w:rPr>
          <w:rFonts w:ascii="Times New Roman" w:eastAsia="Calibri" w:hAnsi="Times New Roman" w:cs="Times New Roman"/>
          <w:color w:val="000000"/>
          <w:sz w:val="20"/>
          <w:szCs w:val="20"/>
        </w:rPr>
        <w:t>, as agreed for paired spectrum</w:t>
      </w:r>
      <w:r w:rsidR="00561123">
        <w:rPr>
          <w:rFonts w:ascii="Times New Roman" w:eastAsia="Calibri" w:hAnsi="Times New Roman" w:cs="Times New Roman"/>
          <w:color w:val="000000"/>
          <w:sz w:val="20"/>
          <w:szCs w:val="20"/>
        </w:rPr>
        <w:t xml:space="preserve"> and semi-static HARQ-ACK CB</w:t>
      </w:r>
      <w:r w:rsidRPr="005A0B0A">
        <w:rPr>
          <w:rFonts w:ascii="Times New Roman" w:eastAsia="Calibri" w:hAnsi="Times New Roman" w:cs="Times New Roman"/>
          <w:color w:val="000000"/>
          <w:sz w:val="20"/>
          <w:szCs w:val="20"/>
        </w:rPr>
        <w:t xml:space="preserve">, is </w:t>
      </w:r>
      <w:r w:rsidRPr="005A0B0A">
        <w:rPr>
          <w:rFonts w:ascii="Times New Roman" w:eastAsia="Calibri" w:hAnsi="Times New Roman" w:cs="Times New Roman"/>
          <w:b/>
          <w:color w:val="000000"/>
          <w:sz w:val="20"/>
          <w:szCs w:val="20"/>
        </w:rPr>
        <w:t xml:space="preserve">simple but not efficient solution </w:t>
      </w:r>
      <w:r w:rsidRPr="005A0B0A">
        <w:rPr>
          <w:rFonts w:ascii="Times New Roman" w:eastAsia="Calibri" w:hAnsi="Times New Roman" w:cs="Times New Roman"/>
          <w:color w:val="000000"/>
          <w:sz w:val="20"/>
          <w:szCs w:val="20"/>
        </w:rPr>
        <w:t xml:space="preserve">because gNB has to schedule redundant HARQ retransmission for all impacted DL HARQ processes, regarding its 90% probability of successful decoding. </w:t>
      </w:r>
    </w:p>
    <w:p w14:paraId="77984EBD" w14:textId="3DC66BD5" w:rsidR="00BB5496" w:rsidRPr="005A0B0A" w:rsidRDefault="00BB5496" w:rsidP="00BB5496">
      <w:pPr>
        <w:keepNext/>
        <w:keepLines/>
        <w:numPr>
          <w:ilvl w:val="0"/>
          <w:numId w:val="32"/>
        </w:numPr>
        <w:autoSpaceDN w:val="0"/>
        <w:spacing w:line="256" w:lineRule="auto"/>
        <w:contextualSpacing/>
        <w:jc w:val="both"/>
        <w:rPr>
          <w:rFonts w:ascii="Times New Roman" w:eastAsia="Calibri" w:hAnsi="Times New Roman" w:cs="Times New Roman"/>
          <w:sz w:val="20"/>
          <w:szCs w:val="20"/>
        </w:rPr>
      </w:pPr>
      <w:r w:rsidRPr="005A0B0A">
        <w:rPr>
          <w:rFonts w:ascii="Times New Roman" w:eastAsia="Calibri" w:hAnsi="Times New Roman" w:cs="Times New Roman"/>
          <w:b/>
          <w:sz w:val="20"/>
          <w:szCs w:val="20"/>
        </w:rPr>
        <w:t>Issue-2:</w:t>
      </w:r>
      <w:r w:rsidRPr="005A0B0A">
        <w:rPr>
          <w:rFonts w:ascii="Times New Roman" w:eastAsia="Calibri" w:hAnsi="Times New Roman" w:cs="Times New Roman"/>
          <w:sz w:val="20"/>
          <w:szCs w:val="20"/>
        </w:rPr>
        <w:t xml:space="preserve"> For unpaired spectrum, there is one more issue with reusing the agreed dropping solution. If the </w:t>
      </w:r>
      <w:r w:rsidRPr="005A0B0A">
        <w:rPr>
          <w:rFonts w:ascii="Times New Roman" w:eastAsia="Calibri" w:hAnsi="Times New Roman" w:cs="Times New Roman"/>
          <w:b/>
          <w:sz w:val="20"/>
          <w:szCs w:val="20"/>
        </w:rPr>
        <w:t>BWP-pair is adapted by switching DL assignment, the confirmation ACK would not be transmitted by the UE at all</w:t>
      </w:r>
      <w:r w:rsidRPr="005A0B0A">
        <w:rPr>
          <w:rFonts w:ascii="Times New Roman" w:eastAsia="Calibri" w:hAnsi="Times New Roman" w:cs="Times New Roman"/>
          <w:sz w:val="20"/>
          <w:szCs w:val="20"/>
        </w:rPr>
        <w:t xml:space="preserve">, it would be dropped. </w:t>
      </w:r>
    </w:p>
    <w:p w14:paraId="29119C80" w14:textId="77777777" w:rsidR="00BB5496" w:rsidRPr="005A0B0A" w:rsidRDefault="00BB5496" w:rsidP="00BB5496">
      <w:pPr>
        <w:spacing w:after="0"/>
        <w:jc w:val="both"/>
        <w:rPr>
          <w:rFonts w:ascii="Times New Roman" w:eastAsia="Calibri" w:hAnsi="Times New Roman" w:cs="Times New Roman"/>
          <w:sz w:val="20"/>
          <w:szCs w:val="20"/>
        </w:rPr>
      </w:pPr>
    </w:p>
    <w:p w14:paraId="23ADAD73" w14:textId="1CC6340D" w:rsidR="00BB5496" w:rsidRPr="005A0B0A" w:rsidRDefault="00BB5496" w:rsidP="00BB5496">
      <w:pPr>
        <w:spacing w:after="0"/>
        <w:jc w:val="both"/>
        <w:rPr>
          <w:rFonts w:ascii="Times New Roman" w:eastAsia="Calibri" w:hAnsi="Times New Roman" w:cs="Times New Roman"/>
          <w:sz w:val="20"/>
          <w:szCs w:val="20"/>
        </w:rPr>
      </w:pPr>
      <w:r w:rsidRPr="005A0B0A">
        <w:rPr>
          <w:rFonts w:ascii="Times New Roman" w:eastAsia="Calibri" w:hAnsi="Times New Roman" w:cs="Times New Roman"/>
          <w:b/>
          <w:sz w:val="20"/>
          <w:szCs w:val="20"/>
        </w:rPr>
        <w:t>Issue-1</w:t>
      </w:r>
      <w:r w:rsidRPr="005A0B0A">
        <w:rPr>
          <w:rFonts w:ascii="Times New Roman" w:eastAsia="Calibri" w:hAnsi="Times New Roman" w:cs="Times New Roman"/>
          <w:sz w:val="20"/>
          <w:szCs w:val="20"/>
        </w:rPr>
        <w:t xml:space="preserve"> </w:t>
      </w:r>
      <w:r w:rsidR="00561123">
        <w:rPr>
          <w:rFonts w:ascii="Times New Roman" w:eastAsia="Calibri" w:hAnsi="Times New Roman" w:cs="Times New Roman"/>
          <w:sz w:val="20"/>
          <w:szCs w:val="20"/>
        </w:rPr>
        <w:t xml:space="preserve">can be alleviated </w:t>
      </w:r>
      <w:r w:rsidR="00A67764">
        <w:rPr>
          <w:rFonts w:ascii="Times New Roman" w:eastAsia="Calibri" w:hAnsi="Times New Roman" w:cs="Times New Roman"/>
          <w:sz w:val="20"/>
          <w:szCs w:val="20"/>
        </w:rPr>
        <w:t>at the expense of increased</w:t>
      </w:r>
      <w:r w:rsidRPr="005A0B0A">
        <w:rPr>
          <w:rFonts w:ascii="Times New Roman" w:eastAsia="Calibri" w:hAnsi="Times New Roman" w:cs="Times New Roman"/>
          <w:sz w:val="20"/>
          <w:szCs w:val="20"/>
        </w:rPr>
        <w:t xml:space="preserve"> latency of BWP switching. A smart gNB does not want the feedback to be dropped by UE due to BWP switching. Therefore, the gNB would postpone the transmission of switching DL assignment/UL grant to the first slot of the DL association set, </w:t>
      </w:r>
      <w:r w:rsidR="005A0B0A">
        <w:rPr>
          <w:rFonts w:ascii="Times New Roman" w:eastAsia="Calibri" w:hAnsi="Times New Roman" w:cs="Times New Roman"/>
          <w:sz w:val="20"/>
          <w:szCs w:val="20"/>
        </w:rPr>
        <w:t>as shown in Figure 5</w:t>
      </w:r>
      <w:r w:rsidRPr="005A0B0A">
        <w:rPr>
          <w:rFonts w:ascii="Times New Roman" w:eastAsia="Calibri" w:hAnsi="Times New Roman" w:cs="Times New Roman"/>
          <w:sz w:val="20"/>
          <w:szCs w:val="20"/>
        </w:rPr>
        <w:t xml:space="preserve"> (yellow-PDSCH, brown-PDCCH, green-PUSCH, red-PUCCH, T transmission period).</w:t>
      </w:r>
      <w:r w:rsidR="00561123" w:rsidRPr="00561123">
        <w:t xml:space="preserve"> </w:t>
      </w:r>
      <w:r w:rsidR="00561123" w:rsidRPr="00561123">
        <w:rPr>
          <w:rFonts w:ascii="Times New Roman" w:eastAsia="Calibri" w:hAnsi="Times New Roman" w:cs="Times New Roman"/>
          <w:sz w:val="20"/>
          <w:szCs w:val="20"/>
        </w:rPr>
        <w:t xml:space="preserve">Note that in our example, for simplicity of illustration, the DL association set coincides with DL/UL </w:t>
      </w:r>
      <w:r w:rsidR="00561123">
        <w:rPr>
          <w:rFonts w:ascii="Times New Roman" w:eastAsia="Calibri" w:hAnsi="Times New Roman" w:cs="Times New Roman"/>
          <w:sz w:val="20"/>
          <w:szCs w:val="20"/>
        </w:rPr>
        <w:t>semi-static assignment cycle</w:t>
      </w:r>
      <w:r w:rsidR="00561123" w:rsidRPr="00561123">
        <w:rPr>
          <w:rFonts w:ascii="Times New Roman" w:eastAsia="Calibri" w:hAnsi="Times New Roman" w:cs="Times New Roman"/>
          <w:sz w:val="20"/>
          <w:szCs w:val="20"/>
        </w:rPr>
        <w:t>, but in some cases those can be also mis-alligned.</w:t>
      </w:r>
    </w:p>
    <w:p w14:paraId="58E3CB2D" w14:textId="77777777" w:rsidR="00BB5496" w:rsidRDefault="00BB5496" w:rsidP="00BB5496">
      <w:pPr>
        <w:spacing w:after="0"/>
        <w:jc w:val="both"/>
        <w:rPr>
          <w:rFonts w:eastAsia="Calibri"/>
        </w:rPr>
      </w:pPr>
    </w:p>
    <w:p w14:paraId="35F6523E" w14:textId="77777777" w:rsidR="00BB5496" w:rsidRDefault="00BB5496" w:rsidP="00BB5496">
      <w:pPr>
        <w:keepNext/>
        <w:spacing w:after="0"/>
        <w:jc w:val="both"/>
        <w:rPr>
          <w:rFonts w:ascii="Calibri" w:eastAsia="Calibri" w:hAnsi="Calibri"/>
        </w:rPr>
      </w:pPr>
      <w:r>
        <w:rPr>
          <w:rFonts w:ascii="Calibri" w:eastAsia="Calibri" w:hAnsi="Calibri" w:cs="Times New Roman"/>
          <w:sz w:val="20"/>
          <w:szCs w:val="20"/>
        </w:rPr>
        <w:object w:dxaOrig="9636" w:dyaOrig="4356" w14:anchorId="5BEB11CD">
          <v:shape id="_x0000_i1036" type="#_x0000_t75" style="width:480pt;height:3in" o:ole="">
            <v:imagedata r:id="rId36" o:title=""/>
          </v:shape>
          <o:OLEObject Type="Embed" ProgID="Visio.Drawing.15" ShapeID="_x0000_i1036" DrawAspect="Content" ObjectID="_1584550732" r:id="rId37"/>
        </w:object>
      </w:r>
    </w:p>
    <w:p w14:paraId="45BDE6A5" w14:textId="68E3FE74" w:rsidR="00BB5496" w:rsidRDefault="00BB5496" w:rsidP="00BB5496">
      <w:pPr>
        <w:spacing w:before="120" w:after="120" w:line="256" w:lineRule="auto"/>
        <w:jc w:val="center"/>
        <w:rPr>
          <w:rFonts w:ascii="Times New Roman" w:eastAsia="Calibri" w:hAnsi="Times New Roman"/>
          <w:b/>
          <w:lang w:eastAsia="x-none"/>
        </w:rPr>
      </w:pPr>
      <w:r>
        <w:rPr>
          <w:rFonts w:ascii="Calibri" w:eastAsia="Calibri" w:hAnsi="Calibri"/>
          <w:b/>
          <w:lang w:val="x-none" w:eastAsia="x-none"/>
        </w:rPr>
        <w:t xml:space="preserve">Figure </w:t>
      </w:r>
      <w:r>
        <w:rPr>
          <w:rFonts w:ascii="Calibri" w:eastAsia="Calibri" w:hAnsi="Calibri"/>
          <w:b/>
          <w:lang w:val="x-none" w:eastAsia="x-none"/>
        </w:rPr>
        <w:fldChar w:fldCharType="begin"/>
      </w:r>
      <w:r>
        <w:rPr>
          <w:rFonts w:ascii="Calibri" w:eastAsia="Calibri" w:hAnsi="Calibri"/>
          <w:b/>
          <w:lang w:val="x-none" w:eastAsia="x-none"/>
        </w:rPr>
        <w:instrText xml:space="preserve"> SEQ Figure \* ARABIC </w:instrText>
      </w:r>
      <w:r>
        <w:rPr>
          <w:rFonts w:ascii="Calibri" w:eastAsia="Calibri" w:hAnsi="Calibri"/>
          <w:b/>
          <w:lang w:val="x-none" w:eastAsia="x-none"/>
        </w:rPr>
        <w:fldChar w:fldCharType="separate"/>
      </w:r>
      <w:r w:rsidR="005A0B0A">
        <w:rPr>
          <w:rFonts w:ascii="Calibri" w:eastAsia="Calibri" w:hAnsi="Calibri"/>
          <w:b/>
          <w:noProof/>
          <w:lang w:val="x-none" w:eastAsia="x-none"/>
        </w:rPr>
        <w:t>5</w:t>
      </w:r>
      <w:r>
        <w:rPr>
          <w:rFonts w:ascii="Calibri" w:eastAsia="Calibri" w:hAnsi="Calibri"/>
          <w:b/>
          <w:lang w:val="x-none" w:eastAsia="x-none"/>
        </w:rPr>
        <w:fldChar w:fldCharType="end"/>
      </w:r>
      <w:r>
        <w:rPr>
          <w:rFonts w:ascii="Calibri" w:eastAsia="Calibri" w:hAnsi="Calibri"/>
          <w:b/>
          <w:lang w:eastAsia="x-none"/>
        </w:rPr>
        <w:t xml:space="preserve"> Example of two switching cases (i) low-latency + dropping (ii) high-latency + no dropping. [FL – flexible slot, DL – downlink slot, UL – uplink slot]</w:t>
      </w:r>
    </w:p>
    <w:p w14:paraId="214624C8" w14:textId="77777777" w:rsidR="00BB5496" w:rsidRDefault="00BB5496" w:rsidP="00BB5496">
      <w:pPr>
        <w:spacing w:after="0"/>
        <w:jc w:val="both"/>
        <w:rPr>
          <w:rFonts w:eastAsia="Calibri"/>
        </w:rPr>
      </w:pPr>
    </w:p>
    <w:p w14:paraId="1AFDC228" w14:textId="4DA0DDC6" w:rsidR="00BB5496" w:rsidRPr="005A0B0A" w:rsidRDefault="00BB5496" w:rsidP="00BB5496">
      <w:pPr>
        <w:spacing w:after="0"/>
        <w:jc w:val="both"/>
        <w:rPr>
          <w:rFonts w:ascii="Times New Roman" w:eastAsia="Calibri" w:hAnsi="Times New Roman" w:cs="Times New Roman"/>
          <w:b/>
          <w:sz w:val="20"/>
        </w:rPr>
      </w:pPr>
      <w:r w:rsidRPr="005A0B0A">
        <w:rPr>
          <w:rFonts w:ascii="Times New Roman" w:eastAsia="Calibri" w:hAnsi="Times New Roman" w:cs="Times New Roman"/>
          <w:b/>
          <w:sz w:val="20"/>
        </w:rPr>
        <w:t xml:space="preserve">Observation-4: To avoid HARQ-ACK dropping, the gNB would be forced to transmit switching DCIs in the first slot of the DL association set. This resulting in BWP switching delay.  </w:t>
      </w:r>
    </w:p>
    <w:p w14:paraId="140E4689" w14:textId="77777777" w:rsidR="00BB5496" w:rsidRPr="005A0B0A" w:rsidRDefault="00BB5496" w:rsidP="00BB5496">
      <w:pPr>
        <w:spacing w:after="0"/>
        <w:jc w:val="both"/>
        <w:rPr>
          <w:rFonts w:ascii="Times New Roman" w:eastAsia="Calibri" w:hAnsi="Times New Roman" w:cs="Times New Roman"/>
        </w:rPr>
      </w:pPr>
    </w:p>
    <w:p w14:paraId="02B4AC9F" w14:textId="1C65FC5C" w:rsidR="00BB5496" w:rsidRPr="005A0B0A" w:rsidRDefault="00BB5496" w:rsidP="00BB5496">
      <w:pPr>
        <w:spacing w:after="0"/>
        <w:jc w:val="both"/>
        <w:rPr>
          <w:rFonts w:ascii="Times New Roman" w:eastAsia="Calibri" w:hAnsi="Times New Roman" w:cs="Times New Roman"/>
          <w:sz w:val="20"/>
        </w:rPr>
      </w:pPr>
      <w:r w:rsidRPr="005A0B0A">
        <w:rPr>
          <w:rFonts w:ascii="Times New Roman" w:eastAsia="Calibri" w:hAnsi="Times New Roman" w:cs="Times New Roman"/>
          <w:b/>
          <w:sz w:val="20"/>
        </w:rPr>
        <w:t>Issue-2</w:t>
      </w:r>
      <w:r w:rsidRPr="005A0B0A">
        <w:rPr>
          <w:rFonts w:ascii="Times New Roman" w:eastAsia="Calibri" w:hAnsi="Times New Roman" w:cs="Times New Roman"/>
          <w:sz w:val="20"/>
        </w:rPr>
        <w:t xml:space="preserve"> has been already partly (for semi-static, but not for dynamic) solved by Agreement 2, which compared to </w:t>
      </w:r>
      <w:r w:rsidR="005A0B0A" w:rsidRPr="005A0B0A">
        <w:rPr>
          <w:rFonts w:ascii="Times New Roman" w:eastAsia="Calibri" w:hAnsi="Times New Roman" w:cs="Times New Roman"/>
          <w:sz w:val="20"/>
        </w:rPr>
        <w:t>Agreement</w:t>
      </w:r>
      <w:r w:rsidRPr="005A0B0A">
        <w:rPr>
          <w:rFonts w:ascii="Times New Roman" w:eastAsia="Calibri" w:hAnsi="Times New Roman" w:cs="Times New Roman"/>
          <w:sz w:val="20"/>
        </w:rPr>
        <w:t xml:space="preserve"> 1, talks about HARQ-ACK dropping for PDSCH </w:t>
      </w:r>
      <w:r w:rsidRPr="005A0B0A">
        <w:rPr>
          <w:rFonts w:ascii="Times New Roman" w:eastAsia="Calibri" w:hAnsi="Times New Roman" w:cs="Times New Roman"/>
          <w:sz w:val="20"/>
          <w:u w:val="single"/>
        </w:rPr>
        <w:t>transmitted</w:t>
      </w:r>
      <w:r w:rsidRPr="005A0B0A">
        <w:rPr>
          <w:rFonts w:ascii="Times New Roman" w:eastAsia="Calibri" w:hAnsi="Times New Roman" w:cs="Times New Roman"/>
          <w:sz w:val="20"/>
        </w:rPr>
        <w:t xml:space="preserve"> before</w:t>
      </w:r>
      <w:r w:rsidR="00561123">
        <w:rPr>
          <w:rFonts w:ascii="Times New Roman" w:eastAsia="Calibri" w:hAnsi="Times New Roman" w:cs="Times New Roman"/>
          <w:sz w:val="20"/>
        </w:rPr>
        <w:t xml:space="preserve"> the</w:t>
      </w:r>
      <w:r w:rsidRPr="005A0B0A">
        <w:rPr>
          <w:rFonts w:ascii="Times New Roman" w:eastAsia="Calibri" w:hAnsi="Times New Roman" w:cs="Times New Roman"/>
          <w:sz w:val="20"/>
        </w:rPr>
        <w:t xml:space="preserve"> BWP switch instead of PDSCH </w:t>
      </w:r>
      <w:r w:rsidRPr="005A0B0A">
        <w:rPr>
          <w:rFonts w:ascii="Times New Roman" w:eastAsia="Calibri" w:hAnsi="Times New Roman" w:cs="Times New Roman"/>
          <w:sz w:val="20"/>
          <w:u w:val="single"/>
        </w:rPr>
        <w:t>scheduled</w:t>
      </w:r>
      <w:r w:rsidRPr="005A0B0A">
        <w:rPr>
          <w:rFonts w:ascii="Times New Roman" w:eastAsia="Calibri" w:hAnsi="Times New Roman" w:cs="Times New Roman"/>
          <w:sz w:val="20"/>
        </w:rPr>
        <w:t xml:space="preserve"> before </w:t>
      </w:r>
      <w:r w:rsidR="00561123">
        <w:rPr>
          <w:rFonts w:ascii="Times New Roman" w:eastAsia="Calibri" w:hAnsi="Times New Roman" w:cs="Times New Roman"/>
          <w:sz w:val="20"/>
        </w:rPr>
        <w:t xml:space="preserve">the </w:t>
      </w:r>
      <w:r w:rsidRPr="005A0B0A">
        <w:rPr>
          <w:rFonts w:ascii="Times New Roman" w:eastAsia="Calibri" w:hAnsi="Times New Roman" w:cs="Times New Roman"/>
          <w:sz w:val="20"/>
        </w:rPr>
        <w:t>BWP switch. However, to provide solution also for dynamic codebook, we propose to generalize the Agreement 2.</w:t>
      </w:r>
    </w:p>
    <w:p w14:paraId="684F01BD" w14:textId="77777777" w:rsidR="00BB5496" w:rsidRPr="00BB5496" w:rsidRDefault="00BB5496" w:rsidP="00BB5496">
      <w:pPr>
        <w:spacing w:after="0"/>
        <w:jc w:val="both"/>
        <w:rPr>
          <w:rFonts w:eastAsia="Calibri"/>
          <w:sz w:val="20"/>
        </w:rPr>
      </w:pPr>
    </w:p>
    <w:p w14:paraId="3A028F6C" w14:textId="77777777" w:rsidR="00BB5496" w:rsidRPr="005A0B0A" w:rsidRDefault="00BB5496" w:rsidP="00BB5496">
      <w:pPr>
        <w:spacing w:after="0"/>
        <w:jc w:val="both"/>
        <w:rPr>
          <w:rFonts w:ascii="Times New Roman" w:eastAsia="Calibri" w:hAnsi="Times New Roman" w:cs="Times New Roman"/>
          <w:b/>
          <w:sz w:val="20"/>
          <w:szCs w:val="20"/>
        </w:rPr>
      </w:pPr>
      <w:r w:rsidRPr="005A0B0A">
        <w:rPr>
          <w:rFonts w:ascii="Times New Roman" w:eastAsia="Calibri" w:hAnsi="Times New Roman" w:cs="Times New Roman"/>
          <w:b/>
          <w:sz w:val="20"/>
          <w:szCs w:val="20"/>
        </w:rPr>
        <w:t>Proposal-2: Generalize the current agreement accordingly:</w:t>
      </w:r>
    </w:p>
    <w:p w14:paraId="0F44F1F6" w14:textId="77777777" w:rsidR="00BB5496" w:rsidRPr="005A0B0A" w:rsidRDefault="00BB5496" w:rsidP="00BB5496">
      <w:pPr>
        <w:numPr>
          <w:ilvl w:val="0"/>
          <w:numId w:val="33"/>
        </w:numPr>
        <w:autoSpaceDN w:val="0"/>
        <w:spacing w:after="0" w:line="256" w:lineRule="auto"/>
        <w:rPr>
          <w:rFonts w:ascii="Times New Roman" w:eastAsia="Calibri" w:hAnsi="Times New Roman" w:cs="Times New Roman"/>
          <w:b/>
          <w:sz w:val="20"/>
          <w:szCs w:val="20"/>
          <w:lang w:eastAsia="x-none"/>
        </w:rPr>
      </w:pPr>
      <w:r w:rsidRPr="005A0B0A">
        <w:rPr>
          <w:rFonts w:ascii="Times New Roman" w:eastAsia="Calibri" w:hAnsi="Times New Roman" w:cs="Times New Roman"/>
          <w:b/>
          <w:strike/>
          <w:color w:val="FF0000"/>
          <w:sz w:val="20"/>
          <w:szCs w:val="20"/>
          <w:lang w:eastAsia="x-none"/>
        </w:rPr>
        <w:t xml:space="preserve">When a UE is configured with Semi-static HARQ-ACK Codebook, </w:t>
      </w:r>
      <w:r w:rsidRPr="005A0B0A">
        <w:rPr>
          <w:rFonts w:ascii="Times New Roman" w:eastAsia="Calibri" w:hAnsi="Times New Roman" w:cs="Times New Roman"/>
          <w:b/>
          <w:sz w:val="20"/>
          <w:szCs w:val="20"/>
          <w:lang w:eastAsia="x-none"/>
        </w:rPr>
        <w:t xml:space="preserve">HARQ-ACK corresponding to PDSCH transmission(s) of the DL BWP before DL and/or UL BWP switching is not transmitted by the UE after the switching </w:t>
      </w:r>
    </w:p>
    <w:p w14:paraId="2BA52921" w14:textId="77777777" w:rsidR="00EB6DC0" w:rsidRPr="005A0B0A" w:rsidRDefault="00EB6DC0" w:rsidP="2D0A3676">
      <w:pPr>
        <w:spacing w:after="0" w:line="240" w:lineRule="auto"/>
        <w:jc w:val="both"/>
        <w:rPr>
          <w:rFonts w:ascii="Times New Roman" w:hAnsi="Times New Roman" w:cs="Times New Roman"/>
          <w:sz w:val="20"/>
          <w:szCs w:val="20"/>
        </w:rPr>
      </w:pPr>
    </w:p>
    <w:p w14:paraId="0F32A68F" w14:textId="0DB31291" w:rsidR="00E55F55" w:rsidRPr="005A0B0A" w:rsidRDefault="004153B1" w:rsidP="2D0A3676">
      <w:pPr>
        <w:spacing w:after="0" w:line="240" w:lineRule="auto"/>
        <w:jc w:val="both"/>
        <w:rPr>
          <w:rFonts w:ascii="Times New Roman" w:hAnsi="Times New Roman" w:cs="Times New Roman"/>
          <w:sz w:val="20"/>
          <w:szCs w:val="20"/>
        </w:rPr>
      </w:pPr>
      <w:r w:rsidRPr="005A0B0A">
        <w:rPr>
          <w:rFonts w:ascii="Times New Roman" w:hAnsi="Times New Roman" w:cs="Times New Roman"/>
          <w:sz w:val="20"/>
          <w:szCs w:val="20"/>
        </w:rPr>
        <w:t>As discussed above, based on current agreements, gNB is forced to re-transmit PDSCH with dropped HARQ-ACK feedback, or postpone the BWP switching</w:t>
      </w:r>
      <w:r w:rsidR="00D56BEF" w:rsidRPr="005A0B0A">
        <w:rPr>
          <w:rFonts w:ascii="Times New Roman" w:hAnsi="Times New Roman" w:cs="Times New Roman"/>
          <w:sz w:val="20"/>
          <w:szCs w:val="20"/>
        </w:rPr>
        <w:t>.</w:t>
      </w:r>
      <w:r w:rsidRPr="005A0B0A">
        <w:rPr>
          <w:rFonts w:ascii="Times New Roman" w:hAnsi="Times New Roman" w:cs="Times New Roman"/>
          <w:sz w:val="20"/>
          <w:szCs w:val="20"/>
        </w:rPr>
        <w:t xml:space="preserve"> </w:t>
      </w:r>
      <w:r w:rsidR="00D56BEF" w:rsidRPr="005A0B0A">
        <w:rPr>
          <w:rFonts w:ascii="Times New Roman" w:hAnsi="Times New Roman" w:cs="Times New Roman"/>
          <w:sz w:val="20"/>
          <w:szCs w:val="20"/>
        </w:rPr>
        <w:t>Both options are not</w:t>
      </w:r>
      <w:r w:rsidRPr="005A0B0A">
        <w:rPr>
          <w:rFonts w:ascii="Times New Roman" w:hAnsi="Times New Roman" w:cs="Times New Roman"/>
          <w:sz w:val="20"/>
          <w:szCs w:val="20"/>
        </w:rPr>
        <w:t xml:space="preserve"> ideal. It would be much better if HARQ-ACK bit</w:t>
      </w:r>
      <w:r w:rsidR="00D56BEF" w:rsidRPr="005A0B0A">
        <w:rPr>
          <w:rFonts w:ascii="Times New Roman" w:hAnsi="Times New Roman" w:cs="Times New Roman"/>
          <w:sz w:val="20"/>
          <w:szCs w:val="20"/>
        </w:rPr>
        <w:t>s</w:t>
      </w:r>
      <w:r w:rsidRPr="005A0B0A">
        <w:rPr>
          <w:rFonts w:ascii="Times New Roman" w:hAnsi="Times New Roman" w:cs="Times New Roman"/>
          <w:sz w:val="20"/>
          <w:szCs w:val="20"/>
        </w:rPr>
        <w:t xml:space="preserve"> before</w:t>
      </w:r>
      <w:r w:rsidR="00D56BEF" w:rsidRPr="005A0B0A">
        <w:rPr>
          <w:rFonts w:ascii="Times New Roman" w:hAnsi="Times New Roman" w:cs="Times New Roman"/>
          <w:sz w:val="20"/>
          <w:szCs w:val="20"/>
        </w:rPr>
        <w:t xml:space="preserve"> </w:t>
      </w:r>
      <w:r w:rsidR="00561123">
        <w:rPr>
          <w:rFonts w:ascii="Times New Roman" w:hAnsi="Times New Roman" w:cs="Times New Roman"/>
          <w:sz w:val="20"/>
          <w:szCs w:val="20"/>
        </w:rPr>
        <w:t xml:space="preserve">the </w:t>
      </w:r>
      <w:r w:rsidR="00D56BEF" w:rsidRPr="005A0B0A">
        <w:rPr>
          <w:rFonts w:ascii="Times New Roman" w:hAnsi="Times New Roman" w:cs="Times New Roman"/>
          <w:sz w:val="20"/>
          <w:szCs w:val="20"/>
        </w:rPr>
        <w:t>BWP</w:t>
      </w:r>
      <w:r w:rsidRPr="005A0B0A">
        <w:rPr>
          <w:rFonts w:ascii="Times New Roman" w:hAnsi="Times New Roman" w:cs="Times New Roman"/>
          <w:sz w:val="20"/>
          <w:szCs w:val="20"/>
        </w:rPr>
        <w:t xml:space="preserve"> switch </w:t>
      </w:r>
      <w:r w:rsidR="00561123">
        <w:rPr>
          <w:rFonts w:ascii="Times New Roman" w:hAnsi="Times New Roman" w:cs="Times New Roman"/>
          <w:sz w:val="20"/>
          <w:szCs w:val="20"/>
        </w:rPr>
        <w:t xml:space="preserve">in a DL association set </w:t>
      </w:r>
      <w:r w:rsidRPr="005A0B0A">
        <w:rPr>
          <w:rFonts w:ascii="Times New Roman" w:hAnsi="Times New Roman" w:cs="Times New Roman"/>
          <w:sz w:val="20"/>
          <w:szCs w:val="20"/>
        </w:rPr>
        <w:t xml:space="preserve">could be transmitted on the new BWP, as </w:t>
      </w:r>
      <w:r w:rsidR="00D56BEF" w:rsidRPr="005A0B0A">
        <w:rPr>
          <w:rFonts w:ascii="Times New Roman" w:hAnsi="Times New Roman" w:cs="Times New Roman"/>
          <w:sz w:val="20"/>
          <w:szCs w:val="20"/>
        </w:rPr>
        <w:t>discussed in Appendix A. Based on discussion in Appendix A, we have the following proposal:</w:t>
      </w:r>
    </w:p>
    <w:p w14:paraId="6D7A3736" w14:textId="40DFE020" w:rsidR="004153B1" w:rsidRDefault="004153B1" w:rsidP="2D0A3676">
      <w:pPr>
        <w:spacing w:after="0" w:line="240" w:lineRule="auto"/>
        <w:jc w:val="both"/>
        <w:rPr>
          <w:rFonts w:ascii="Times New Roman" w:eastAsia="SimSun" w:hAnsi="Times New Roman" w:cs="Times New Roman"/>
          <w:b/>
          <w:bCs/>
        </w:rPr>
      </w:pPr>
    </w:p>
    <w:p w14:paraId="65BF6853" w14:textId="39D79DDC" w:rsidR="004153B1" w:rsidRPr="005A0B0A" w:rsidRDefault="005A0B0A" w:rsidP="004153B1">
      <w:pPr>
        <w:spacing w:after="0" w:line="240" w:lineRule="auto"/>
        <w:jc w:val="both"/>
        <w:rPr>
          <w:rFonts w:ascii="Times New Roman" w:hAnsi="Times New Roman" w:cs="Times New Roman"/>
          <w:b/>
          <w:sz w:val="20"/>
        </w:rPr>
      </w:pPr>
      <w:r w:rsidRPr="005A0B0A">
        <w:rPr>
          <w:rFonts w:ascii="Times New Roman" w:eastAsia="SimSun" w:hAnsi="Times New Roman" w:cs="Times New Roman"/>
          <w:b/>
          <w:bCs/>
          <w:sz w:val="20"/>
        </w:rPr>
        <w:t>Proposal-</w:t>
      </w:r>
      <w:r>
        <w:rPr>
          <w:rFonts w:ascii="Times New Roman" w:eastAsia="SimSun" w:hAnsi="Times New Roman" w:cs="Times New Roman"/>
          <w:b/>
          <w:bCs/>
          <w:sz w:val="20"/>
        </w:rPr>
        <w:t>3</w:t>
      </w:r>
      <w:r w:rsidR="004153B1" w:rsidRPr="005A0B0A">
        <w:rPr>
          <w:rFonts w:ascii="Times New Roman" w:eastAsia="SimSun" w:hAnsi="Times New Roman" w:cs="Times New Roman"/>
          <w:b/>
          <w:bCs/>
          <w:sz w:val="20"/>
        </w:rPr>
        <w:t xml:space="preserve">: In R16 consider the following: When </w:t>
      </w:r>
      <w:r w:rsidR="004153B1" w:rsidRPr="005A0B0A">
        <w:rPr>
          <w:rFonts w:ascii="Times New Roman" w:hAnsi="Times New Roman" w:cs="Times New Roman"/>
          <w:b/>
          <w:sz w:val="20"/>
        </w:rPr>
        <w:t xml:space="preserve">UL BWP is switched between the reception of the corresponding DL assignment and the time of HARQ-ACK transmission, HARQ-ACK bits are mapped on </w:t>
      </w:r>
    </w:p>
    <w:p w14:paraId="7B122A31" w14:textId="77777777" w:rsidR="004153B1" w:rsidRPr="005A0B0A" w:rsidRDefault="004153B1" w:rsidP="004153B1">
      <w:pPr>
        <w:pStyle w:val="ListParagraph"/>
        <w:numPr>
          <w:ilvl w:val="0"/>
          <w:numId w:val="17"/>
        </w:numPr>
        <w:spacing w:after="0" w:line="240" w:lineRule="auto"/>
        <w:jc w:val="both"/>
        <w:rPr>
          <w:rFonts w:ascii="Times New Roman" w:hAnsi="Times New Roman" w:cs="Times New Roman"/>
          <w:b/>
          <w:sz w:val="20"/>
        </w:rPr>
      </w:pPr>
      <w:r w:rsidRPr="005A0B0A">
        <w:rPr>
          <w:rFonts w:ascii="Times New Roman" w:hAnsi="Times New Roman" w:cs="Times New Roman"/>
          <w:b/>
          <w:sz w:val="20"/>
        </w:rPr>
        <w:t xml:space="preserve">PUCCH resource and slot indicated by the BW switching DL assignment by ARI and K1 </w:t>
      </w:r>
    </w:p>
    <w:p w14:paraId="67A5FBF2" w14:textId="02E9852D" w:rsidR="004153B1" w:rsidRPr="005A0B0A" w:rsidRDefault="004153B1" w:rsidP="004153B1">
      <w:pPr>
        <w:pStyle w:val="ListParagraph"/>
        <w:numPr>
          <w:ilvl w:val="0"/>
          <w:numId w:val="17"/>
        </w:numPr>
        <w:spacing w:after="0" w:line="240" w:lineRule="auto"/>
        <w:jc w:val="both"/>
        <w:rPr>
          <w:rFonts w:ascii="Times New Roman" w:eastAsia="SimSun" w:hAnsi="Times New Roman" w:cs="Times New Roman"/>
          <w:b/>
          <w:bCs/>
          <w:sz w:val="20"/>
        </w:rPr>
      </w:pPr>
      <w:r w:rsidRPr="005A0B0A">
        <w:rPr>
          <w:rFonts w:ascii="Times New Roman" w:hAnsi="Times New Roman" w:cs="Times New Roman"/>
          <w:b/>
          <w:sz w:val="20"/>
        </w:rPr>
        <w:t>Piggy-backed on the PUSCH granted by the switching UL grant</w:t>
      </w:r>
    </w:p>
    <w:p w14:paraId="431CD6AB" w14:textId="36236D74" w:rsidR="00B50D42" w:rsidRDefault="00B50D42" w:rsidP="2D0A3676">
      <w:pPr>
        <w:jc w:val="both"/>
        <w:rPr>
          <w:rFonts w:ascii="Times New Roman" w:hAnsi="Times New Roman" w:cs="Times New Roman"/>
          <w:b/>
          <w:bCs/>
          <w:lang w:val="en-GB"/>
        </w:rPr>
      </w:pPr>
    </w:p>
    <w:p w14:paraId="4D500D97" w14:textId="7B6A7535" w:rsidR="006529E4" w:rsidRPr="00BD56EA" w:rsidRDefault="006529E4" w:rsidP="006529E4">
      <w:pPr>
        <w:pStyle w:val="Heading2"/>
      </w:pPr>
      <w:r>
        <w:t>On</w:t>
      </w:r>
      <w:r w:rsidR="00B50D42">
        <w:t xml:space="preserve"> </w:t>
      </w:r>
      <w:r w:rsidRPr="006529E4">
        <w:t>CSI operation for BWP</w:t>
      </w:r>
      <w:r w:rsidRPr="00BD56EA">
        <w:t xml:space="preserve"> </w:t>
      </w:r>
    </w:p>
    <w:p w14:paraId="4C7BECAD" w14:textId="5485AF84" w:rsidR="005E4E58" w:rsidRPr="0036702F" w:rsidRDefault="00FF4222" w:rsidP="006529E4">
      <w:pPr>
        <w:rPr>
          <w:rFonts w:ascii="Times New Roman" w:hAnsi="Times New Roman" w:cs="Times New Roman"/>
          <w:lang w:val="en-GB"/>
        </w:rPr>
      </w:pPr>
      <w:r w:rsidRPr="0036702F">
        <w:rPr>
          <w:rFonts w:ascii="Times New Roman" w:hAnsi="Times New Roman" w:cs="Times New Roman"/>
          <w:lang w:val="en-GB"/>
        </w:rPr>
        <w:t xml:space="preserve">NR supports in </w:t>
      </w:r>
      <w:r w:rsidR="00BD56EA" w:rsidRPr="0036702F">
        <w:rPr>
          <w:rFonts w:ascii="Times New Roman" w:hAnsi="Times New Roman" w:cs="Times New Roman"/>
          <w:lang w:val="en-GB"/>
        </w:rPr>
        <w:t xml:space="preserve">R15 </w:t>
      </w:r>
      <w:r w:rsidR="005E4E58" w:rsidRPr="0036702F">
        <w:rPr>
          <w:rFonts w:ascii="Times New Roman" w:hAnsi="Times New Roman" w:cs="Times New Roman"/>
          <w:lang w:val="en-GB"/>
        </w:rPr>
        <w:t>three types of CSI reports as shown in Table 1</w:t>
      </w:r>
    </w:p>
    <w:p w14:paraId="37D1E00F" w14:textId="48DB4139" w:rsidR="005E4E58" w:rsidRPr="005E4E58" w:rsidRDefault="005E4E58" w:rsidP="005E4E58">
      <w:pPr>
        <w:pStyle w:val="Caption"/>
        <w:keepNext/>
        <w:rPr>
          <w:lang w:val="en-US"/>
        </w:rPr>
      </w:pPr>
      <w:r>
        <w:lastRenderedPageBreak/>
        <w:t xml:space="preserve">Table </w:t>
      </w:r>
      <w:r w:rsidR="00D45EB9">
        <w:fldChar w:fldCharType="begin"/>
      </w:r>
      <w:r w:rsidR="00D45EB9">
        <w:instrText xml:space="preserve"> SEQ Table \* ARABIC </w:instrText>
      </w:r>
      <w:r w:rsidR="00D45EB9">
        <w:fldChar w:fldCharType="separate"/>
      </w:r>
      <w:r>
        <w:rPr>
          <w:noProof/>
        </w:rPr>
        <w:t>1</w:t>
      </w:r>
      <w:r w:rsidR="00D45EB9">
        <w:rPr>
          <w:noProof/>
        </w:rPr>
        <w:fldChar w:fldCharType="end"/>
      </w:r>
      <w:r>
        <w:rPr>
          <w:lang w:val="en-US"/>
        </w:rPr>
        <w:t xml:space="preserve"> </w:t>
      </w:r>
      <w:r w:rsidRPr="005E4E58">
        <w:rPr>
          <w:lang w:val="en-US"/>
        </w:rPr>
        <w:t>Triggering/Activation of CSI Reporting for the possible CSI-RS Configurations</w:t>
      </w:r>
      <w:r>
        <w:rPr>
          <w:lang w:val="en-US"/>
        </w:rPr>
        <w:t xml:space="preserve"> from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30"/>
        <w:gridCol w:w="2393"/>
        <w:gridCol w:w="2400"/>
      </w:tblGrid>
      <w:tr w:rsidR="005E4E58" w:rsidRPr="0048482F" w14:paraId="758967B9" w14:textId="77777777" w:rsidTr="005E4E58">
        <w:tc>
          <w:tcPr>
            <w:tcW w:w="2406" w:type="dxa"/>
            <w:shd w:val="clear" w:color="auto" w:fill="auto"/>
          </w:tcPr>
          <w:p w14:paraId="719748CA" w14:textId="77777777" w:rsidR="005E4E58" w:rsidRPr="0048482F" w:rsidRDefault="005E4E58" w:rsidP="00F10833">
            <w:pPr>
              <w:pStyle w:val="TAL"/>
            </w:pPr>
            <w:r w:rsidRPr="0048482F">
              <w:t>CSI-RS Configuration</w:t>
            </w:r>
          </w:p>
        </w:tc>
        <w:tc>
          <w:tcPr>
            <w:tcW w:w="2430" w:type="dxa"/>
            <w:shd w:val="clear" w:color="auto" w:fill="auto"/>
          </w:tcPr>
          <w:p w14:paraId="53D066FE" w14:textId="77777777" w:rsidR="005E4E58" w:rsidRPr="0048482F" w:rsidRDefault="005E4E58" w:rsidP="00F10833">
            <w:pPr>
              <w:pStyle w:val="TAL"/>
            </w:pPr>
            <w:r w:rsidRPr="0048482F">
              <w:t>Periodic CSI Reporting</w:t>
            </w:r>
          </w:p>
        </w:tc>
        <w:tc>
          <w:tcPr>
            <w:tcW w:w="2393" w:type="dxa"/>
            <w:shd w:val="clear" w:color="auto" w:fill="auto"/>
          </w:tcPr>
          <w:p w14:paraId="7D0BF09E" w14:textId="77777777" w:rsidR="005E4E58" w:rsidRPr="0048482F" w:rsidRDefault="005E4E58" w:rsidP="00F10833">
            <w:pPr>
              <w:pStyle w:val="TAL"/>
            </w:pPr>
            <w:r w:rsidRPr="0048482F">
              <w:t>Semi-Persistent CSI Reporting</w:t>
            </w:r>
          </w:p>
        </w:tc>
        <w:tc>
          <w:tcPr>
            <w:tcW w:w="2400" w:type="dxa"/>
            <w:shd w:val="clear" w:color="auto" w:fill="auto"/>
          </w:tcPr>
          <w:p w14:paraId="4E1ACF24" w14:textId="77777777" w:rsidR="005E4E58" w:rsidRPr="0048482F" w:rsidRDefault="005E4E58" w:rsidP="00F10833">
            <w:pPr>
              <w:pStyle w:val="TAL"/>
            </w:pPr>
            <w:r w:rsidRPr="0048482F">
              <w:t>Aperiodic CSI Reporting</w:t>
            </w:r>
          </w:p>
        </w:tc>
      </w:tr>
      <w:tr w:rsidR="005E4E58" w:rsidRPr="0048482F" w14:paraId="464214B1" w14:textId="77777777" w:rsidTr="005E4E58">
        <w:tc>
          <w:tcPr>
            <w:tcW w:w="2406" w:type="dxa"/>
            <w:shd w:val="clear" w:color="auto" w:fill="auto"/>
          </w:tcPr>
          <w:p w14:paraId="335D27A2" w14:textId="77777777" w:rsidR="005E4E58" w:rsidRPr="0048482F" w:rsidRDefault="005E4E58" w:rsidP="00F10833">
            <w:pPr>
              <w:pStyle w:val="TAL"/>
            </w:pPr>
            <w:r w:rsidRPr="0048482F">
              <w:t>Periodic CSI-RS</w:t>
            </w:r>
          </w:p>
        </w:tc>
        <w:tc>
          <w:tcPr>
            <w:tcW w:w="2430" w:type="dxa"/>
            <w:shd w:val="clear" w:color="auto" w:fill="auto"/>
          </w:tcPr>
          <w:p w14:paraId="17C63C68" w14:textId="77777777" w:rsidR="005E4E58" w:rsidRPr="0048482F" w:rsidRDefault="005E4E58" w:rsidP="00F10833">
            <w:pPr>
              <w:pStyle w:val="TAL"/>
            </w:pPr>
            <w:r w:rsidRPr="0048482F">
              <w:t>No dynamic triggering/activation</w:t>
            </w:r>
          </w:p>
        </w:tc>
        <w:tc>
          <w:tcPr>
            <w:tcW w:w="2393" w:type="dxa"/>
            <w:shd w:val="clear" w:color="auto" w:fill="auto"/>
          </w:tcPr>
          <w:p w14:paraId="2B08315B" w14:textId="77777777" w:rsidR="005E4E58" w:rsidRPr="0048482F" w:rsidRDefault="005E4E58" w:rsidP="00F10833">
            <w:pPr>
              <w:pStyle w:val="TAL"/>
            </w:pPr>
            <w:r>
              <w:t>For r</w:t>
            </w:r>
            <w:r w:rsidRPr="0048482F">
              <w:t>eporting on PUCCH: the UE receives a</w:t>
            </w:r>
            <w:r>
              <w:t>n</w:t>
            </w:r>
            <w:r w:rsidRPr="0048482F">
              <w:t xml:space="preserve"> </w:t>
            </w:r>
            <w:r>
              <w:t>activation</w:t>
            </w:r>
            <w:r w:rsidRPr="0048482F">
              <w:t xml:space="preserve"> command [10, TS 38.321]</w:t>
            </w:r>
            <w:r>
              <w:t>; for r</w:t>
            </w:r>
            <w:r w:rsidRPr="0048482F">
              <w:t>eporting on PUSCH</w:t>
            </w:r>
            <w:r>
              <w:t xml:space="preserve"> the UE receives triggering on</w:t>
            </w:r>
            <w:r w:rsidRPr="0048482F">
              <w:t xml:space="preserve"> DCI</w:t>
            </w:r>
          </w:p>
        </w:tc>
        <w:tc>
          <w:tcPr>
            <w:tcW w:w="2400" w:type="dxa"/>
            <w:shd w:val="clear" w:color="auto" w:fill="auto"/>
          </w:tcPr>
          <w:p w14:paraId="745A4626" w14:textId="77777777" w:rsidR="005E4E58" w:rsidRPr="0048482F" w:rsidRDefault="005E4E58" w:rsidP="00F10833">
            <w:pPr>
              <w:pStyle w:val="TAL"/>
            </w:pPr>
            <w:r>
              <w:t xml:space="preserve">Triggered by </w:t>
            </w:r>
            <w:r w:rsidRPr="0048482F">
              <w:t>DCI</w:t>
            </w:r>
            <w:r>
              <w:t xml:space="preserve">; additionally, activation command </w:t>
            </w:r>
            <w:r w:rsidRPr="00A50DF7">
              <w:t>[10, TS 38.321] possible as defined in Subclause 5.2.1.5.2.</w:t>
            </w:r>
          </w:p>
        </w:tc>
      </w:tr>
      <w:tr w:rsidR="005E4E58" w:rsidRPr="0048482F" w14:paraId="63AC6BC3" w14:textId="77777777" w:rsidTr="005E4E58">
        <w:tc>
          <w:tcPr>
            <w:tcW w:w="2406" w:type="dxa"/>
            <w:shd w:val="clear" w:color="auto" w:fill="auto"/>
          </w:tcPr>
          <w:p w14:paraId="7020B1ED" w14:textId="77777777" w:rsidR="005E4E58" w:rsidRPr="0048482F" w:rsidRDefault="005E4E58" w:rsidP="00F10833">
            <w:pPr>
              <w:pStyle w:val="TAL"/>
            </w:pPr>
            <w:r w:rsidRPr="0048482F">
              <w:t>Semi-Persistent CSI-RS</w:t>
            </w:r>
          </w:p>
        </w:tc>
        <w:tc>
          <w:tcPr>
            <w:tcW w:w="2430" w:type="dxa"/>
            <w:shd w:val="clear" w:color="auto" w:fill="auto"/>
          </w:tcPr>
          <w:p w14:paraId="3156B2F5" w14:textId="77777777" w:rsidR="005E4E58" w:rsidRPr="0048482F" w:rsidRDefault="005E4E58" w:rsidP="00F10833">
            <w:pPr>
              <w:pStyle w:val="TAL"/>
            </w:pPr>
            <w:r w:rsidRPr="0048482F">
              <w:t>Not Supported</w:t>
            </w:r>
          </w:p>
        </w:tc>
        <w:tc>
          <w:tcPr>
            <w:tcW w:w="2393" w:type="dxa"/>
            <w:shd w:val="clear" w:color="auto" w:fill="auto"/>
          </w:tcPr>
          <w:p w14:paraId="661C1D2B" w14:textId="77777777" w:rsidR="005E4E58" w:rsidRPr="0048482F" w:rsidRDefault="005E4E58" w:rsidP="00F10833">
            <w:pPr>
              <w:pStyle w:val="TAL"/>
            </w:pPr>
            <w:r>
              <w:t>For r</w:t>
            </w:r>
            <w:r w:rsidRPr="0048482F">
              <w:t>eporting on PUCCH</w:t>
            </w:r>
            <w:r>
              <w:t>,</w:t>
            </w:r>
            <w:r w:rsidRPr="0048482F">
              <w:t xml:space="preserve"> the UE receives a</w:t>
            </w:r>
            <w:r>
              <w:t>n</w:t>
            </w:r>
            <w:r w:rsidRPr="0048482F">
              <w:t xml:space="preserve"> </w:t>
            </w:r>
            <w:r>
              <w:t>activation</w:t>
            </w:r>
            <w:r w:rsidRPr="0048482F">
              <w:t xml:space="preserve"> command [10, TS 38.321]</w:t>
            </w:r>
            <w:r>
              <w:t>; for r</w:t>
            </w:r>
            <w:r w:rsidRPr="0048482F">
              <w:t>eporting on PUSCH</w:t>
            </w:r>
            <w:r>
              <w:t xml:space="preserve"> the UE receives triggering on</w:t>
            </w:r>
            <w:r w:rsidRPr="0048482F">
              <w:t xml:space="preserve"> DCI</w:t>
            </w:r>
          </w:p>
        </w:tc>
        <w:tc>
          <w:tcPr>
            <w:tcW w:w="2400" w:type="dxa"/>
            <w:shd w:val="clear" w:color="auto" w:fill="auto"/>
          </w:tcPr>
          <w:p w14:paraId="5F97F55A" w14:textId="77777777" w:rsidR="005E4E58" w:rsidRPr="0048482F" w:rsidRDefault="005E4E58" w:rsidP="00F10833">
            <w:pPr>
              <w:pStyle w:val="TAL"/>
            </w:pPr>
            <w:r>
              <w:t xml:space="preserve">Triggered by </w:t>
            </w:r>
            <w:r w:rsidRPr="0048482F">
              <w:t>DCI</w:t>
            </w:r>
            <w:r>
              <w:t>; a</w:t>
            </w:r>
            <w:r w:rsidRPr="007C4F85">
              <w:t>dditionally, activation command [10, TS 38.321] possible as defined in Subclause 5.2.1.5.2.</w:t>
            </w:r>
          </w:p>
        </w:tc>
      </w:tr>
      <w:tr w:rsidR="005E4E58" w:rsidRPr="0048482F" w14:paraId="582A2BA6" w14:textId="77777777" w:rsidTr="005E4E58">
        <w:tc>
          <w:tcPr>
            <w:tcW w:w="2406" w:type="dxa"/>
            <w:shd w:val="clear" w:color="auto" w:fill="auto"/>
          </w:tcPr>
          <w:p w14:paraId="68AF1185" w14:textId="77777777" w:rsidR="005E4E58" w:rsidRPr="0048482F" w:rsidRDefault="005E4E58" w:rsidP="00F10833">
            <w:pPr>
              <w:pStyle w:val="TAL"/>
            </w:pPr>
            <w:r w:rsidRPr="0048482F">
              <w:t>Aperiodic CSI-RS</w:t>
            </w:r>
          </w:p>
        </w:tc>
        <w:tc>
          <w:tcPr>
            <w:tcW w:w="2430" w:type="dxa"/>
            <w:shd w:val="clear" w:color="auto" w:fill="auto"/>
          </w:tcPr>
          <w:p w14:paraId="1F401AEC" w14:textId="77777777" w:rsidR="005E4E58" w:rsidRPr="0048482F" w:rsidRDefault="005E4E58" w:rsidP="00F10833">
            <w:pPr>
              <w:pStyle w:val="TAL"/>
            </w:pPr>
            <w:r w:rsidRPr="0048482F">
              <w:t>Not Supported</w:t>
            </w:r>
          </w:p>
        </w:tc>
        <w:tc>
          <w:tcPr>
            <w:tcW w:w="2393" w:type="dxa"/>
            <w:shd w:val="clear" w:color="auto" w:fill="auto"/>
          </w:tcPr>
          <w:p w14:paraId="79559005" w14:textId="77777777" w:rsidR="005E4E58" w:rsidRPr="0048482F" w:rsidRDefault="005E4E58" w:rsidP="00F10833">
            <w:pPr>
              <w:pStyle w:val="TAL"/>
            </w:pPr>
            <w:r w:rsidRPr="0048482F">
              <w:t>Not Supported</w:t>
            </w:r>
          </w:p>
        </w:tc>
        <w:tc>
          <w:tcPr>
            <w:tcW w:w="2400" w:type="dxa"/>
            <w:shd w:val="clear" w:color="auto" w:fill="auto"/>
          </w:tcPr>
          <w:p w14:paraId="62830A2C" w14:textId="77777777" w:rsidR="005E4E58" w:rsidRPr="0048482F" w:rsidRDefault="005E4E58" w:rsidP="00F10833">
            <w:pPr>
              <w:pStyle w:val="TAL"/>
            </w:pPr>
            <w:r w:rsidRPr="007C4F85">
              <w:t xml:space="preserve">Triggered by </w:t>
            </w:r>
            <w:r w:rsidRPr="0048482F">
              <w:t>DCI</w:t>
            </w:r>
            <w:r>
              <w:t>; a</w:t>
            </w:r>
            <w:r w:rsidRPr="004551A5">
              <w:t>dditionally, activation command [10, TS 38.321] possible as defined in Subclause 5.2.1.5.2.</w:t>
            </w:r>
          </w:p>
        </w:tc>
      </w:tr>
    </w:tbl>
    <w:p w14:paraId="5729971E" w14:textId="52F1C910" w:rsidR="005E4E58" w:rsidRDefault="005E4E58" w:rsidP="006529E4"/>
    <w:p w14:paraId="20BB3F69" w14:textId="56C01122" w:rsidR="005E4E58" w:rsidRPr="005A0B0A" w:rsidRDefault="005E4E58" w:rsidP="005A0B0A">
      <w:pPr>
        <w:jc w:val="both"/>
        <w:rPr>
          <w:rFonts w:ascii="Times New Roman" w:hAnsi="Times New Roman" w:cs="Times New Roman"/>
          <w:sz w:val="20"/>
        </w:rPr>
      </w:pPr>
      <w:r w:rsidRPr="005A0B0A">
        <w:rPr>
          <w:rFonts w:ascii="Times New Roman" w:hAnsi="Times New Roman" w:cs="Times New Roman"/>
          <w:sz w:val="20"/>
        </w:rPr>
        <w:t xml:space="preserve">For fast acquisition of CSI, after the BWP switch, gNB may </w:t>
      </w:r>
      <w:r w:rsidR="00A82908" w:rsidRPr="005A0B0A">
        <w:rPr>
          <w:rFonts w:ascii="Times New Roman" w:hAnsi="Times New Roman" w:cs="Times New Roman"/>
          <w:sz w:val="20"/>
        </w:rPr>
        <w:t xml:space="preserve">trigger an A-CSI report based on Aperiodic CSI-RS and IMR as illustrated in Figure </w:t>
      </w:r>
      <w:r w:rsidR="008E2A6F" w:rsidRPr="005A0B0A">
        <w:rPr>
          <w:rFonts w:ascii="Times New Roman" w:hAnsi="Times New Roman" w:cs="Times New Roman"/>
          <w:sz w:val="20"/>
        </w:rPr>
        <w:t>6</w:t>
      </w:r>
      <w:r w:rsidR="00A82908" w:rsidRPr="005A0B0A">
        <w:rPr>
          <w:rFonts w:ascii="Times New Roman" w:hAnsi="Times New Roman" w:cs="Times New Roman"/>
          <w:sz w:val="20"/>
        </w:rPr>
        <w:t>, where after the transition period (4 blue slots)</w:t>
      </w:r>
      <w:r w:rsidR="003463E5" w:rsidRPr="005A0B0A">
        <w:rPr>
          <w:rFonts w:ascii="Times New Roman" w:hAnsi="Times New Roman" w:cs="Times New Roman"/>
          <w:sz w:val="20"/>
        </w:rPr>
        <w:t xml:space="preserve"> triggered by DL assignment,</w:t>
      </w:r>
      <w:r w:rsidR="00A82908" w:rsidRPr="005A0B0A">
        <w:rPr>
          <w:rFonts w:ascii="Times New Roman" w:hAnsi="Times New Roman" w:cs="Times New Roman"/>
          <w:sz w:val="20"/>
        </w:rPr>
        <w:t xml:space="preserve"> a gNB triggers by </w:t>
      </w:r>
      <w:r w:rsidR="00FF5CD0" w:rsidRPr="005A0B0A">
        <w:rPr>
          <w:rFonts w:ascii="Times New Roman" w:hAnsi="Times New Roman" w:cs="Times New Roman"/>
          <w:sz w:val="20"/>
        </w:rPr>
        <w:t>a</w:t>
      </w:r>
      <w:r w:rsidR="003463E5" w:rsidRPr="005A0B0A">
        <w:rPr>
          <w:rFonts w:ascii="Times New Roman" w:hAnsi="Times New Roman" w:cs="Times New Roman"/>
          <w:sz w:val="20"/>
        </w:rPr>
        <w:t xml:space="preserve"> separate</w:t>
      </w:r>
      <w:r w:rsidR="00FF5CD0" w:rsidRPr="005A0B0A">
        <w:rPr>
          <w:rFonts w:ascii="Times New Roman" w:hAnsi="Times New Roman" w:cs="Times New Roman"/>
          <w:sz w:val="20"/>
        </w:rPr>
        <w:t xml:space="preserve"> </w:t>
      </w:r>
      <w:r w:rsidR="00A82908" w:rsidRPr="005A0B0A">
        <w:rPr>
          <w:rFonts w:ascii="Times New Roman" w:hAnsi="Times New Roman" w:cs="Times New Roman"/>
          <w:sz w:val="20"/>
        </w:rPr>
        <w:t>UL grant</w:t>
      </w:r>
      <w:r w:rsidR="003463E5" w:rsidRPr="005A0B0A">
        <w:rPr>
          <w:rFonts w:ascii="Times New Roman" w:hAnsi="Times New Roman" w:cs="Times New Roman"/>
          <w:sz w:val="20"/>
        </w:rPr>
        <w:t xml:space="preserve"> on the new BWP</w:t>
      </w:r>
      <w:r w:rsidR="00A82908" w:rsidRPr="005A0B0A">
        <w:rPr>
          <w:rFonts w:ascii="Times New Roman" w:hAnsi="Times New Roman" w:cs="Times New Roman"/>
          <w:sz w:val="20"/>
        </w:rPr>
        <w:t xml:space="preserve"> a CSI measurement in the same slot and CSI is reported</w:t>
      </w:r>
      <w:r w:rsidR="00FF5CD0" w:rsidRPr="005A0B0A">
        <w:rPr>
          <w:rFonts w:ascii="Times New Roman" w:hAnsi="Times New Roman" w:cs="Times New Roman"/>
          <w:sz w:val="20"/>
        </w:rPr>
        <w:t xml:space="preserve"> on PUSCH triggered by the UL grant</w:t>
      </w:r>
      <w:r w:rsidR="00A82908" w:rsidRPr="005A0B0A">
        <w:rPr>
          <w:rFonts w:ascii="Times New Roman" w:hAnsi="Times New Roman" w:cs="Times New Roman"/>
          <w:sz w:val="20"/>
        </w:rPr>
        <w:t xml:space="preserve"> in the first UL slot</w:t>
      </w:r>
      <w:r w:rsidR="00E31280" w:rsidRPr="005A0B0A">
        <w:rPr>
          <w:rFonts w:ascii="Times New Roman" w:hAnsi="Times New Roman" w:cs="Times New Roman"/>
          <w:sz w:val="20"/>
        </w:rPr>
        <w:t xml:space="preserve"> after the switch</w:t>
      </w:r>
      <w:r w:rsidR="00A82908" w:rsidRPr="005A0B0A">
        <w:rPr>
          <w:rFonts w:ascii="Times New Roman" w:hAnsi="Times New Roman" w:cs="Times New Roman"/>
          <w:sz w:val="20"/>
        </w:rPr>
        <w:t xml:space="preserve"> (in this example)</w:t>
      </w:r>
      <w:r w:rsidR="00FF5CD0" w:rsidRPr="005A0B0A">
        <w:rPr>
          <w:rFonts w:ascii="Times New Roman" w:hAnsi="Times New Roman" w:cs="Times New Roman"/>
          <w:sz w:val="20"/>
        </w:rPr>
        <w:t>.</w:t>
      </w:r>
      <w:r w:rsidR="003463E5" w:rsidRPr="005A0B0A">
        <w:rPr>
          <w:rFonts w:ascii="Times New Roman" w:hAnsi="Times New Roman" w:cs="Times New Roman"/>
          <w:sz w:val="20"/>
        </w:rPr>
        <w:t xml:space="preserve"> For BWP switch by UL grant, the CSI report can be triggered by the switching DCI itself,</w:t>
      </w:r>
      <w:r w:rsidR="005A0B0A">
        <w:rPr>
          <w:rFonts w:ascii="Times New Roman" w:hAnsi="Times New Roman" w:cs="Times New Roman"/>
          <w:sz w:val="20"/>
        </w:rPr>
        <w:t xml:space="preserve"> as shown in Figure 7,</w:t>
      </w:r>
      <w:r w:rsidR="003463E5" w:rsidRPr="005A0B0A">
        <w:rPr>
          <w:rFonts w:ascii="Times New Roman" w:hAnsi="Times New Roman" w:cs="Times New Roman"/>
          <w:sz w:val="20"/>
        </w:rPr>
        <w:t xml:space="preserve"> </w:t>
      </w:r>
      <w:r w:rsidR="00E31280" w:rsidRPr="005A0B0A">
        <w:rPr>
          <w:rFonts w:ascii="Times New Roman" w:hAnsi="Times New Roman" w:cs="Times New Roman"/>
          <w:sz w:val="20"/>
        </w:rPr>
        <w:t xml:space="preserve">gNB </w:t>
      </w:r>
      <w:r w:rsidR="003463E5" w:rsidRPr="005A0B0A">
        <w:rPr>
          <w:rFonts w:ascii="Times New Roman" w:hAnsi="Times New Roman" w:cs="Times New Roman"/>
          <w:sz w:val="20"/>
        </w:rPr>
        <w:t>carefully configuring</w:t>
      </w:r>
      <w:r w:rsidR="00E31280" w:rsidRPr="005A0B0A">
        <w:rPr>
          <w:rFonts w:ascii="Times New Roman" w:hAnsi="Times New Roman" w:cs="Times New Roman"/>
          <w:sz w:val="20"/>
        </w:rPr>
        <w:t xml:space="preserve"> </w:t>
      </w:r>
      <w:r w:rsidR="003463E5" w:rsidRPr="005A0B0A">
        <w:rPr>
          <w:rFonts w:ascii="Times New Roman" w:hAnsi="Times New Roman" w:cs="Times New Roman"/>
          <w:sz w:val="20"/>
        </w:rPr>
        <w:t>the “offset” of the CSI measurement and</w:t>
      </w:r>
      <w:r w:rsidR="005A0B0A">
        <w:rPr>
          <w:rFonts w:ascii="Times New Roman" w:hAnsi="Times New Roman" w:cs="Times New Roman"/>
          <w:sz w:val="20"/>
        </w:rPr>
        <w:t xml:space="preserve"> signalin</w:t>
      </w:r>
      <w:r w:rsidR="005A0B0A" w:rsidRPr="005A0B0A">
        <w:rPr>
          <w:rFonts w:ascii="Times New Roman" w:hAnsi="Times New Roman" w:cs="Times New Roman"/>
          <w:sz w:val="20"/>
        </w:rPr>
        <w:t>g</w:t>
      </w:r>
      <w:r w:rsidR="005A0B0A">
        <w:rPr>
          <w:rFonts w:ascii="Times New Roman" w:hAnsi="Times New Roman" w:cs="Times New Roman"/>
          <w:sz w:val="20"/>
        </w:rPr>
        <w:t xml:space="preserve"> of</w:t>
      </w:r>
      <w:r w:rsidR="003463E5" w:rsidRPr="005A0B0A">
        <w:rPr>
          <w:rFonts w:ascii="Times New Roman" w:hAnsi="Times New Roman" w:cs="Times New Roman"/>
          <w:sz w:val="20"/>
        </w:rPr>
        <w:t xml:space="preserve"> “K2” </w:t>
      </w:r>
      <w:r w:rsidR="005A0B0A">
        <w:rPr>
          <w:rFonts w:ascii="Times New Roman" w:hAnsi="Times New Roman" w:cs="Times New Roman"/>
          <w:sz w:val="20"/>
        </w:rPr>
        <w:t>time domain allocation of</w:t>
      </w:r>
      <w:r w:rsidR="003463E5" w:rsidRPr="005A0B0A">
        <w:rPr>
          <w:rFonts w:ascii="Times New Roman" w:hAnsi="Times New Roman" w:cs="Times New Roman"/>
          <w:sz w:val="20"/>
        </w:rPr>
        <w:t xml:space="preserve"> PUSCH.</w:t>
      </w:r>
    </w:p>
    <w:p w14:paraId="793780BC" w14:textId="615299EA" w:rsidR="005E4E58" w:rsidRPr="005E4E58" w:rsidRDefault="005E4E58" w:rsidP="006529E4"/>
    <w:p w14:paraId="38E79C52" w14:textId="77777777" w:rsidR="005E4E58" w:rsidRDefault="005E4E58" w:rsidP="006529E4">
      <w:pPr>
        <w:rPr>
          <w:lang w:val="en-GB"/>
        </w:rPr>
      </w:pPr>
    </w:p>
    <w:p w14:paraId="5F8F75A4" w14:textId="77777777" w:rsidR="00A82908" w:rsidRDefault="00FF4222" w:rsidP="00A82908">
      <w:pPr>
        <w:keepNext/>
      </w:pPr>
      <w:r>
        <w:object w:dxaOrig="11377" w:dyaOrig="2581" w14:anchorId="357EBF99">
          <v:shape id="_x0000_i1037" type="#_x0000_t75" style="width:480pt;height:108pt" o:ole="">
            <v:imagedata r:id="rId38" o:title=""/>
          </v:shape>
          <o:OLEObject Type="Embed" ProgID="Visio.Drawing.15" ShapeID="_x0000_i1037" DrawAspect="Content" ObjectID="_1584550733" r:id="rId39"/>
        </w:object>
      </w:r>
    </w:p>
    <w:p w14:paraId="153EA22B" w14:textId="1C8D1B85" w:rsidR="00BD56EA" w:rsidRPr="00A82908" w:rsidRDefault="00A82908" w:rsidP="00A82908">
      <w:pPr>
        <w:pStyle w:val="Caption"/>
        <w:jc w:val="center"/>
        <w:rPr>
          <w:lang w:val="en-US"/>
        </w:rPr>
      </w:pPr>
      <w:r>
        <w:t xml:space="preserve">Figure </w:t>
      </w:r>
      <w:r w:rsidR="00D45EB9">
        <w:fldChar w:fldCharType="begin"/>
      </w:r>
      <w:r w:rsidR="00D45EB9">
        <w:instrText xml:space="preserve"> SEQ Figure \* ARABIC </w:instrText>
      </w:r>
      <w:r w:rsidR="00D45EB9">
        <w:fldChar w:fldCharType="separate"/>
      </w:r>
      <w:r w:rsidR="009E0C07">
        <w:rPr>
          <w:noProof/>
        </w:rPr>
        <w:t>6</w:t>
      </w:r>
      <w:r w:rsidR="00D45EB9">
        <w:rPr>
          <w:noProof/>
        </w:rPr>
        <w:fldChar w:fldCharType="end"/>
      </w:r>
      <w:r>
        <w:rPr>
          <w:lang w:val="en-US"/>
        </w:rPr>
        <w:t xml:space="preserve"> Fast acquisition of CSI in R15</w:t>
      </w:r>
      <w:r w:rsidR="003463E5">
        <w:rPr>
          <w:lang w:val="en-US"/>
        </w:rPr>
        <w:t>, BWP switch by DL assignment</w:t>
      </w:r>
    </w:p>
    <w:p w14:paraId="19DEC661" w14:textId="15A01395" w:rsidR="00FF4222" w:rsidRDefault="00FF4222" w:rsidP="006529E4">
      <w:pPr>
        <w:rPr>
          <w:lang w:val="en-GB"/>
        </w:rPr>
      </w:pPr>
    </w:p>
    <w:p w14:paraId="7F137AAE" w14:textId="77777777" w:rsidR="003463E5" w:rsidRDefault="003463E5" w:rsidP="003463E5">
      <w:pPr>
        <w:keepNext/>
      </w:pPr>
      <w:r>
        <w:object w:dxaOrig="11413" w:dyaOrig="2908" w14:anchorId="3BD6E12B">
          <v:shape id="_x0000_i1038" type="#_x0000_t75" style="width:480pt;height:126pt" o:ole="">
            <v:imagedata r:id="rId40" o:title=""/>
          </v:shape>
          <o:OLEObject Type="Embed" ProgID="Visio.Drawing.11" ShapeID="_x0000_i1038" DrawAspect="Content" ObjectID="_1584550734" r:id="rId41"/>
        </w:object>
      </w:r>
    </w:p>
    <w:p w14:paraId="391BFE44" w14:textId="223B8E18" w:rsidR="003463E5" w:rsidRDefault="003463E5" w:rsidP="003463E5">
      <w:pPr>
        <w:pStyle w:val="Caption"/>
        <w:jc w:val="center"/>
        <w:rPr>
          <w:lang w:val="en-GB"/>
        </w:rPr>
      </w:pPr>
      <w:r>
        <w:t xml:space="preserve">Figure </w:t>
      </w:r>
      <w:r w:rsidR="00D45EB9">
        <w:fldChar w:fldCharType="begin"/>
      </w:r>
      <w:r w:rsidR="00D45EB9">
        <w:instrText xml:space="preserve"> SEQ Figure \* ARABIC </w:instrText>
      </w:r>
      <w:r w:rsidR="00D45EB9">
        <w:fldChar w:fldCharType="separate"/>
      </w:r>
      <w:r w:rsidR="009E0C07">
        <w:rPr>
          <w:noProof/>
        </w:rPr>
        <w:t>7</w:t>
      </w:r>
      <w:r w:rsidR="00D45EB9">
        <w:rPr>
          <w:noProof/>
        </w:rPr>
        <w:fldChar w:fldCharType="end"/>
      </w:r>
      <w:r w:rsidRPr="003463E5">
        <w:rPr>
          <w:lang w:val="en-US"/>
        </w:rPr>
        <w:t xml:space="preserve"> </w:t>
      </w:r>
      <w:r>
        <w:rPr>
          <w:lang w:val="en-US"/>
        </w:rPr>
        <w:t>Fast acquisition of CSI in R15, BWP switch by UL grant</w:t>
      </w:r>
    </w:p>
    <w:p w14:paraId="600CC6B8" w14:textId="77777777" w:rsidR="003463E5" w:rsidRDefault="003463E5" w:rsidP="006529E4">
      <w:pPr>
        <w:rPr>
          <w:lang w:val="en-GB"/>
        </w:rPr>
      </w:pPr>
    </w:p>
    <w:p w14:paraId="1730F5AE" w14:textId="6506E5DC" w:rsidR="00DF27B9" w:rsidRPr="005A0B0A" w:rsidRDefault="00A82908" w:rsidP="005A0B0A">
      <w:pPr>
        <w:jc w:val="both"/>
        <w:rPr>
          <w:rFonts w:ascii="Times New Roman" w:hAnsi="Times New Roman" w:cs="Times New Roman"/>
          <w:sz w:val="20"/>
          <w:lang w:val="en-GB"/>
        </w:rPr>
      </w:pPr>
      <w:r w:rsidRPr="005A0B0A">
        <w:rPr>
          <w:rFonts w:ascii="Times New Roman" w:hAnsi="Times New Roman" w:cs="Times New Roman"/>
          <w:sz w:val="20"/>
          <w:lang w:val="en-GB"/>
        </w:rPr>
        <w:lastRenderedPageBreak/>
        <w:t>In R15, a mandatory</w:t>
      </w:r>
      <w:r w:rsidR="00FF5CD0" w:rsidRPr="005A0B0A">
        <w:rPr>
          <w:rFonts w:ascii="Times New Roman" w:hAnsi="Times New Roman" w:cs="Times New Roman"/>
          <w:sz w:val="20"/>
          <w:lang w:val="en-GB"/>
        </w:rPr>
        <w:t xml:space="preserve"> BWP</w:t>
      </w:r>
      <w:r w:rsidRPr="005A0B0A">
        <w:rPr>
          <w:rFonts w:ascii="Times New Roman" w:hAnsi="Times New Roman" w:cs="Times New Roman"/>
          <w:sz w:val="20"/>
          <w:lang w:val="en-GB"/>
        </w:rPr>
        <w:t xml:space="preserve"> feature is</w:t>
      </w:r>
      <w:r w:rsidR="00FF5CD0" w:rsidRPr="005A0B0A">
        <w:rPr>
          <w:rFonts w:ascii="Times New Roman" w:hAnsi="Times New Roman" w:cs="Times New Roman"/>
          <w:sz w:val="20"/>
          <w:lang w:val="en-GB"/>
        </w:rPr>
        <w:t xml:space="preserve"> a</w:t>
      </w:r>
      <w:r w:rsidRPr="005A0B0A">
        <w:rPr>
          <w:rFonts w:ascii="Times New Roman" w:hAnsi="Times New Roman" w:cs="Times New Roman"/>
          <w:sz w:val="20"/>
          <w:lang w:val="en-GB"/>
        </w:rPr>
        <w:t xml:space="preserve"> support of one dedicated BWP activated by RRC. And the</w:t>
      </w:r>
      <w:r w:rsidR="00FF5CD0" w:rsidRPr="005A0B0A">
        <w:rPr>
          <w:rFonts w:ascii="Times New Roman" w:hAnsi="Times New Roman" w:cs="Times New Roman"/>
          <w:sz w:val="20"/>
          <w:lang w:val="en-GB"/>
        </w:rPr>
        <w:t xml:space="preserve"> next implementation </w:t>
      </w:r>
      <w:r w:rsidRPr="005A0B0A">
        <w:rPr>
          <w:rFonts w:ascii="Times New Roman" w:hAnsi="Times New Roman" w:cs="Times New Roman"/>
          <w:sz w:val="20"/>
          <w:lang w:val="en-GB"/>
        </w:rPr>
        <w:t xml:space="preserve">step would be the support of two properly nested dedicated BWPs switched by DCI (power saving scenario). </w:t>
      </w:r>
      <w:r w:rsidR="00FF5CD0" w:rsidRPr="005A0B0A">
        <w:rPr>
          <w:rFonts w:ascii="Times New Roman" w:hAnsi="Times New Roman" w:cs="Times New Roman"/>
          <w:sz w:val="20"/>
          <w:lang w:val="en-GB"/>
        </w:rPr>
        <w:t>A gNB operating this</w:t>
      </w:r>
      <w:r w:rsidRPr="005A0B0A">
        <w:rPr>
          <w:rFonts w:ascii="Times New Roman" w:hAnsi="Times New Roman" w:cs="Times New Roman"/>
          <w:sz w:val="20"/>
          <w:lang w:val="en-GB"/>
        </w:rPr>
        <w:t xml:space="preserve"> </w:t>
      </w:r>
      <w:r w:rsidR="00FF5CD0" w:rsidRPr="005A0B0A">
        <w:rPr>
          <w:rFonts w:ascii="Times New Roman" w:hAnsi="Times New Roman" w:cs="Times New Roman"/>
          <w:sz w:val="20"/>
          <w:lang w:val="en-GB"/>
        </w:rPr>
        <w:t>power-saving scenario</w:t>
      </w:r>
      <w:r w:rsidRPr="005A0B0A">
        <w:rPr>
          <w:rFonts w:ascii="Times New Roman" w:hAnsi="Times New Roman" w:cs="Times New Roman"/>
          <w:sz w:val="20"/>
          <w:lang w:val="en-GB"/>
        </w:rPr>
        <w:t xml:space="preserve"> may reuse the previously active BWP CSI to schedule data on the active BWP after the transition period. In addition, </w:t>
      </w:r>
      <w:r w:rsidR="00DF27B9" w:rsidRPr="005A0B0A">
        <w:rPr>
          <w:rFonts w:ascii="Times New Roman" w:hAnsi="Times New Roman" w:cs="Times New Roman"/>
          <w:sz w:val="20"/>
          <w:lang w:val="en-GB"/>
        </w:rPr>
        <w:t xml:space="preserve">gNB can make use of mechanism shown in Figure </w:t>
      </w:r>
      <w:r w:rsidR="008E2A6F" w:rsidRPr="005A0B0A">
        <w:rPr>
          <w:rFonts w:ascii="Times New Roman" w:hAnsi="Times New Roman" w:cs="Times New Roman"/>
          <w:sz w:val="20"/>
          <w:lang w:val="en-GB"/>
        </w:rPr>
        <w:t>6</w:t>
      </w:r>
      <w:r w:rsidR="00DF27B9" w:rsidRPr="005A0B0A">
        <w:rPr>
          <w:rFonts w:ascii="Times New Roman" w:hAnsi="Times New Roman" w:cs="Times New Roman"/>
          <w:sz w:val="20"/>
          <w:lang w:val="en-GB"/>
        </w:rPr>
        <w:t xml:space="preserve"> </w:t>
      </w:r>
      <w:r w:rsidR="003463E5" w:rsidRPr="005A0B0A">
        <w:rPr>
          <w:rFonts w:ascii="Times New Roman" w:hAnsi="Times New Roman" w:cs="Times New Roman"/>
          <w:sz w:val="20"/>
          <w:lang w:val="en-GB"/>
        </w:rPr>
        <w:t xml:space="preserve">and </w:t>
      </w:r>
      <w:r w:rsidR="008E2A6F" w:rsidRPr="005A0B0A">
        <w:rPr>
          <w:rFonts w:ascii="Times New Roman" w:hAnsi="Times New Roman" w:cs="Times New Roman"/>
          <w:sz w:val="20"/>
          <w:lang w:val="en-GB"/>
        </w:rPr>
        <w:t>7</w:t>
      </w:r>
      <w:r w:rsidR="003463E5" w:rsidRPr="005A0B0A">
        <w:rPr>
          <w:rFonts w:ascii="Times New Roman" w:hAnsi="Times New Roman" w:cs="Times New Roman"/>
          <w:sz w:val="20"/>
          <w:lang w:val="en-GB"/>
        </w:rPr>
        <w:t xml:space="preserve"> </w:t>
      </w:r>
      <w:r w:rsidR="00DF27B9" w:rsidRPr="005A0B0A">
        <w:rPr>
          <w:rFonts w:ascii="Times New Roman" w:hAnsi="Times New Roman" w:cs="Times New Roman"/>
          <w:sz w:val="20"/>
          <w:lang w:val="en-GB"/>
        </w:rPr>
        <w:t>for fast CSI acquisition</w:t>
      </w:r>
      <w:r w:rsidR="00FF5CD0" w:rsidRPr="005A0B0A">
        <w:rPr>
          <w:rFonts w:ascii="Times New Roman" w:hAnsi="Times New Roman" w:cs="Times New Roman"/>
          <w:sz w:val="20"/>
          <w:lang w:val="en-GB"/>
        </w:rPr>
        <w:t xml:space="preserve"> if necessary</w:t>
      </w:r>
      <w:r w:rsidR="00DF27B9" w:rsidRPr="005A0B0A">
        <w:rPr>
          <w:rFonts w:ascii="Times New Roman" w:hAnsi="Times New Roman" w:cs="Times New Roman"/>
          <w:sz w:val="20"/>
          <w:lang w:val="en-GB"/>
        </w:rPr>
        <w:t>.</w:t>
      </w:r>
      <w:r w:rsidR="00FF5CD0" w:rsidRPr="005A0B0A">
        <w:rPr>
          <w:rFonts w:ascii="Times New Roman" w:hAnsi="Times New Roman" w:cs="Times New Roman"/>
          <w:sz w:val="20"/>
          <w:lang w:val="en-GB"/>
        </w:rPr>
        <w:t xml:space="preserve"> Therefore, we think that no additional mechanism is required for fast CSI acquisition on the active BWP after switching transition period in R15.</w:t>
      </w:r>
      <w:r w:rsidR="00DF27B9" w:rsidRPr="005A0B0A">
        <w:rPr>
          <w:rFonts w:ascii="Times New Roman" w:hAnsi="Times New Roman" w:cs="Times New Roman"/>
          <w:sz w:val="20"/>
          <w:lang w:val="en-GB"/>
        </w:rPr>
        <w:t xml:space="preserve"> On the other hand,</w:t>
      </w:r>
      <w:r w:rsidR="003463E5" w:rsidRPr="005A0B0A">
        <w:rPr>
          <w:rFonts w:ascii="Times New Roman" w:hAnsi="Times New Roman" w:cs="Times New Roman"/>
          <w:sz w:val="20"/>
          <w:lang w:val="en-GB"/>
        </w:rPr>
        <w:t xml:space="preserve"> </w:t>
      </w:r>
      <w:r w:rsidR="00DF27B9" w:rsidRPr="005A0B0A">
        <w:rPr>
          <w:rFonts w:ascii="Times New Roman" w:hAnsi="Times New Roman" w:cs="Times New Roman"/>
          <w:sz w:val="20"/>
          <w:lang w:val="en-GB"/>
        </w:rPr>
        <w:t xml:space="preserve">in R16 the </w:t>
      </w:r>
      <w:r w:rsidR="00FF5CD0" w:rsidRPr="005A0B0A">
        <w:rPr>
          <w:rFonts w:ascii="Times New Roman" w:hAnsi="Times New Roman" w:cs="Times New Roman"/>
          <w:sz w:val="20"/>
          <w:lang w:val="en-GB"/>
        </w:rPr>
        <w:t>benefits of fast CSI acquisition optimized for the BWP switching should be</w:t>
      </w:r>
      <w:r w:rsidR="00DF27B9" w:rsidRPr="005A0B0A">
        <w:rPr>
          <w:rFonts w:ascii="Times New Roman" w:hAnsi="Times New Roman" w:cs="Times New Roman"/>
          <w:sz w:val="20"/>
          <w:lang w:val="en-GB"/>
        </w:rPr>
        <w:t xml:space="preserve"> studied.  </w:t>
      </w:r>
    </w:p>
    <w:p w14:paraId="4EE6E41C" w14:textId="1622CCE7" w:rsidR="00A82908" w:rsidRPr="005A0B0A" w:rsidRDefault="00DF27B9" w:rsidP="005A0B0A">
      <w:pPr>
        <w:jc w:val="both"/>
        <w:rPr>
          <w:rFonts w:ascii="Times New Roman" w:hAnsi="Times New Roman" w:cs="Times New Roman"/>
          <w:sz w:val="20"/>
          <w:lang w:val="en-GB"/>
        </w:rPr>
      </w:pPr>
      <w:r w:rsidRPr="005A0B0A">
        <w:rPr>
          <w:rFonts w:ascii="Times New Roman" w:hAnsi="Times New Roman" w:cs="Times New Roman"/>
          <w:b/>
          <w:sz w:val="20"/>
          <w:lang w:val="en-GB"/>
        </w:rPr>
        <w:t>Observation</w:t>
      </w:r>
      <w:r w:rsidR="00FF5CD0" w:rsidRPr="005A0B0A">
        <w:rPr>
          <w:rFonts w:ascii="Times New Roman" w:hAnsi="Times New Roman" w:cs="Times New Roman"/>
          <w:b/>
          <w:sz w:val="20"/>
          <w:lang w:val="en-GB"/>
        </w:rPr>
        <w:t>-</w:t>
      </w:r>
      <w:r w:rsidR="005A0B0A">
        <w:rPr>
          <w:rFonts w:ascii="Times New Roman" w:hAnsi="Times New Roman" w:cs="Times New Roman"/>
          <w:b/>
          <w:sz w:val="20"/>
          <w:lang w:val="en-GB"/>
        </w:rPr>
        <w:t>5</w:t>
      </w:r>
      <w:r w:rsidRPr="005A0B0A">
        <w:rPr>
          <w:rFonts w:ascii="Times New Roman" w:hAnsi="Times New Roman" w:cs="Times New Roman"/>
          <w:b/>
          <w:sz w:val="20"/>
          <w:lang w:val="en-GB"/>
        </w:rPr>
        <w:t>: In R15, no additional mechanism is required for fast CSI acquisition on the active BWP after switching transition period. In R16, study the benefits of fast CSI acquisition optimized for the BWP switching.</w:t>
      </w:r>
      <w:r w:rsidRPr="005A0B0A">
        <w:rPr>
          <w:rFonts w:ascii="Times New Roman" w:hAnsi="Times New Roman" w:cs="Times New Roman"/>
          <w:sz w:val="20"/>
          <w:lang w:val="en-GB"/>
        </w:rPr>
        <w:t xml:space="preserve"> </w:t>
      </w:r>
    </w:p>
    <w:p w14:paraId="082ABDD5" w14:textId="7847545D" w:rsidR="00B50D42" w:rsidRPr="00A04873" w:rsidRDefault="006529E4" w:rsidP="00A04873">
      <w:pPr>
        <w:pStyle w:val="Heading2"/>
      </w:pPr>
      <w:r>
        <w:t xml:space="preserve">On </w:t>
      </w:r>
      <w:r w:rsidR="004576AC">
        <w:t>reference point A</w:t>
      </w:r>
      <w:r w:rsidR="00FF5CD0">
        <w:t xml:space="preserve"> configuration</w:t>
      </w:r>
      <w:r w:rsidR="004576AC">
        <w:t xml:space="preserve"> i</w:t>
      </w:r>
      <w:r>
        <w:t>n PsCell</w:t>
      </w:r>
    </w:p>
    <w:p w14:paraId="5751173E" w14:textId="07E75329" w:rsidR="00060B71" w:rsidRPr="005A0B0A" w:rsidRDefault="004576AC" w:rsidP="2D0A3676">
      <w:pPr>
        <w:jc w:val="both"/>
        <w:rPr>
          <w:rFonts w:ascii="Times New Roman" w:hAnsi="Times New Roman" w:cs="Times New Roman"/>
          <w:bCs/>
          <w:sz w:val="20"/>
          <w:lang w:val="en-GB"/>
        </w:rPr>
      </w:pPr>
      <w:r w:rsidRPr="005A0B0A">
        <w:rPr>
          <w:rFonts w:ascii="Times New Roman" w:hAnsi="Times New Roman" w:cs="Times New Roman"/>
          <w:bCs/>
          <w:sz w:val="20"/>
          <w:lang w:val="en-GB"/>
        </w:rPr>
        <w:t xml:space="preserve">The RAN plenary guidance is to finalize the December drop spec by March as NSA NR, where NR is the secondary cell group. </w:t>
      </w:r>
      <w:r w:rsidR="00060B71" w:rsidRPr="005A0B0A">
        <w:rPr>
          <w:rFonts w:ascii="Times New Roman" w:hAnsi="Times New Roman" w:cs="Times New Roman"/>
          <w:bCs/>
          <w:sz w:val="20"/>
          <w:lang w:val="en-GB"/>
        </w:rPr>
        <w:t>In RAN1</w:t>
      </w:r>
      <w:r w:rsidR="00226537">
        <w:rPr>
          <w:rFonts w:ascii="Times New Roman" w:hAnsi="Times New Roman" w:cs="Times New Roman"/>
          <w:bCs/>
          <w:sz w:val="20"/>
          <w:lang w:val="en-GB"/>
        </w:rPr>
        <w:t>#91</w:t>
      </w:r>
      <w:r w:rsidR="00060B71" w:rsidRPr="005A0B0A">
        <w:rPr>
          <w:rFonts w:ascii="Times New Roman" w:hAnsi="Times New Roman" w:cs="Times New Roman"/>
          <w:bCs/>
          <w:sz w:val="20"/>
          <w:lang w:val="en-GB"/>
        </w:rPr>
        <w:t xml:space="preserve"> it has been agreed</w:t>
      </w:r>
      <w:r w:rsidR="00245A42" w:rsidRPr="005A0B0A">
        <w:rPr>
          <w:rFonts w:ascii="Times New Roman" w:hAnsi="Times New Roman" w:cs="Times New Roman"/>
          <w:bCs/>
          <w:sz w:val="20"/>
          <w:lang w:val="en-GB"/>
        </w:rPr>
        <w:t xml:space="preserve"> that for all types of serving cell, an offset point A and the reference location is signalled</w:t>
      </w:r>
      <w:r w:rsidR="00186335" w:rsidRPr="005A0B0A">
        <w:rPr>
          <w:rFonts w:ascii="Times New Roman" w:hAnsi="Times New Roman" w:cs="Times New Roman"/>
          <w:bCs/>
          <w:sz w:val="20"/>
          <w:lang w:val="en-GB"/>
        </w:rPr>
        <w:t>:</w:t>
      </w:r>
    </w:p>
    <w:p w14:paraId="75C7AEE0" w14:textId="77777777" w:rsidR="00CC17D6" w:rsidRPr="004D2F84" w:rsidRDefault="00593FDB" w:rsidP="004D2F84">
      <w:pPr>
        <w:numPr>
          <w:ilvl w:val="0"/>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A UE is RRC signaled with the following for common PRB indexing</w:t>
      </w:r>
    </w:p>
    <w:p w14:paraId="088CBB71" w14:textId="77777777" w:rsidR="00CC17D6" w:rsidRPr="0036702F" w:rsidRDefault="00593FDB" w:rsidP="004D2F84">
      <w:pPr>
        <w:numPr>
          <w:ilvl w:val="1"/>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 xml:space="preserve">Offset </w:t>
      </w:r>
      <w:r w:rsidRPr="0036702F">
        <w:rPr>
          <w:rFonts w:ascii="Times New Roman" w:hAnsi="Times New Roman" w:cs="Times New Roman"/>
          <w:bCs/>
          <w:i/>
          <w:sz w:val="18"/>
          <w:szCs w:val="18"/>
        </w:rPr>
        <w:t>between a reference location and the lowest subcarrier of the reference PRB [point A] (i.e. PRB0 in previous agreements)</w:t>
      </w:r>
    </w:p>
    <w:p w14:paraId="19FF9F77" w14:textId="77777777" w:rsidR="00CC17D6" w:rsidRPr="005A0B0A" w:rsidRDefault="00593FDB" w:rsidP="004D2F84">
      <w:pPr>
        <w:numPr>
          <w:ilvl w:val="2"/>
          <w:numId w:val="24"/>
        </w:numPr>
        <w:spacing w:after="0"/>
        <w:jc w:val="both"/>
        <w:rPr>
          <w:rFonts w:ascii="Times New Roman" w:hAnsi="Times New Roman" w:cs="Times New Roman"/>
          <w:bCs/>
          <w:i/>
          <w:sz w:val="18"/>
          <w:szCs w:val="18"/>
          <w:highlight w:val="yellow"/>
        </w:rPr>
      </w:pPr>
      <w:r w:rsidRPr="005A0B0A">
        <w:rPr>
          <w:rFonts w:ascii="Times New Roman" w:hAnsi="Times New Roman" w:cs="Times New Roman"/>
          <w:bCs/>
          <w:i/>
          <w:sz w:val="18"/>
          <w:szCs w:val="18"/>
          <w:highlight w:val="yellow"/>
        </w:rPr>
        <w:t>For DL in Pcell, the reference location is the lowest subcarrier of the lowest PRB of the cell-defining SSB after floating SSB is resolved</w:t>
      </w:r>
    </w:p>
    <w:p w14:paraId="7E9561A8" w14:textId="77777777" w:rsidR="00CC17D6" w:rsidRPr="005A0B0A" w:rsidRDefault="00593FDB" w:rsidP="004D2F84">
      <w:pPr>
        <w:numPr>
          <w:ilvl w:val="2"/>
          <w:numId w:val="24"/>
        </w:numPr>
        <w:spacing w:after="0"/>
        <w:jc w:val="both"/>
        <w:rPr>
          <w:rFonts w:ascii="Times New Roman" w:hAnsi="Times New Roman" w:cs="Times New Roman"/>
          <w:bCs/>
          <w:i/>
          <w:sz w:val="18"/>
          <w:szCs w:val="18"/>
          <w:highlight w:val="yellow"/>
        </w:rPr>
      </w:pPr>
      <w:r w:rsidRPr="005A0B0A">
        <w:rPr>
          <w:rFonts w:ascii="Times New Roman" w:hAnsi="Times New Roman" w:cs="Times New Roman"/>
          <w:bCs/>
          <w:i/>
          <w:sz w:val="18"/>
          <w:szCs w:val="18"/>
          <w:highlight w:val="yellow"/>
        </w:rPr>
        <w:t>For UL in Pcell of paired spectrum, the reference location is the frequency location of the UL indicated in the RMSI, which is based on ARFCN after floating ARFCN is resolved</w:t>
      </w:r>
    </w:p>
    <w:p w14:paraId="43D06A89" w14:textId="77777777" w:rsidR="00CC17D6" w:rsidRPr="005A0B0A" w:rsidRDefault="00593FDB" w:rsidP="004D2F84">
      <w:pPr>
        <w:numPr>
          <w:ilvl w:val="2"/>
          <w:numId w:val="24"/>
        </w:numPr>
        <w:spacing w:after="0"/>
        <w:jc w:val="both"/>
        <w:rPr>
          <w:rFonts w:ascii="Times New Roman" w:hAnsi="Times New Roman" w:cs="Times New Roman"/>
          <w:bCs/>
          <w:i/>
          <w:sz w:val="18"/>
          <w:szCs w:val="18"/>
          <w:highlight w:val="yellow"/>
        </w:rPr>
      </w:pPr>
      <w:r w:rsidRPr="005A0B0A">
        <w:rPr>
          <w:rFonts w:ascii="Times New Roman" w:hAnsi="Times New Roman" w:cs="Times New Roman"/>
          <w:bCs/>
          <w:i/>
          <w:sz w:val="18"/>
          <w:szCs w:val="18"/>
          <w:highlight w:val="yellow"/>
        </w:rPr>
        <w:t>For Scell, the reference location is the frequency location indicated in the SCell configuration, which is based on ARFCN after floating ARFCN is resolved</w:t>
      </w:r>
    </w:p>
    <w:p w14:paraId="2D93D107" w14:textId="77777777" w:rsidR="00CC17D6" w:rsidRPr="005A0B0A" w:rsidRDefault="00593FDB" w:rsidP="004D2F84">
      <w:pPr>
        <w:numPr>
          <w:ilvl w:val="2"/>
          <w:numId w:val="24"/>
        </w:numPr>
        <w:spacing w:after="0"/>
        <w:jc w:val="both"/>
        <w:rPr>
          <w:rFonts w:ascii="Times New Roman" w:hAnsi="Times New Roman" w:cs="Times New Roman"/>
          <w:bCs/>
          <w:i/>
          <w:sz w:val="18"/>
          <w:szCs w:val="18"/>
          <w:highlight w:val="yellow"/>
        </w:rPr>
      </w:pPr>
      <w:r w:rsidRPr="005A0B0A">
        <w:rPr>
          <w:rFonts w:ascii="Times New Roman" w:hAnsi="Times New Roman" w:cs="Times New Roman"/>
          <w:bCs/>
          <w:i/>
          <w:sz w:val="18"/>
          <w:szCs w:val="18"/>
          <w:highlight w:val="yellow"/>
        </w:rPr>
        <w:t>For SUL, the reference location is the frequency location indicated in the SUL configuration, which is based on ARFCN after floating ARFCN is resolved</w:t>
      </w:r>
    </w:p>
    <w:p w14:paraId="1AC6C96B"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The reference PRB is expressed based on 15KHz SCS for FR1 and 60KHz SCS for FR2</w:t>
      </w:r>
    </w:p>
    <w:p w14:paraId="5729D979"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The offset in the unit of PRB is indicated based on 15KHz SCS for FR1 and 60KHz SCS for FR2</w:t>
      </w:r>
    </w:p>
    <w:p w14:paraId="7B88DB5C" w14:textId="77777777"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Common PRB with index 0 for all SCSs contains point A</w:t>
      </w:r>
    </w:p>
    <w:p w14:paraId="4C54418C" w14:textId="77777777" w:rsidR="00CC17D6" w:rsidRPr="004D2F84" w:rsidRDefault="00593FDB" w:rsidP="004D2F84">
      <w:pPr>
        <w:numPr>
          <w:ilvl w:val="1"/>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Offset between point A and the lowest subcarrier of the lowest usable PRB of a given SCS</w:t>
      </w:r>
    </w:p>
    <w:p w14:paraId="57636BB4" w14:textId="2FF07E1D" w:rsidR="00CC17D6" w:rsidRPr="004D2F84" w:rsidRDefault="00593FDB" w:rsidP="004D2F84">
      <w:pPr>
        <w:numPr>
          <w:ilvl w:val="2"/>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The offset is indicated in the unit of PRB based on the given SCS</w:t>
      </w:r>
    </w:p>
    <w:p w14:paraId="3822E545" w14:textId="0AD6EDE5" w:rsidR="004D2F84" w:rsidRPr="004D2F84" w:rsidRDefault="004D2F84" w:rsidP="004D2F84">
      <w:pPr>
        <w:numPr>
          <w:ilvl w:val="1"/>
          <w:numId w:val="24"/>
        </w:numPr>
        <w:spacing w:after="0"/>
        <w:jc w:val="both"/>
        <w:rPr>
          <w:rFonts w:ascii="Times New Roman" w:hAnsi="Times New Roman" w:cs="Times New Roman"/>
          <w:bCs/>
          <w:i/>
          <w:sz w:val="18"/>
          <w:szCs w:val="18"/>
        </w:rPr>
      </w:pPr>
      <w:r w:rsidRPr="004D2F84">
        <w:rPr>
          <w:rFonts w:ascii="Times New Roman" w:hAnsi="Times New Roman" w:cs="Times New Roman"/>
          <w:bCs/>
          <w:i/>
          <w:sz w:val="18"/>
          <w:szCs w:val="18"/>
        </w:rPr>
        <w:t>…..</w:t>
      </w:r>
    </w:p>
    <w:p w14:paraId="08473CB4" w14:textId="77777777" w:rsidR="004D2F84" w:rsidRPr="00060B71" w:rsidRDefault="004D2F84" w:rsidP="004D2F84">
      <w:pPr>
        <w:ind w:left="2160"/>
        <w:jc w:val="both"/>
        <w:rPr>
          <w:rFonts w:ascii="Times New Roman" w:hAnsi="Times New Roman" w:cs="Times New Roman"/>
          <w:bCs/>
        </w:rPr>
      </w:pPr>
    </w:p>
    <w:p w14:paraId="6AD09D50" w14:textId="77777777" w:rsidR="0016548B" w:rsidRDefault="0016548B" w:rsidP="2D0A3676">
      <w:pPr>
        <w:jc w:val="both"/>
        <w:rPr>
          <w:rFonts w:ascii="Times New Roman" w:hAnsi="Times New Roman" w:cs="Times New Roman"/>
          <w:bCs/>
        </w:rPr>
      </w:pPr>
    </w:p>
    <w:p w14:paraId="7F335F97" w14:textId="7E3FF304" w:rsidR="00060B71" w:rsidRPr="00226537" w:rsidRDefault="0016548B" w:rsidP="2D0A3676">
      <w:pPr>
        <w:jc w:val="both"/>
        <w:rPr>
          <w:rFonts w:ascii="Times New Roman" w:hAnsi="Times New Roman" w:cs="Times New Roman"/>
          <w:bCs/>
          <w:sz w:val="20"/>
          <w:szCs w:val="20"/>
        </w:rPr>
      </w:pPr>
      <w:r w:rsidRPr="00226537">
        <w:rPr>
          <w:rFonts w:ascii="Times New Roman" w:hAnsi="Times New Roman" w:cs="Times New Roman"/>
          <w:bCs/>
          <w:sz w:val="20"/>
          <w:szCs w:val="20"/>
        </w:rPr>
        <w:t xml:space="preserve">However, endorsed ASN.1 </w:t>
      </w:r>
      <w:r w:rsidR="005A0B0A" w:rsidRPr="00226537">
        <w:rPr>
          <w:rFonts w:ascii="Times New Roman" w:hAnsi="Times New Roman" w:cs="Times New Roman"/>
          <w:bCs/>
          <w:sz w:val="20"/>
          <w:szCs w:val="20"/>
        </w:rPr>
        <w:t>document TS38.331</w:t>
      </w:r>
      <w:r w:rsidRPr="00226537">
        <w:rPr>
          <w:rFonts w:ascii="Times New Roman" w:hAnsi="Times New Roman" w:cs="Times New Roman"/>
          <w:bCs/>
          <w:sz w:val="20"/>
          <w:szCs w:val="20"/>
        </w:rPr>
        <w:t xml:space="preserve"> </w:t>
      </w:r>
      <w:r w:rsidR="00245A42" w:rsidRPr="00226537">
        <w:rPr>
          <w:rFonts w:ascii="Times New Roman" w:hAnsi="Times New Roman" w:cs="Times New Roman"/>
          <w:bCs/>
          <w:sz w:val="20"/>
          <w:szCs w:val="20"/>
        </w:rPr>
        <w:t xml:space="preserve">seems to directly configure point A using </w:t>
      </w:r>
      <w:r w:rsidR="005A0B0A" w:rsidRPr="00226537">
        <w:rPr>
          <w:rFonts w:ascii="Times New Roman" w:hAnsi="Times New Roman" w:cs="Times New Roman"/>
          <w:bCs/>
          <w:sz w:val="20"/>
          <w:szCs w:val="20"/>
        </w:rPr>
        <w:t>NR-</w:t>
      </w:r>
      <w:r w:rsidR="00245A42" w:rsidRPr="00226537">
        <w:rPr>
          <w:rFonts w:ascii="Times New Roman" w:hAnsi="Times New Roman" w:cs="Times New Roman"/>
          <w:bCs/>
          <w:sz w:val="20"/>
          <w:szCs w:val="20"/>
        </w:rPr>
        <w:t>ARFCN</w:t>
      </w:r>
      <w:r w:rsidR="00D56BEF" w:rsidRPr="00226537">
        <w:rPr>
          <w:rFonts w:ascii="Times New Roman" w:hAnsi="Times New Roman" w:cs="Times New Roman"/>
          <w:bCs/>
          <w:sz w:val="20"/>
          <w:szCs w:val="20"/>
        </w:rPr>
        <w:t xml:space="preserve"> </w:t>
      </w:r>
      <w:r w:rsidR="00D56BEF" w:rsidRPr="00226537">
        <w:rPr>
          <w:rFonts w:ascii="Times New Roman" w:hAnsi="Times New Roman" w:cs="Times New Roman"/>
          <w:b/>
          <w:bCs/>
          <w:sz w:val="20"/>
          <w:szCs w:val="20"/>
        </w:rPr>
        <w:t>for all the above</w:t>
      </w:r>
      <w:r w:rsidR="005A0B0A" w:rsidRPr="00226537">
        <w:rPr>
          <w:rFonts w:ascii="Times New Roman" w:hAnsi="Times New Roman" w:cs="Times New Roman"/>
          <w:b/>
          <w:bCs/>
          <w:sz w:val="20"/>
          <w:szCs w:val="20"/>
        </w:rPr>
        <w:t xml:space="preserve"> highlighted</w:t>
      </w:r>
      <w:r w:rsidR="00D56BEF" w:rsidRPr="00226537">
        <w:rPr>
          <w:rFonts w:ascii="Times New Roman" w:hAnsi="Times New Roman" w:cs="Times New Roman"/>
          <w:b/>
          <w:bCs/>
          <w:sz w:val="20"/>
          <w:szCs w:val="20"/>
        </w:rPr>
        <w:t xml:space="preserve"> scenarios</w:t>
      </w:r>
      <w:r w:rsidR="00245A42" w:rsidRPr="00226537">
        <w:rPr>
          <w:rFonts w:ascii="Times New Roman" w:hAnsi="Times New Roman" w:cs="Times New Roman"/>
          <w:b/>
          <w:bCs/>
          <w:sz w:val="20"/>
          <w:szCs w:val="20"/>
        </w:rPr>
        <w:t>:</w:t>
      </w:r>
    </w:p>
    <w:p w14:paraId="035450F9" w14:textId="77777777" w:rsidR="00D56BEF" w:rsidRDefault="00D56BEF" w:rsidP="004D2F84">
      <w:pPr>
        <w:pStyle w:val="PL"/>
        <w:rPr>
          <w:rFonts w:cs="Courier New"/>
        </w:rPr>
      </w:pPr>
    </w:p>
    <w:p w14:paraId="0D92938E" w14:textId="77777777" w:rsidR="00D56BEF" w:rsidRDefault="004D2F84" w:rsidP="00D56BEF">
      <w:pPr>
        <w:pStyle w:val="Heading4"/>
        <w:rPr>
          <w:rFonts w:eastAsia="Times New Roman" w:cs="Arial"/>
          <w:i/>
          <w:iCs/>
          <w:szCs w:val="24"/>
          <w:lang w:val="en-GB"/>
        </w:rPr>
      </w:pPr>
      <w:r w:rsidRPr="004D2F84">
        <w:rPr>
          <w:rFonts w:cs="Courier New"/>
        </w:rPr>
        <w:tab/>
      </w:r>
      <w:r w:rsidRPr="004D2F84">
        <w:rPr>
          <w:rFonts w:cs="Courier New"/>
        </w:rPr>
        <w:tab/>
      </w:r>
      <w:bookmarkStart w:id="7" w:name="_Toc509607758"/>
      <w:r w:rsidR="00D56BEF">
        <w:rPr>
          <w:rFonts w:eastAsia="Times New Roman"/>
          <w:lang w:val="en-GB"/>
        </w:rPr>
        <w:t>–                  FrequencyInfoDL</w:t>
      </w:r>
      <w:bookmarkEnd w:id="7"/>
    </w:p>
    <w:p w14:paraId="4B337851" w14:textId="77777777" w:rsidR="00D56BEF" w:rsidRDefault="00D56BEF" w:rsidP="00D56BEF">
      <w:r>
        <w:t xml:space="preserve">The IE </w:t>
      </w:r>
      <w:r>
        <w:rPr>
          <w:i/>
          <w:iCs/>
        </w:rPr>
        <w:t xml:space="preserve">FrequencyInfoDL </w:t>
      </w:r>
      <w:r>
        <w:t xml:space="preserve">provides basic parameters of a downlink carrier and transmission thereon. </w:t>
      </w:r>
    </w:p>
    <w:p w14:paraId="109B8B14" w14:textId="77777777" w:rsidR="00D56BEF" w:rsidRDefault="00D56BEF" w:rsidP="00D56BEF">
      <w:pPr>
        <w:pStyle w:val="TH"/>
        <w:rPr>
          <w:lang w:val="x-none"/>
        </w:rPr>
      </w:pPr>
      <w:r>
        <w:rPr>
          <w:i/>
          <w:iCs/>
          <w:lang w:val="x-none"/>
        </w:rPr>
        <w:t xml:space="preserve">FrequencyInfoDL </w:t>
      </w:r>
      <w:r>
        <w:rPr>
          <w:lang w:val="x-none"/>
        </w:rPr>
        <w:t>information element</w:t>
      </w:r>
    </w:p>
    <w:p w14:paraId="3A3334F7" w14:textId="77777777" w:rsidR="00D56BEF" w:rsidRDefault="00D56BEF" w:rsidP="00D56BEF">
      <w:pPr>
        <w:pStyle w:val="PL"/>
        <w:rPr>
          <w:color w:val="808080"/>
          <w:lang w:val="en-GB"/>
        </w:rPr>
      </w:pPr>
      <w:r>
        <w:rPr>
          <w:color w:val="808080"/>
          <w:lang w:val="en-GB"/>
        </w:rPr>
        <w:t>-- ASN1START</w:t>
      </w:r>
    </w:p>
    <w:p w14:paraId="5983B222" w14:textId="77777777" w:rsidR="00D56BEF" w:rsidRDefault="00D56BEF" w:rsidP="00D56BEF">
      <w:pPr>
        <w:pStyle w:val="PL"/>
        <w:rPr>
          <w:color w:val="808080"/>
          <w:lang w:val="en-GB"/>
        </w:rPr>
      </w:pPr>
      <w:r>
        <w:rPr>
          <w:color w:val="808080"/>
          <w:lang w:val="en-GB"/>
        </w:rPr>
        <w:t>-- TAG-FREQUENCY-INFO-DL-START</w:t>
      </w:r>
    </w:p>
    <w:p w14:paraId="2C55AA5B" w14:textId="77777777" w:rsidR="00D56BEF" w:rsidRDefault="00D56BEF" w:rsidP="00D56BEF">
      <w:pPr>
        <w:pStyle w:val="PL"/>
        <w:rPr>
          <w:lang w:val="en-GB"/>
        </w:rPr>
      </w:pPr>
    </w:p>
    <w:p w14:paraId="6D751D07" w14:textId="77777777" w:rsidR="00D56BEF" w:rsidRDefault="00D56BEF" w:rsidP="00D56BEF">
      <w:pPr>
        <w:pStyle w:val="PL"/>
        <w:rPr>
          <w:lang w:val="en-GB"/>
        </w:rPr>
      </w:pPr>
      <w:bookmarkStart w:id="8" w:name="_Hlk505296607"/>
      <w:r>
        <w:rPr>
          <w:lang w:val="en-GB"/>
        </w:rPr>
        <w:t xml:space="preserve">FrequencyInfoDL </w:t>
      </w:r>
      <w:bookmarkEnd w:id="8"/>
      <w:r>
        <w:rPr>
          <w:lang w:val="en-GB"/>
        </w:rPr>
        <w:t xml:space="preserve">::=                </w:t>
      </w:r>
      <w:r>
        <w:rPr>
          <w:color w:val="993366"/>
          <w:lang w:val="en-GB"/>
        </w:rPr>
        <w:t>SEQUENCE</w:t>
      </w:r>
      <w:r>
        <w:rPr>
          <w:lang w:val="en-GB"/>
        </w:rPr>
        <w:t xml:space="preserve"> {</w:t>
      </w:r>
    </w:p>
    <w:p w14:paraId="40E789AF" w14:textId="77777777" w:rsidR="00D56BEF" w:rsidRDefault="00D56BEF" w:rsidP="00D56BEF">
      <w:pPr>
        <w:pStyle w:val="PL"/>
        <w:rPr>
          <w:color w:val="808080"/>
          <w:lang w:val="en-GB"/>
        </w:rPr>
      </w:pPr>
      <w:r>
        <w:rPr>
          <w:lang w:val="en-GB"/>
        </w:rPr>
        <w:t xml:space="preserve">    </w:t>
      </w:r>
      <w:r>
        <w:rPr>
          <w:color w:val="808080"/>
          <w:lang w:val="en-GB"/>
        </w:rPr>
        <w:t xml:space="preserve">-- Frequency of the SSB to be used for this serving cell. The frequency provided in this field identifies the position of </w:t>
      </w:r>
    </w:p>
    <w:p w14:paraId="0D99C709" w14:textId="77777777" w:rsidR="00D56BEF" w:rsidRDefault="00D56BEF" w:rsidP="00D56BEF">
      <w:pPr>
        <w:pStyle w:val="PL"/>
        <w:rPr>
          <w:color w:val="808080"/>
          <w:lang w:val="en-GB"/>
        </w:rPr>
      </w:pPr>
      <w:r>
        <w:rPr>
          <w:lang w:val="en-GB"/>
        </w:rPr>
        <w:t xml:space="preserve">    </w:t>
      </w:r>
      <w:r>
        <w:rPr>
          <w:color w:val="808080"/>
          <w:lang w:val="en-GB"/>
        </w:rPr>
        <w:t>-- resource element RE=#0 (subcarrier #0) of resource block RB#10 of the SS block. The cell-defining SSB of an SpCell is always on</w:t>
      </w:r>
    </w:p>
    <w:p w14:paraId="5F754A2F" w14:textId="77777777" w:rsidR="00D56BEF" w:rsidRDefault="00D56BEF" w:rsidP="00D56BEF">
      <w:pPr>
        <w:pStyle w:val="PL"/>
        <w:rPr>
          <w:color w:val="808080"/>
          <w:lang w:val="en-GB"/>
        </w:rPr>
      </w:pPr>
      <w:r>
        <w:rPr>
          <w:lang w:val="en-GB"/>
        </w:rPr>
        <w:t xml:space="preserve">    </w:t>
      </w:r>
      <w:r>
        <w:rPr>
          <w:color w:val="808080"/>
          <w:lang w:val="en-GB"/>
        </w:rPr>
        <w:t>-- the sync raster. Frequencies are considered to be on the sync raster if they are also identifiable with a GSCN value (see 38.101).</w:t>
      </w:r>
    </w:p>
    <w:p w14:paraId="31ABC378" w14:textId="77777777" w:rsidR="00D56BEF" w:rsidRDefault="00D56BEF" w:rsidP="00D56BEF">
      <w:pPr>
        <w:pStyle w:val="PL"/>
        <w:rPr>
          <w:lang w:val="en-GB"/>
        </w:rPr>
      </w:pPr>
      <w:r>
        <w:rPr>
          <w:lang w:val="en-GB"/>
        </w:rPr>
        <w:t>    absoluteFrequencySSB                   ARFCN-ValueNR,</w:t>
      </w:r>
    </w:p>
    <w:p w14:paraId="257696A1" w14:textId="77777777" w:rsidR="00D56BEF" w:rsidRDefault="00D56BEF" w:rsidP="00D56BEF">
      <w:pPr>
        <w:pStyle w:val="PL"/>
        <w:rPr>
          <w:color w:val="808080"/>
          <w:lang w:val="en-GB"/>
        </w:rPr>
      </w:pPr>
      <w:r>
        <w:rPr>
          <w:lang w:val="en-GB"/>
        </w:rPr>
        <w:t xml:space="preserve">    </w:t>
      </w:r>
      <w:r>
        <w:rPr>
          <w:color w:val="808080"/>
          <w:lang w:val="en-GB"/>
        </w:rPr>
        <w:t xml:space="preserve">-- The frequency domain offset between SSB and the overall resource block grid in number of subcarriers. </w:t>
      </w:r>
    </w:p>
    <w:p w14:paraId="517D75A1" w14:textId="77777777" w:rsidR="00D56BEF" w:rsidRDefault="00D56BEF" w:rsidP="00D56BEF">
      <w:pPr>
        <w:pStyle w:val="PL"/>
        <w:rPr>
          <w:color w:val="808080"/>
          <w:lang w:val="en-GB"/>
        </w:rPr>
      </w:pPr>
      <w:r>
        <w:rPr>
          <w:lang w:val="en-GB"/>
        </w:rPr>
        <w:t xml:space="preserve">    </w:t>
      </w:r>
      <w:r>
        <w:rPr>
          <w:color w:val="808080"/>
          <w:lang w:val="en-GB"/>
        </w:rPr>
        <w:t xml:space="preserve">-- Absence of the field indicates that no offset is applied (offset = 0). For FR2 only values up to 11 are applicable. </w:t>
      </w:r>
    </w:p>
    <w:p w14:paraId="551684D8" w14:textId="77777777" w:rsidR="00D56BEF" w:rsidRDefault="00D56BEF" w:rsidP="00D56BEF">
      <w:pPr>
        <w:pStyle w:val="PL"/>
        <w:rPr>
          <w:color w:val="808080"/>
          <w:lang w:val="en-GB"/>
        </w:rPr>
      </w:pPr>
      <w:r>
        <w:rPr>
          <w:lang w:val="en-GB"/>
        </w:rPr>
        <w:t xml:space="preserve">    </w:t>
      </w:r>
      <w:r>
        <w:rPr>
          <w:color w:val="808080"/>
          <w:lang w:val="en-GB"/>
        </w:rPr>
        <w:t>-- Corresponds to L1 parameter kssb (See 38.211, section 7.4.3.1)</w:t>
      </w:r>
    </w:p>
    <w:p w14:paraId="5BF326C3" w14:textId="77777777" w:rsidR="00D56BEF" w:rsidRDefault="00D56BEF" w:rsidP="00D56BEF">
      <w:pPr>
        <w:pStyle w:val="PL"/>
        <w:rPr>
          <w:color w:val="808080"/>
          <w:lang w:val="en-GB"/>
        </w:rPr>
      </w:pPr>
      <w:bookmarkStart w:id="9" w:name="_Hlk503917613"/>
      <w:r>
        <w:rPr>
          <w:lang w:val="en-GB"/>
        </w:rPr>
        <w:t xml:space="preserve">    ssb-SubcarrierOffset                   </w:t>
      </w:r>
      <w:r>
        <w:rPr>
          <w:color w:val="993366"/>
          <w:lang w:val="en-GB"/>
        </w:rPr>
        <w:t>INTEGER</w:t>
      </w:r>
      <w:r>
        <w:rPr>
          <w:lang w:val="en-GB"/>
        </w:rPr>
        <w:t xml:space="preserve"> (1..23)                                                           </w:t>
      </w:r>
      <w:r>
        <w:rPr>
          <w:color w:val="993366"/>
          <w:lang w:val="en-GB"/>
        </w:rPr>
        <w:t>OPTIONAL</w:t>
      </w:r>
      <w:r>
        <w:rPr>
          <w:lang w:val="en-GB"/>
        </w:rPr>
        <w:t xml:space="preserve">,   </w:t>
      </w:r>
      <w:r>
        <w:rPr>
          <w:color w:val="808080"/>
          <w:lang w:val="en-GB"/>
        </w:rPr>
        <w:t>-- Need S</w:t>
      </w:r>
    </w:p>
    <w:bookmarkEnd w:id="9"/>
    <w:p w14:paraId="1A22EDF2" w14:textId="77777777" w:rsidR="00D56BEF" w:rsidRDefault="00D56BEF" w:rsidP="00D56BEF">
      <w:pPr>
        <w:pStyle w:val="PL"/>
        <w:rPr>
          <w:color w:val="808080"/>
          <w:lang w:val="en-GB"/>
        </w:rPr>
      </w:pPr>
      <w:r>
        <w:rPr>
          <w:lang w:val="en-GB"/>
        </w:rPr>
        <w:lastRenderedPageBreak/>
        <w:t xml:space="preserve">    </w:t>
      </w:r>
      <w:r>
        <w:rPr>
          <w:color w:val="808080"/>
          <w:lang w:val="en-GB"/>
        </w:rPr>
        <w:t xml:space="preserve">-- List of one or multiple frequency bands to which this carrier(s) belongs. Multiple values are only supported in </w:t>
      </w:r>
    </w:p>
    <w:p w14:paraId="490F0DFE" w14:textId="77777777" w:rsidR="00D56BEF" w:rsidRDefault="00D56BEF" w:rsidP="00D56BEF">
      <w:pPr>
        <w:pStyle w:val="PL"/>
        <w:rPr>
          <w:color w:val="808080"/>
          <w:lang w:val="en-GB"/>
        </w:rPr>
      </w:pPr>
      <w:r>
        <w:rPr>
          <w:lang w:val="en-GB"/>
        </w:rPr>
        <w:t xml:space="preserve">    </w:t>
      </w:r>
      <w:r>
        <w:rPr>
          <w:color w:val="808080"/>
          <w:lang w:val="en-GB"/>
        </w:rPr>
        <w:t>-- system information but not when the FrequencyInfoDL is provided in dedicated signalling (HO or S(p)Cell addition).</w:t>
      </w:r>
    </w:p>
    <w:p w14:paraId="6198A223" w14:textId="77777777" w:rsidR="00D56BEF" w:rsidRDefault="00D56BEF" w:rsidP="00D56BEF">
      <w:pPr>
        <w:pStyle w:val="PL"/>
        <w:rPr>
          <w:lang w:val="en-GB"/>
        </w:rPr>
      </w:pPr>
      <w:r>
        <w:rPr>
          <w:lang w:val="en-GB"/>
        </w:rPr>
        <w:t>    frequencyBandList                   MultiFrequencyBandListNR,</w:t>
      </w:r>
    </w:p>
    <w:p w14:paraId="379102E4" w14:textId="77777777" w:rsidR="00D56BEF" w:rsidRDefault="00D56BEF" w:rsidP="00D56BEF">
      <w:pPr>
        <w:pStyle w:val="PL"/>
        <w:rPr>
          <w:color w:val="808080"/>
          <w:lang w:val="en-GB"/>
        </w:rPr>
      </w:pPr>
      <w:r>
        <w:rPr>
          <w:lang w:val="en-GB"/>
        </w:rPr>
        <w:t xml:space="preserve">    </w:t>
      </w:r>
      <w:r>
        <w:rPr>
          <w:color w:val="808080"/>
          <w:lang w:val="en-GB"/>
        </w:rPr>
        <w:t xml:space="preserve">-- Absolute frequency position of the reference resource block (Common RB 0). Its lowest subcarrier is also known as Point A. </w:t>
      </w:r>
    </w:p>
    <w:p w14:paraId="5128A710" w14:textId="77777777" w:rsidR="00D56BEF" w:rsidRDefault="00D56BEF" w:rsidP="00D56BEF">
      <w:pPr>
        <w:pStyle w:val="PL"/>
        <w:rPr>
          <w:color w:val="808080"/>
          <w:lang w:val="en-GB"/>
        </w:rPr>
      </w:pPr>
      <w:r>
        <w:rPr>
          <w:lang w:val="en-GB"/>
        </w:rPr>
        <w:t xml:space="preserve">    </w:t>
      </w:r>
      <w:r>
        <w:rPr>
          <w:color w:val="808080"/>
          <w:lang w:val="en-GB"/>
        </w:rPr>
        <w:t>-- Note that the lower edge of the actual carrier is not defined by this field but rather in the scs-SpecificCarrierList.</w:t>
      </w:r>
    </w:p>
    <w:p w14:paraId="1F9E0088" w14:textId="77777777" w:rsidR="00D56BEF" w:rsidRDefault="00D56BEF" w:rsidP="00D56BEF">
      <w:pPr>
        <w:pStyle w:val="PL"/>
        <w:rPr>
          <w:color w:val="808080"/>
          <w:lang w:val="en-GB"/>
        </w:rPr>
      </w:pPr>
      <w:r>
        <w:rPr>
          <w:lang w:val="en-GB"/>
        </w:rPr>
        <w:t xml:space="preserve">    </w:t>
      </w:r>
      <w:r>
        <w:rPr>
          <w:color w:val="808080"/>
          <w:lang w:val="en-GB"/>
        </w:rPr>
        <w:t>-- Corresponds to L1 parameter 'offset-ref-low-scs-ref-PRB' (see 38.211, section FFS_Section)</w:t>
      </w:r>
    </w:p>
    <w:p w14:paraId="0B873495" w14:textId="77777777" w:rsidR="00D56BEF" w:rsidRDefault="00D56BEF" w:rsidP="00D56BEF">
      <w:pPr>
        <w:pStyle w:val="PL"/>
        <w:rPr>
          <w:lang w:val="en-GB"/>
        </w:rPr>
      </w:pPr>
      <w:r>
        <w:rPr>
          <w:lang w:val="en-GB"/>
        </w:rPr>
        <w:t xml:space="preserve">    </w:t>
      </w:r>
      <w:r>
        <w:rPr>
          <w:highlight w:val="yellow"/>
          <w:lang w:val="en-GB"/>
        </w:rPr>
        <w:t>absoluteFrequencyPointA                ARFCN-ValueNR,</w:t>
      </w:r>
    </w:p>
    <w:p w14:paraId="5CF8DD11" w14:textId="77777777" w:rsidR="00D56BEF" w:rsidRDefault="00D56BEF" w:rsidP="00D56BEF">
      <w:pPr>
        <w:pStyle w:val="PL"/>
        <w:rPr>
          <w:lang w:val="en-GB"/>
        </w:rPr>
      </w:pPr>
    </w:p>
    <w:p w14:paraId="5245C412" w14:textId="77777777" w:rsidR="00D56BEF" w:rsidRDefault="00D56BEF" w:rsidP="00D56BEF">
      <w:pPr>
        <w:pStyle w:val="PL"/>
        <w:rPr>
          <w:color w:val="808080"/>
          <w:lang w:val="en-GB"/>
        </w:rPr>
      </w:pPr>
      <w:r>
        <w:rPr>
          <w:lang w:val="en-GB"/>
        </w:rPr>
        <w:t xml:space="preserve">    </w:t>
      </w:r>
      <w:r>
        <w:rPr>
          <w:color w:val="808080"/>
          <w:lang w:val="en-GB"/>
        </w:rPr>
        <w:t>-- A set of carriers for different subcarrier spacings (numerologies). Defined in relation to Point A.</w:t>
      </w:r>
    </w:p>
    <w:p w14:paraId="597FB9C8" w14:textId="77777777" w:rsidR="00D56BEF" w:rsidRDefault="00D56BEF" w:rsidP="00D56BEF">
      <w:pPr>
        <w:pStyle w:val="PL"/>
        <w:rPr>
          <w:color w:val="808080"/>
          <w:lang w:val="en-GB"/>
        </w:rPr>
      </w:pPr>
      <w:r>
        <w:rPr>
          <w:lang w:val="en-GB"/>
        </w:rPr>
        <w:t xml:space="preserve">    </w:t>
      </w:r>
      <w:r>
        <w:rPr>
          <w:color w:val="808080"/>
          <w:lang w:val="en-GB"/>
        </w:rPr>
        <w:t>-- Corresponds to L1 parameter 'offset-pointA-set' (see 38.211, section FFS_Section)</w:t>
      </w:r>
    </w:p>
    <w:p w14:paraId="1407264B" w14:textId="77777777" w:rsidR="00D56BEF" w:rsidRDefault="00D56BEF" w:rsidP="00D56BEF">
      <w:pPr>
        <w:pStyle w:val="PL"/>
        <w:rPr>
          <w:lang w:val="en-GB"/>
        </w:rPr>
      </w:pPr>
      <w:r>
        <w:rPr>
          <w:lang w:val="en-GB"/>
        </w:rPr>
        <w:t xml:space="preserve">    scs-SpecificCarrierList                </w:t>
      </w:r>
      <w:r>
        <w:rPr>
          <w:color w:val="993366"/>
          <w:lang w:val="en-GB"/>
        </w:rPr>
        <w:t>SEQUENCE</w:t>
      </w:r>
      <w:r>
        <w:rPr>
          <w:lang w:val="en-GB"/>
        </w:rPr>
        <w:t xml:space="preserve"> (</w:t>
      </w:r>
      <w:r>
        <w:rPr>
          <w:color w:val="993366"/>
          <w:lang w:val="en-GB"/>
        </w:rPr>
        <w:t>SIZE</w:t>
      </w:r>
      <w:r>
        <w:rPr>
          <w:lang w:val="en-GB"/>
        </w:rPr>
        <w:t xml:space="preserve"> (1..maxSCSs))</w:t>
      </w:r>
      <w:r>
        <w:rPr>
          <w:color w:val="993366"/>
          <w:lang w:val="en-GB"/>
        </w:rPr>
        <w:t xml:space="preserve"> OF</w:t>
      </w:r>
      <w:r>
        <w:rPr>
          <w:lang w:val="en-GB"/>
        </w:rPr>
        <w:t xml:space="preserve"> SCS-SpecificCarrier,</w:t>
      </w:r>
    </w:p>
    <w:p w14:paraId="7154CFA7" w14:textId="77777777" w:rsidR="00D56BEF" w:rsidRDefault="00D56BEF" w:rsidP="00D56BEF">
      <w:pPr>
        <w:pStyle w:val="PL"/>
        <w:rPr>
          <w:lang w:val="en-GB"/>
        </w:rPr>
      </w:pPr>
      <w:r>
        <w:rPr>
          <w:lang w:val="en-GB"/>
        </w:rPr>
        <w:t>    ...</w:t>
      </w:r>
    </w:p>
    <w:p w14:paraId="5DAF33A6" w14:textId="77777777" w:rsidR="00D56BEF" w:rsidRDefault="00D56BEF" w:rsidP="00D56BEF">
      <w:pPr>
        <w:pStyle w:val="PL"/>
        <w:rPr>
          <w:lang w:val="en-GB"/>
        </w:rPr>
      </w:pPr>
      <w:r>
        <w:rPr>
          <w:lang w:val="en-GB"/>
        </w:rPr>
        <w:t>}</w:t>
      </w:r>
    </w:p>
    <w:p w14:paraId="255D5C6B" w14:textId="77777777" w:rsidR="00D56BEF" w:rsidRDefault="00D56BEF" w:rsidP="00D56BEF">
      <w:pPr>
        <w:pStyle w:val="PL"/>
        <w:rPr>
          <w:lang w:val="en-GB"/>
        </w:rPr>
      </w:pPr>
    </w:p>
    <w:p w14:paraId="09AF4B0B" w14:textId="77777777" w:rsidR="00D56BEF" w:rsidRDefault="00D56BEF" w:rsidP="00D56BEF">
      <w:pPr>
        <w:pStyle w:val="PL"/>
        <w:rPr>
          <w:color w:val="808080"/>
          <w:lang w:val="en-GB"/>
        </w:rPr>
      </w:pPr>
      <w:r>
        <w:rPr>
          <w:color w:val="808080"/>
          <w:lang w:val="en-GB"/>
        </w:rPr>
        <w:t>-- TAG-FREQUENCY-INFO-UL-STOP</w:t>
      </w:r>
    </w:p>
    <w:p w14:paraId="24DE9421" w14:textId="77777777" w:rsidR="00D56BEF" w:rsidRDefault="00D56BEF" w:rsidP="00D56BEF">
      <w:pPr>
        <w:pStyle w:val="PL"/>
        <w:rPr>
          <w:color w:val="808080"/>
          <w:lang w:val="en-GB"/>
        </w:rPr>
      </w:pPr>
      <w:r>
        <w:rPr>
          <w:color w:val="808080"/>
          <w:lang w:val="en-GB"/>
        </w:rPr>
        <w:t>-- ASN1STOP</w:t>
      </w:r>
    </w:p>
    <w:p w14:paraId="09E57322" w14:textId="77777777" w:rsidR="00D56BEF" w:rsidRDefault="00D56BEF" w:rsidP="00D56BEF"/>
    <w:p w14:paraId="427E9B38" w14:textId="77777777" w:rsidR="00D56BEF" w:rsidRDefault="00D56BEF" w:rsidP="00D56BEF">
      <w:pPr>
        <w:pStyle w:val="Heading4"/>
        <w:rPr>
          <w:rFonts w:eastAsia="Times New Roman"/>
          <w:i/>
          <w:iCs/>
          <w:lang w:val="en-GB"/>
        </w:rPr>
      </w:pPr>
      <w:bookmarkStart w:id="10" w:name="_Toc509607759"/>
      <w:r>
        <w:rPr>
          <w:rFonts w:eastAsia="Times New Roman"/>
          <w:lang w:val="en-GB"/>
        </w:rPr>
        <w:t xml:space="preserve">–                  </w:t>
      </w:r>
      <w:r>
        <w:rPr>
          <w:rFonts w:eastAsia="Times New Roman"/>
          <w:i/>
          <w:iCs/>
          <w:lang w:val="en-GB"/>
        </w:rPr>
        <w:t>FrequencyInfoUL</w:t>
      </w:r>
      <w:bookmarkEnd w:id="10"/>
    </w:p>
    <w:p w14:paraId="0E159235" w14:textId="77777777" w:rsidR="00D56BEF" w:rsidRDefault="00D56BEF" w:rsidP="00D56BEF">
      <w:r>
        <w:t xml:space="preserve">The IE </w:t>
      </w:r>
      <w:r>
        <w:rPr>
          <w:i/>
          <w:iCs/>
        </w:rPr>
        <w:t xml:space="preserve">FrequencyInfoUL </w:t>
      </w:r>
      <w:r>
        <w:t xml:space="preserve">provides basic parameters of an uplink carrier and transmission thereon. </w:t>
      </w:r>
    </w:p>
    <w:p w14:paraId="6C96AD14" w14:textId="77777777" w:rsidR="00D56BEF" w:rsidRDefault="00D56BEF" w:rsidP="00D56BEF">
      <w:pPr>
        <w:pStyle w:val="TH"/>
        <w:rPr>
          <w:lang w:val="x-none"/>
        </w:rPr>
      </w:pPr>
      <w:r>
        <w:rPr>
          <w:i/>
          <w:iCs/>
          <w:lang w:val="x-none"/>
        </w:rPr>
        <w:t xml:space="preserve">FrequencyInfoUL </w:t>
      </w:r>
      <w:r>
        <w:rPr>
          <w:lang w:val="x-none"/>
        </w:rPr>
        <w:t>information element</w:t>
      </w:r>
    </w:p>
    <w:p w14:paraId="6B7AD073" w14:textId="77777777" w:rsidR="00D56BEF" w:rsidRDefault="00D56BEF" w:rsidP="00D56BEF">
      <w:pPr>
        <w:pStyle w:val="PL"/>
        <w:rPr>
          <w:color w:val="808080"/>
          <w:lang w:val="en-GB"/>
        </w:rPr>
      </w:pPr>
      <w:r>
        <w:rPr>
          <w:color w:val="808080"/>
          <w:lang w:val="en-GB"/>
        </w:rPr>
        <w:t>-- ASN1START</w:t>
      </w:r>
    </w:p>
    <w:p w14:paraId="619BB31A" w14:textId="77777777" w:rsidR="00D56BEF" w:rsidRDefault="00D56BEF" w:rsidP="00D56BEF">
      <w:pPr>
        <w:pStyle w:val="PL"/>
        <w:rPr>
          <w:color w:val="808080"/>
          <w:lang w:val="en-GB"/>
        </w:rPr>
      </w:pPr>
      <w:r>
        <w:rPr>
          <w:color w:val="808080"/>
          <w:lang w:val="en-GB"/>
        </w:rPr>
        <w:t>-- TAG-FREQUENCY-INFO-UL-START</w:t>
      </w:r>
    </w:p>
    <w:p w14:paraId="2D32D8DE" w14:textId="77777777" w:rsidR="00D56BEF" w:rsidRDefault="00D56BEF" w:rsidP="00D56BEF">
      <w:pPr>
        <w:pStyle w:val="PL"/>
        <w:rPr>
          <w:lang w:val="en-GB"/>
        </w:rPr>
      </w:pPr>
    </w:p>
    <w:p w14:paraId="12B6901F" w14:textId="77777777" w:rsidR="00D56BEF" w:rsidRDefault="00D56BEF" w:rsidP="00D56BEF">
      <w:pPr>
        <w:pStyle w:val="PL"/>
        <w:rPr>
          <w:lang w:val="en-GB"/>
        </w:rPr>
      </w:pPr>
      <w:r>
        <w:rPr>
          <w:lang w:val="en-GB"/>
        </w:rPr>
        <w:t xml:space="preserve">FrequencyInfoUL ::=                </w:t>
      </w:r>
      <w:r>
        <w:rPr>
          <w:color w:val="993366"/>
          <w:lang w:val="en-GB"/>
        </w:rPr>
        <w:t>SEQUENCE</w:t>
      </w:r>
      <w:r>
        <w:rPr>
          <w:lang w:val="en-GB"/>
        </w:rPr>
        <w:t xml:space="preserve"> {</w:t>
      </w:r>
    </w:p>
    <w:p w14:paraId="00C3B614" w14:textId="77777777" w:rsidR="00D56BEF" w:rsidRDefault="00D56BEF" w:rsidP="00D56BEF">
      <w:pPr>
        <w:pStyle w:val="PL"/>
        <w:rPr>
          <w:color w:val="808080"/>
          <w:lang w:val="en-GB"/>
        </w:rPr>
      </w:pPr>
      <w:bookmarkStart w:id="11" w:name="_Hlk506657608"/>
      <w:r>
        <w:rPr>
          <w:lang w:val="en-GB"/>
        </w:rPr>
        <w:t xml:space="preserve">    </w:t>
      </w:r>
      <w:r>
        <w:rPr>
          <w:color w:val="808080"/>
          <w:lang w:val="en-GB"/>
        </w:rPr>
        <w:t xml:space="preserve">-- List of one or multiple frequency bands to which this carrier(s) belongs. Multiple values are only supported in </w:t>
      </w:r>
    </w:p>
    <w:p w14:paraId="6F2CD54F" w14:textId="77777777" w:rsidR="00D56BEF" w:rsidRDefault="00D56BEF" w:rsidP="00D56BEF">
      <w:pPr>
        <w:pStyle w:val="PL"/>
        <w:rPr>
          <w:color w:val="808080"/>
          <w:lang w:val="en-GB"/>
        </w:rPr>
      </w:pPr>
      <w:r>
        <w:rPr>
          <w:lang w:val="en-GB"/>
        </w:rPr>
        <w:t xml:space="preserve">    </w:t>
      </w:r>
      <w:r>
        <w:rPr>
          <w:color w:val="808080"/>
          <w:lang w:val="en-GB"/>
        </w:rPr>
        <w:t>-- system information but not when the FrequencyInfoDL is provided in dedicated signalling (HO or S(p)Cell addition).</w:t>
      </w:r>
    </w:p>
    <w:p w14:paraId="260032CF" w14:textId="77777777" w:rsidR="00D56BEF" w:rsidRDefault="00D56BEF" w:rsidP="00D56BEF">
      <w:pPr>
        <w:pStyle w:val="PL"/>
        <w:rPr>
          <w:color w:val="808080"/>
          <w:lang w:val="en-GB"/>
        </w:rPr>
      </w:pPr>
      <w:r>
        <w:rPr>
          <w:lang w:val="en-GB"/>
        </w:rPr>
        <w:t xml:space="preserve">    frequencyBandList                  MultiFrequencyBandListNR                                       </w:t>
      </w:r>
      <w:r>
        <w:rPr>
          <w:color w:val="993366"/>
          <w:lang w:val="en-GB"/>
        </w:rPr>
        <w:t>OPTIONAL</w:t>
      </w:r>
      <w:r>
        <w:rPr>
          <w:lang w:val="en-GB"/>
        </w:rPr>
        <w:t xml:space="preserve">,   </w:t>
      </w:r>
      <w:r>
        <w:rPr>
          <w:color w:val="808080"/>
          <w:lang w:val="en-GB"/>
        </w:rPr>
        <w:t>-- Cond FDD-OrSUL</w:t>
      </w:r>
    </w:p>
    <w:bookmarkEnd w:id="11"/>
    <w:p w14:paraId="70A9FEFF" w14:textId="77777777" w:rsidR="00D56BEF" w:rsidRDefault="00D56BEF" w:rsidP="00D56BEF">
      <w:pPr>
        <w:pStyle w:val="PL"/>
        <w:rPr>
          <w:color w:val="808080"/>
          <w:lang w:val="en-GB"/>
        </w:rPr>
      </w:pPr>
      <w:r>
        <w:rPr>
          <w:lang w:val="en-GB"/>
        </w:rPr>
        <w:t xml:space="preserve">    </w:t>
      </w:r>
      <w:r>
        <w:rPr>
          <w:color w:val="808080"/>
          <w:lang w:val="en-GB"/>
        </w:rPr>
        <w:t>-- Absolute frequency of the reference resource block (Common RB 0). Its lowest subcarrier is also known as Point A.</w:t>
      </w:r>
    </w:p>
    <w:p w14:paraId="44A867A2" w14:textId="77777777" w:rsidR="00D56BEF" w:rsidRDefault="00D56BEF" w:rsidP="00D56BEF">
      <w:pPr>
        <w:pStyle w:val="PL"/>
        <w:rPr>
          <w:color w:val="808080"/>
          <w:lang w:val="en-GB"/>
        </w:rPr>
      </w:pPr>
      <w:r>
        <w:rPr>
          <w:lang w:val="en-GB"/>
        </w:rPr>
        <w:t xml:space="preserve">    </w:t>
      </w:r>
      <w:r>
        <w:rPr>
          <w:color w:val="808080"/>
          <w:lang w:val="en-GB"/>
        </w:rPr>
        <w:t>-- Corresponds to L1 parameter 'offset-ref-low-scs-ref-PRB' (see 38.211, section FFS_Section)</w:t>
      </w:r>
    </w:p>
    <w:p w14:paraId="0B9C9A61" w14:textId="77777777" w:rsidR="00D56BEF" w:rsidRDefault="00D56BEF" w:rsidP="00D56BEF">
      <w:pPr>
        <w:pStyle w:val="PL"/>
        <w:rPr>
          <w:color w:val="808080"/>
          <w:lang w:val="en-GB"/>
        </w:rPr>
      </w:pPr>
      <w:r>
        <w:rPr>
          <w:lang w:val="en-GB"/>
        </w:rPr>
        <w:t xml:space="preserve">    </w:t>
      </w:r>
      <w:r>
        <w:rPr>
          <w:highlight w:val="yellow"/>
          <w:lang w:val="en-GB"/>
        </w:rPr>
        <w:t xml:space="preserve">absoluteFrequencyPointA                    ARFCN-ValueNR                   </w:t>
      </w:r>
      <w:r>
        <w:rPr>
          <w:color w:val="993366"/>
          <w:highlight w:val="yellow"/>
          <w:lang w:val="en-GB"/>
        </w:rPr>
        <w:t>OPTIONAL</w:t>
      </w:r>
      <w:r>
        <w:rPr>
          <w:highlight w:val="yellow"/>
          <w:lang w:val="en-GB"/>
        </w:rPr>
        <w:t xml:space="preserve">,   </w:t>
      </w:r>
      <w:r>
        <w:rPr>
          <w:color w:val="808080"/>
          <w:highlight w:val="yellow"/>
          <w:lang w:val="en-GB"/>
        </w:rPr>
        <w:t>-- Cond FDD-OrSUL</w:t>
      </w:r>
    </w:p>
    <w:p w14:paraId="11DB3DA1" w14:textId="77777777" w:rsidR="00D56BEF" w:rsidRDefault="00D56BEF" w:rsidP="00D56BEF">
      <w:pPr>
        <w:pStyle w:val="PL"/>
        <w:rPr>
          <w:color w:val="808080"/>
          <w:lang w:val="en-GB"/>
        </w:rPr>
      </w:pPr>
      <w:r>
        <w:rPr>
          <w:lang w:val="en-GB"/>
        </w:rPr>
        <w:t xml:space="preserve">    </w:t>
      </w:r>
      <w:r>
        <w:rPr>
          <w:color w:val="808080"/>
          <w:lang w:val="en-GB"/>
        </w:rPr>
        <w:t>-- A set of virtual carriers for different subcarrier spacings (numerologies). Defined in relation to Point A.</w:t>
      </w:r>
    </w:p>
    <w:p w14:paraId="22D7FA6B" w14:textId="77777777" w:rsidR="00D56BEF" w:rsidRDefault="00D56BEF" w:rsidP="00D56BEF">
      <w:pPr>
        <w:pStyle w:val="PL"/>
        <w:rPr>
          <w:color w:val="808080"/>
          <w:lang w:val="en-GB"/>
        </w:rPr>
      </w:pPr>
      <w:r>
        <w:rPr>
          <w:lang w:val="en-GB"/>
        </w:rPr>
        <w:t xml:space="preserve">    </w:t>
      </w:r>
      <w:r>
        <w:rPr>
          <w:color w:val="808080"/>
          <w:lang w:val="en-GB"/>
        </w:rPr>
        <w:t>-- Note that the lower edge of the actual carrier is not defined by this field but rather in the scs-SpecificCarrierList.</w:t>
      </w:r>
    </w:p>
    <w:p w14:paraId="52AEA5CC" w14:textId="77777777" w:rsidR="00D56BEF" w:rsidRDefault="00D56BEF" w:rsidP="00D56BEF">
      <w:pPr>
        <w:pStyle w:val="PL"/>
        <w:rPr>
          <w:color w:val="808080"/>
          <w:lang w:val="en-GB"/>
        </w:rPr>
      </w:pPr>
      <w:r>
        <w:rPr>
          <w:lang w:val="en-GB"/>
        </w:rPr>
        <w:t xml:space="preserve">    </w:t>
      </w:r>
      <w:r>
        <w:rPr>
          <w:color w:val="808080"/>
          <w:lang w:val="en-GB"/>
        </w:rPr>
        <w:t>-- Corresponds to L1 parameter 'offset-pointA-set' (see 38.211, section FFS_Section)</w:t>
      </w:r>
    </w:p>
    <w:p w14:paraId="111B7587" w14:textId="77777777" w:rsidR="00D56BEF" w:rsidRDefault="00D56BEF" w:rsidP="00D56BEF">
      <w:pPr>
        <w:pStyle w:val="PL"/>
        <w:rPr>
          <w:lang w:val="en-GB"/>
        </w:rPr>
      </w:pPr>
      <w:r>
        <w:rPr>
          <w:lang w:val="en-GB"/>
        </w:rPr>
        <w:t xml:space="preserve">    scs-SpecificCarriers               </w:t>
      </w:r>
      <w:r>
        <w:rPr>
          <w:color w:val="993366"/>
          <w:lang w:val="en-GB"/>
        </w:rPr>
        <w:t>SEQUENCE</w:t>
      </w:r>
      <w:r>
        <w:rPr>
          <w:lang w:val="en-GB"/>
        </w:rPr>
        <w:t xml:space="preserve"> (</w:t>
      </w:r>
      <w:r>
        <w:rPr>
          <w:color w:val="993366"/>
          <w:lang w:val="en-GB"/>
        </w:rPr>
        <w:t>SIZE</w:t>
      </w:r>
      <w:r>
        <w:rPr>
          <w:lang w:val="en-GB"/>
        </w:rPr>
        <w:t xml:space="preserve"> (1..maxSCSs))</w:t>
      </w:r>
      <w:r>
        <w:rPr>
          <w:color w:val="993366"/>
          <w:lang w:val="en-GB"/>
        </w:rPr>
        <w:t xml:space="preserve"> OF</w:t>
      </w:r>
      <w:r>
        <w:rPr>
          <w:lang w:val="en-GB"/>
        </w:rPr>
        <w:t xml:space="preserve"> SCS-SpecificCarrier,</w:t>
      </w:r>
    </w:p>
    <w:p w14:paraId="65787D87" w14:textId="77777777" w:rsidR="00D56BEF" w:rsidRDefault="00D56BEF" w:rsidP="00D56BEF">
      <w:pPr>
        <w:pStyle w:val="PL"/>
        <w:rPr>
          <w:lang w:val="en-GB"/>
        </w:rPr>
      </w:pPr>
    </w:p>
    <w:p w14:paraId="5A749ACE" w14:textId="77777777" w:rsidR="00D56BEF" w:rsidRDefault="00D56BEF" w:rsidP="00D56BEF">
      <w:pPr>
        <w:pStyle w:val="PL"/>
        <w:rPr>
          <w:color w:val="808080"/>
          <w:lang w:val="en-GB"/>
        </w:rPr>
      </w:pPr>
      <w:r>
        <w:rPr>
          <w:lang w:val="en-GB"/>
        </w:rPr>
        <w:t xml:space="preserve">    </w:t>
      </w:r>
      <w:r>
        <w:rPr>
          <w:color w:val="808080"/>
          <w:lang w:val="en-GB"/>
        </w:rPr>
        <w:t xml:space="preserve">-- The additional spectrum emission requirements to be applied by the UE on this uplink. </w:t>
      </w:r>
    </w:p>
    <w:p w14:paraId="4663A6DB" w14:textId="77777777" w:rsidR="00D56BEF" w:rsidRDefault="00D56BEF" w:rsidP="00D56BEF">
      <w:pPr>
        <w:pStyle w:val="PL"/>
        <w:rPr>
          <w:color w:val="808080"/>
          <w:lang w:val="en-GB"/>
        </w:rPr>
      </w:pPr>
      <w:r>
        <w:rPr>
          <w:lang w:val="en-GB"/>
        </w:rPr>
        <w:t xml:space="preserve">    </w:t>
      </w:r>
      <w:r>
        <w:rPr>
          <w:color w:val="808080"/>
          <w:lang w:val="en-GB"/>
        </w:rPr>
        <w:t>-- If the field is absent, the UE applies the value FFS_RAN4. (see FFS_section, section FFS_Section)</w:t>
      </w:r>
    </w:p>
    <w:p w14:paraId="7804E71D" w14:textId="77777777" w:rsidR="00D56BEF" w:rsidRDefault="00D56BEF" w:rsidP="00D56BEF">
      <w:pPr>
        <w:pStyle w:val="PL"/>
        <w:rPr>
          <w:color w:val="808080"/>
          <w:lang w:val="en-GB"/>
        </w:rPr>
      </w:pPr>
      <w:r>
        <w:rPr>
          <w:lang w:val="en-GB"/>
        </w:rPr>
        <w:t xml:space="preserve">    additionalSpectrumEmission          AdditionalSpectrumEmission                                     </w:t>
      </w:r>
      <w:r>
        <w:rPr>
          <w:color w:val="993366"/>
          <w:lang w:val="en-GB"/>
        </w:rPr>
        <w:t>OPTIONAL</w:t>
      </w:r>
      <w:r>
        <w:rPr>
          <w:lang w:val="en-GB"/>
        </w:rPr>
        <w:t xml:space="preserve">,   </w:t>
      </w:r>
      <w:r>
        <w:rPr>
          <w:color w:val="808080"/>
          <w:lang w:val="en-GB"/>
        </w:rPr>
        <w:t>-- Need S</w:t>
      </w:r>
    </w:p>
    <w:p w14:paraId="6F232F48" w14:textId="77777777" w:rsidR="00D56BEF" w:rsidRDefault="00D56BEF" w:rsidP="00D56BEF">
      <w:pPr>
        <w:pStyle w:val="PL"/>
        <w:rPr>
          <w:color w:val="808080"/>
          <w:lang w:val="en-GB"/>
        </w:rPr>
      </w:pPr>
      <w:r>
        <w:rPr>
          <w:lang w:val="en-GB"/>
        </w:rPr>
        <w:t xml:space="preserve">    </w:t>
      </w:r>
      <w:r>
        <w:rPr>
          <w:color w:val="808080"/>
          <w:lang w:val="en-GB"/>
        </w:rPr>
        <w:t>-- FFS_Definition. Corresponds to parameter FFS_RAN4. (see FFS_Spec, section FFS_Section)</w:t>
      </w:r>
    </w:p>
    <w:p w14:paraId="33D9BECA" w14:textId="77777777" w:rsidR="00D56BEF" w:rsidRDefault="00D56BEF" w:rsidP="00D56BEF">
      <w:pPr>
        <w:pStyle w:val="PL"/>
        <w:rPr>
          <w:color w:val="808080"/>
          <w:lang w:val="en-GB"/>
        </w:rPr>
      </w:pPr>
      <w:r>
        <w:rPr>
          <w:lang w:val="en-GB"/>
        </w:rPr>
        <w:t xml:space="preserve">    </w:t>
      </w:r>
      <w:r>
        <w:rPr>
          <w:color w:val="808080"/>
          <w:lang w:val="en-GB"/>
        </w:rPr>
        <w:t>-- If the field is absent, the UE applies the value FFS_RAN4.</w:t>
      </w:r>
    </w:p>
    <w:p w14:paraId="437918EF" w14:textId="77777777" w:rsidR="00D56BEF" w:rsidRDefault="00D56BEF" w:rsidP="00D56BEF">
      <w:pPr>
        <w:pStyle w:val="PL"/>
        <w:rPr>
          <w:color w:val="808080"/>
          <w:lang w:val="en-GB"/>
        </w:rPr>
      </w:pPr>
      <w:r>
        <w:rPr>
          <w:lang w:val="en-GB"/>
        </w:rPr>
        <w:t xml:space="preserve">    p-Max                              P-Max                                                         </w:t>
      </w:r>
      <w:r>
        <w:rPr>
          <w:color w:val="993366"/>
          <w:lang w:val="en-GB"/>
        </w:rPr>
        <w:t>OPTIONAL</w:t>
      </w:r>
      <w:r>
        <w:rPr>
          <w:lang w:val="en-GB"/>
        </w:rPr>
        <w:t xml:space="preserve">,   </w:t>
      </w:r>
      <w:r>
        <w:rPr>
          <w:color w:val="808080"/>
          <w:lang w:val="en-GB"/>
        </w:rPr>
        <w:t>-- Need S</w:t>
      </w:r>
    </w:p>
    <w:p w14:paraId="17BE6297" w14:textId="77777777" w:rsidR="00D56BEF" w:rsidRDefault="00D56BEF" w:rsidP="00D56BEF">
      <w:pPr>
        <w:pStyle w:val="PL"/>
        <w:rPr>
          <w:color w:val="808080"/>
          <w:lang w:val="en-GB"/>
        </w:rPr>
      </w:pPr>
      <w:r>
        <w:rPr>
          <w:lang w:val="en-GB"/>
        </w:rPr>
        <w:t xml:space="preserve">    </w:t>
      </w:r>
      <w:r>
        <w:rPr>
          <w:color w:val="808080"/>
          <w:lang w:val="en-GB"/>
        </w:rPr>
        <w:t>-- Enable the NR UL transmission with a 7.5KHz shift to the LTE raster. If the field is absent, the frequency shift is disabled.</w:t>
      </w:r>
    </w:p>
    <w:p w14:paraId="7DD9058E" w14:textId="77777777" w:rsidR="00D56BEF" w:rsidRDefault="00D56BEF" w:rsidP="00D56BEF">
      <w:pPr>
        <w:pStyle w:val="PL"/>
        <w:rPr>
          <w:color w:val="808080"/>
          <w:lang w:val="en-GB"/>
        </w:rPr>
      </w:pPr>
      <w:r>
        <w:rPr>
          <w:lang w:val="en-GB"/>
        </w:rPr>
        <w:t xml:space="preserve">    frequencyShift7p5khz               </w:t>
      </w:r>
      <w:r>
        <w:rPr>
          <w:color w:val="993366"/>
          <w:lang w:val="en-GB"/>
        </w:rPr>
        <w:t>ENUMERATED</w:t>
      </w:r>
      <w:r>
        <w:rPr>
          <w:lang w:val="en-GB"/>
        </w:rPr>
        <w:t xml:space="preserve"> {true}                                             </w:t>
      </w:r>
      <w:r>
        <w:rPr>
          <w:color w:val="993366"/>
          <w:lang w:val="en-GB"/>
        </w:rPr>
        <w:t>OPTIONAL</w:t>
      </w:r>
      <w:r>
        <w:rPr>
          <w:lang w:val="en-GB"/>
        </w:rPr>
        <w:t xml:space="preserve">,   </w:t>
      </w:r>
      <w:r>
        <w:rPr>
          <w:color w:val="808080"/>
          <w:lang w:val="en-GB"/>
        </w:rPr>
        <w:t>-- Cond FDD-OrSUL-Optional</w:t>
      </w:r>
    </w:p>
    <w:p w14:paraId="09B71C77" w14:textId="77777777" w:rsidR="00D56BEF" w:rsidRDefault="00D56BEF" w:rsidP="00D56BEF">
      <w:pPr>
        <w:pStyle w:val="PL"/>
        <w:rPr>
          <w:lang w:val="en-GB"/>
        </w:rPr>
      </w:pPr>
      <w:r>
        <w:rPr>
          <w:lang w:val="en-GB"/>
        </w:rPr>
        <w:t>    ...</w:t>
      </w:r>
    </w:p>
    <w:p w14:paraId="50CBA8B8" w14:textId="77777777" w:rsidR="00D56BEF" w:rsidRDefault="00D56BEF" w:rsidP="00D56BEF">
      <w:pPr>
        <w:pStyle w:val="PL"/>
        <w:rPr>
          <w:lang w:val="en-GB"/>
        </w:rPr>
      </w:pPr>
      <w:r>
        <w:rPr>
          <w:lang w:val="en-GB"/>
        </w:rPr>
        <w:t>}</w:t>
      </w:r>
    </w:p>
    <w:p w14:paraId="30146A1F" w14:textId="77777777" w:rsidR="00D56BEF" w:rsidRDefault="00D56BEF" w:rsidP="00D56BEF">
      <w:pPr>
        <w:pStyle w:val="PL"/>
        <w:rPr>
          <w:lang w:val="en-GB"/>
        </w:rPr>
      </w:pPr>
    </w:p>
    <w:p w14:paraId="1A37E17C" w14:textId="21AE5B31" w:rsidR="00D56BEF" w:rsidRDefault="00D56BEF" w:rsidP="00D56BEF">
      <w:pPr>
        <w:pStyle w:val="PL"/>
        <w:rPr>
          <w:color w:val="808080"/>
          <w:lang w:val="en-GB"/>
        </w:rPr>
      </w:pPr>
      <w:r>
        <w:rPr>
          <w:color w:val="808080"/>
          <w:lang w:val="en-GB"/>
        </w:rPr>
        <w:t xml:space="preserve"> -- TAG-FREQUENCY-INFO-UL-STOP</w:t>
      </w:r>
    </w:p>
    <w:p w14:paraId="6CD20AB1" w14:textId="77777777" w:rsidR="00D56BEF" w:rsidRDefault="00D56BEF" w:rsidP="00D56BEF">
      <w:pPr>
        <w:pStyle w:val="PL"/>
        <w:rPr>
          <w:color w:val="808080"/>
          <w:lang w:val="en-GB"/>
        </w:rPr>
      </w:pPr>
      <w:r>
        <w:rPr>
          <w:color w:val="808080"/>
          <w:lang w:val="en-GB"/>
        </w:rPr>
        <w:t>-- ASN1STOP</w:t>
      </w:r>
    </w:p>
    <w:p w14:paraId="196F4E53" w14:textId="6AEF8F2B" w:rsidR="00BA5E71" w:rsidRDefault="00BA5E71" w:rsidP="004D2F84">
      <w:pPr>
        <w:pStyle w:val="PL"/>
        <w:rPr>
          <w:rFonts w:cs="Courier New"/>
        </w:rPr>
      </w:pPr>
    </w:p>
    <w:p w14:paraId="131D87AC" w14:textId="77777777" w:rsidR="008976AC" w:rsidRDefault="008976AC" w:rsidP="004D2F84">
      <w:pPr>
        <w:pStyle w:val="PL"/>
        <w:rPr>
          <w:rFonts w:cs="Courier New"/>
        </w:rPr>
      </w:pPr>
    </w:p>
    <w:p w14:paraId="5EEE46C0" w14:textId="57DA4D2E" w:rsidR="008976AC" w:rsidRPr="005A0B0A" w:rsidRDefault="008976AC" w:rsidP="004D2F84">
      <w:pPr>
        <w:pStyle w:val="PL"/>
        <w:rPr>
          <w:rFonts w:ascii="Times New Roman" w:hAnsi="Times New Roman"/>
          <w:sz w:val="20"/>
        </w:rPr>
      </w:pPr>
      <w:r w:rsidRPr="005A0B0A">
        <w:rPr>
          <w:rFonts w:ascii="Times New Roman" w:hAnsi="Times New Roman"/>
          <w:sz w:val="20"/>
        </w:rPr>
        <w:t xml:space="preserve">We think that the </w:t>
      </w:r>
      <w:r w:rsidR="00C50634">
        <w:rPr>
          <w:rFonts w:ascii="Times New Roman" w:hAnsi="Times New Roman"/>
          <w:sz w:val="20"/>
        </w:rPr>
        <w:t>RAN2</w:t>
      </w:r>
      <w:r w:rsidRPr="005A0B0A">
        <w:rPr>
          <w:rFonts w:ascii="Times New Roman" w:hAnsi="Times New Roman"/>
          <w:sz w:val="20"/>
        </w:rPr>
        <w:t xml:space="preserve"> option is </w:t>
      </w:r>
      <w:r w:rsidR="00C50634">
        <w:rPr>
          <w:rFonts w:ascii="Times New Roman" w:hAnsi="Times New Roman"/>
          <w:sz w:val="20"/>
        </w:rPr>
        <w:t>much more simple</w:t>
      </w:r>
      <w:r w:rsidR="00226537">
        <w:rPr>
          <w:rFonts w:ascii="Times New Roman" w:hAnsi="Times New Roman"/>
          <w:sz w:val="20"/>
        </w:rPr>
        <w:t>, and therefore</w:t>
      </w:r>
    </w:p>
    <w:p w14:paraId="44159E85" w14:textId="174220BA" w:rsidR="004D2F84" w:rsidRPr="005A0B0A" w:rsidRDefault="004D2F84" w:rsidP="004D2F84">
      <w:pPr>
        <w:pStyle w:val="PL"/>
        <w:rPr>
          <w:rFonts w:cs="Courier New"/>
          <w:sz w:val="20"/>
        </w:rPr>
      </w:pPr>
      <w:r w:rsidRPr="005A0B0A">
        <w:rPr>
          <w:rFonts w:cs="Courier New"/>
          <w:sz w:val="20"/>
        </w:rPr>
        <w:tab/>
      </w:r>
    </w:p>
    <w:p w14:paraId="28C3D3C9" w14:textId="477C10E7" w:rsidR="0021747F" w:rsidRPr="005A0B0A" w:rsidRDefault="00D77853" w:rsidP="0021747F">
      <w:pPr>
        <w:jc w:val="both"/>
        <w:rPr>
          <w:rFonts w:ascii="Times New Roman" w:hAnsi="Times New Roman" w:cs="Times New Roman"/>
          <w:b/>
          <w:bCs/>
          <w:sz w:val="20"/>
          <w:szCs w:val="20"/>
        </w:rPr>
      </w:pPr>
      <w:r w:rsidRPr="005A0B0A">
        <w:rPr>
          <w:rFonts w:ascii="Times New Roman" w:hAnsi="Times New Roman" w:cs="Times New Roman"/>
          <w:b/>
          <w:bCs/>
          <w:sz w:val="20"/>
          <w:szCs w:val="20"/>
        </w:rPr>
        <w:t xml:space="preserve">Proposal-3: </w:t>
      </w:r>
      <w:r w:rsidR="00D56BEF" w:rsidRPr="005A0B0A">
        <w:rPr>
          <w:rFonts w:ascii="Times New Roman" w:hAnsi="Times New Roman" w:cs="Times New Roman"/>
          <w:b/>
          <w:bCs/>
          <w:sz w:val="20"/>
          <w:szCs w:val="20"/>
        </w:rPr>
        <w:t xml:space="preserve">Adopt the RAN2 </w:t>
      </w:r>
      <w:r w:rsidR="005A0B0A">
        <w:rPr>
          <w:rFonts w:ascii="Times New Roman" w:hAnsi="Times New Roman" w:cs="Times New Roman"/>
          <w:b/>
          <w:bCs/>
          <w:sz w:val="20"/>
          <w:szCs w:val="20"/>
        </w:rPr>
        <w:t>configuration of point A</w:t>
      </w:r>
      <w:r w:rsidR="00D56BEF" w:rsidRPr="005A0B0A">
        <w:rPr>
          <w:rFonts w:ascii="Times New Roman" w:hAnsi="Times New Roman" w:cs="Times New Roman"/>
          <w:b/>
          <w:bCs/>
          <w:sz w:val="20"/>
          <w:szCs w:val="20"/>
        </w:rPr>
        <w:t xml:space="preserve"> in RAN1.</w:t>
      </w:r>
      <w:r w:rsidR="0021747F" w:rsidRPr="005A0B0A">
        <w:rPr>
          <w:rFonts w:ascii="Times New Roman" w:hAnsi="Times New Roman" w:cs="Times New Roman"/>
          <w:b/>
          <w:bCs/>
          <w:sz w:val="20"/>
          <w:szCs w:val="20"/>
        </w:rPr>
        <w:t xml:space="preserve"> </w:t>
      </w:r>
    </w:p>
    <w:p w14:paraId="0169E9EC" w14:textId="42E05218" w:rsidR="00BB5BDC" w:rsidRPr="005A0B0A" w:rsidRDefault="00BB5BDC" w:rsidP="0021747F">
      <w:pPr>
        <w:jc w:val="both"/>
        <w:rPr>
          <w:rFonts w:ascii="Times New Roman" w:hAnsi="Times New Roman" w:cs="Times New Roman"/>
          <w:bCs/>
          <w:sz w:val="20"/>
          <w:szCs w:val="20"/>
        </w:rPr>
      </w:pPr>
      <w:r w:rsidRPr="005A0B0A">
        <w:rPr>
          <w:rFonts w:ascii="Times New Roman" w:hAnsi="Times New Roman" w:cs="Times New Roman"/>
          <w:bCs/>
          <w:sz w:val="20"/>
          <w:szCs w:val="20"/>
        </w:rPr>
        <w:lastRenderedPageBreak/>
        <w:t xml:space="preserve">Text proposal </w:t>
      </w:r>
      <w:r w:rsidR="00226537">
        <w:rPr>
          <w:rFonts w:ascii="Times New Roman" w:hAnsi="Times New Roman" w:cs="Times New Roman"/>
          <w:bCs/>
          <w:sz w:val="20"/>
          <w:szCs w:val="20"/>
        </w:rPr>
        <w:t xml:space="preserve">in </w:t>
      </w:r>
      <w:r w:rsidRPr="005A0B0A">
        <w:rPr>
          <w:rFonts w:ascii="Times New Roman" w:hAnsi="Times New Roman" w:cs="Times New Roman"/>
          <w:bCs/>
          <w:sz w:val="20"/>
          <w:szCs w:val="20"/>
        </w:rPr>
        <w:t>TS</w:t>
      </w:r>
      <w:r w:rsidR="00226537">
        <w:rPr>
          <w:rFonts w:ascii="Times New Roman" w:hAnsi="Times New Roman" w:cs="Times New Roman"/>
          <w:bCs/>
          <w:sz w:val="20"/>
          <w:szCs w:val="20"/>
        </w:rPr>
        <w:t xml:space="preserve"> </w:t>
      </w:r>
      <w:r w:rsidRPr="005A0B0A">
        <w:rPr>
          <w:rFonts w:ascii="Times New Roman" w:hAnsi="Times New Roman" w:cs="Times New Roman"/>
          <w:bCs/>
          <w:sz w:val="20"/>
          <w:szCs w:val="20"/>
        </w:rPr>
        <w:t>38.211:</w:t>
      </w:r>
    </w:p>
    <w:tbl>
      <w:tblPr>
        <w:tblStyle w:val="TableGrid"/>
        <w:tblW w:w="0" w:type="auto"/>
        <w:tblLook w:val="04A0" w:firstRow="1" w:lastRow="0" w:firstColumn="1" w:lastColumn="0" w:noHBand="0" w:noVBand="1"/>
      </w:tblPr>
      <w:tblGrid>
        <w:gridCol w:w="9629"/>
      </w:tblGrid>
      <w:tr w:rsidR="001C6C1C" w14:paraId="40FB674D" w14:textId="77777777" w:rsidTr="001C6C1C">
        <w:tc>
          <w:tcPr>
            <w:tcW w:w="9629" w:type="dxa"/>
          </w:tcPr>
          <w:p w14:paraId="09516873" w14:textId="5DDA8117" w:rsidR="001C6C1C" w:rsidRPr="00BB5BDC" w:rsidRDefault="001C6C1C" w:rsidP="001C6C1C">
            <w:pPr>
              <w:pStyle w:val="Heading4"/>
              <w:numPr>
                <w:ilvl w:val="0"/>
                <w:numId w:val="0"/>
              </w:numPr>
              <w:ind w:left="864" w:hanging="864"/>
              <w:rPr>
                <w:rFonts w:ascii="Times New Roman" w:hAnsi="Times New Roman"/>
                <w:sz w:val="20"/>
              </w:rPr>
            </w:pPr>
            <w:bookmarkStart w:id="12" w:name="_Toc500952621"/>
            <w:r w:rsidRPr="00BB5BDC">
              <w:rPr>
                <w:rFonts w:ascii="Times New Roman" w:hAnsi="Times New Roman"/>
                <w:sz w:val="20"/>
              </w:rPr>
              <w:t>4.4.4.2</w:t>
            </w:r>
            <w:r w:rsidRPr="00BB5BDC">
              <w:rPr>
                <w:rFonts w:ascii="Times New Roman" w:hAnsi="Times New Roman"/>
                <w:sz w:val="20"/>
              </w:rPr>
              <w:tab/>
            </w:r>
            <w:bookmarkEnd w:id="12"/>
            <w:r w:rsidRPr="00BB5BDC">
              <w:rPr>
                <w:rFonts w:ascii="Times New Roman" w:hAnsi="Times New Roman"/>
                <w:sz w:val="20"/>
              </w:rPr>
              <w:t>Point A</w:t>
            </w:r>
          </w:p>
          <w:p w14:paraId="1320A81F" w14:textId="61CFB741" w:rsidR="001C6C1C" w:rsidRPr="00BB5BDC" w:rsidRDefault="001C6C1C" w:rsidP="001C6C1C">
            <w:pPr>
              <w:rPr>
                <w:rFonts w:ascii="Times New Roman" w:hAnsi="Times New Roman" w:cs="Times New Roman"/>
                <w:strike/>
                <w:color w:val="FF0000"/>
                <w:sz w:val="20"/>
                <w:szCs w:val="20"/>
              </w:rPr>
            </w:pPr>
            <w:r w:rsidRPr="00BB5BDC">
              <w:rPr>
                <w:rFonts w:ascii="Times New Roman" w:hAnsi="Times New Roman" w:cs="Times New Roman"/>
                <w:sz w:val="20"/>
                <w:szCs w:val="20"/>
              </w:rPr>
              <w:t>Point A serves as a common reference point for resource block grids and is obtained from the following higher-layer</w:t>
            </w:r>
            <w:r w:rsidR="00607DD5" w:rsidRPr="00BB5BDC">
              <w:rPr>
                <w:rFonts w:ascii="Times New Roman" w:hAnsi="Times New Roman" w:cs="Times New Roman"/>
                <w:sz w:val="20"/>
                <w:szCs w:val="20"/>
              </w:rPr>
              <w:t xml:space="preserve"> </w:t>
            </w:r>
            <w:r w:rsidR="00607DD5" w:rsidRPr="00A32796">
              <w:rPr>
                <w:rFonts w:ascii="Times New Roman" w:hAnsi="Times New Roman" w:cs="Times New Roman"/>
                <w:color w:val="FF0000"/>
                <w:sz w:val="20"/>
                <w:szCs w:val="20"/>
                <w:u w:val="single"/>
              </w:rPr>
              <w:t>parameter absoluteFrequencyPointA containing NR-ARFCN</w:t>
            </w:r>
            <w:r w:rsidR="00607DD5" w:rsidRPr="00BB5BDC">
              <w:rPr>
                <w:rFonts w:ascii="Times New Roman" w:hAnsi="Times New Roman" w:cs="Times New Roman"/>
                <w:sz w:val="20"/>
                <w:szCs w:val="20"/>
              </w:rPr>
              <w:t xml:space="preserve"> </w:t>
            </w:r>
            <w:r w:rsidRPr="00BB5BDC">
              <w:rPr>
                <w:rFonts w:ascii="Times New Roman" w:hAnsi="Times New Roman" w:cs="Times New Roman"/>
                <w:strike/>
                <w:color w:val="FF0000"/>
                <w:sz w:val="20"/>
                <w:szCs w:val="20"/>
              </w:rPr>
              <w:t>parameters</w:t>
            </w:r>
          </w:p>
          <w:p w14:paraId="66DE6468" w14:textId="77777777" w:rsidR="001C6C1C" w:rsidRPr="00BB5BDC" w:rsidRDefault="001C6C1C" w:rsidP="001C6C1C">
            <w:pPr>
              <w:pStyle w:val="B1"/>
              <w:rPr>
                <w:rFonts w:ascii="Times New Roman" w:hAnsi="Times New Roman" w:cs="Times New Roman"/>
                <w:strike/>
                <w:color w:val="FF0000"/>
                <w:sz w:val="20"/>
                <w:szCs w:val="20"/>
              </w:rPr>
            </w:pPr>
            <w:r w:rsidRPr="00BB5BDC">
              <w:rPr>
                <w:rFonts w:ascii="Times New Roman" w:hAnsi="Times New Roman" w:cs="Times New Roman"/>
                <w:strike/>
                <w:color w:val="FF0000"/>
                <w:sz w:val="20"/>
                <w:szCs w:val="20"/>
              </w:rPr>
              <w:t>-</w:t>
            </w:r>
            <w:r w:rsidRPr="00BB5BDC">
              <w:rPr>
                <w:rFonts w:ascii="Times New Roman" w:hAnsi="Times New Roman" w:cs="Times New Roman"/>
                <w:strike/>
                <w:color w:val="FF0000"/>
                <w:sz w:val="20"/>
                <w:szCs w:val="20"/>
              </w:rPr>
              <w:tab/>
            </w:r>
            <w:r w:rsidRPr="00BB5BDC">
              <w:rPr>
                <w:rFonts w:ascii="Times New Roman" w:hAnsi="Times New Roman" w:cs="Times New Roman"/>
                <w:i/>
                <w:strike/>
                <w:color w:val="FF0000"/>
                <w:sz w:val="20"/>
                <w:szCs w:val="20"/>
              </w:rPr>
              <w:t>PRB-index-DL-common</w:t>
            </w:r>
            <w:r w:rsidRPr="00BB5BDC">
              <w:rPr>
                <w:rFonts w:ascii="Times New Roman" w:hAnsi="Times New Roman" w:cs="Times New Roman"/>
                <w:strike/>
                <w:color w:val="FF0000"/>
                <w:sz w:val="20"/>
                <w:szCs w:val="20"/>
              </w:rPr>
              <w:t xml:space="preserve"> for a PCell downlink represents the frequency offset between point A and the lowest subcarrier of the lowest resource block of the SS/PBCH block used by the UE for initial cell selection;</w:t>
            </w:r>
          </w:p>
          <w:p w14:paraId="7CBEDDFE" w14:textId="77777777" w:rsidR="001C6C1C" w:rsidRPr="00BB5BDC" w:rsidRDefault="001C6C1C" w:rsidP="001C6C1C">
            <w:pPr>
              <w:pStyle w:val="B1"/>
              <w:rPr>
                <w:rFonts w:ascii="Times New Roman" w:hAnsi="Times New Roman" w:cs="Times New Roman"/>
                <w:strike/>
                <w:color w:val="FF0000"/>
                <w:sz w:val="20"/>
                <w:szCs w:val="20"/>
              </w:rPr>
            </w:pPr>
            <w:r w:rsidRPr="00BB5BDC">
              <w:rPr>
                <w:rFonts w:ascii="Times New Roman" w:hAnsi="Times New Roman" w:cs="Times New Roman"/>
                <w:strike/>
                <w:color w:val="FF0000"/>
                <w:sz w:val="20"/>
                <w:szCs w:val="20"/>
              </w:rPr>
              <w:t>-</w:t>
            </w:r>
            <w:r w:rsidRPr="00BB5BDC">
              <w:rPr>
                <w:rFonts w:ascii="Times New Roman" w:hAnsi="Times New Roman" w:cs="Times New Roman"/>
                <w:strike/>
                <w:color w:val="FF0000"/>
                <w:sz w:val="20"/>
                <w:szCs w:val="20"/>
              </w:rPr>
              <w:tab/>
            </w:r>
            <w:r w:rsidRPr="00BB5BDC">
              <w:rPr>
                <w:rFonts w:ascii="Times New Roman" w:hAnsi="Times New Roman" w:cs="Times New Roman"/>
                <w:i/>
                <w:strike/>
                <w:color w:val="FF0000"/>
                <w:sz w:val="20"/>
                <w:szCs w:val="20"/>
              </w:rPr>
              <w:t>PRB-index-UL-common</w:t>
            </w:r>
            <w:r w:rsidRPr="00BB5BDC">
              <w:rPr>
                <w:rFonts w:ascii="Times New Roman" w:hAnsi="Times New Roman" w:cs="Times New Roman"/>
                <w:strike/>
                <w:color w:val="FF0000"/>
                <w:sz w:val="20"/>
                <w:szCs w:val="20"/>
              </w:rPr>
              <w:t xml:space="preserve"> for a PCell uplink in paired spectrum represents the frequency offset between point A and the frequency location based on ARFCN of the uplink indicated in SIB1;</w:t>
            </w:r>
          </w:p>
          <w:p w14:paraId="41574EE9" w14:textId="77777777" w:rsidR="001C6C1C" w:rsidRPr="00BB5BDC" w:rsidRDefault="001C6C1C" w:rsidP="001C6C1C">
            <w:pPr>
              <w:pStyle w:val="B1"/>
              <w:rPr>
                <w:rFonts w:ascii="Times New Roman" w:hAnsi="Times New Roman" w:cs="Times New Roman"/>
                <w:strike/>
                <w:color w:val="FF0000"/>
                <w:sz w:val="20"/>
                <w:szCs w:val="20"/>
              </w:rPr>
            </w:pPr>
            <w:r w:rsidRPr="00BB5BDC">
              <w:rPr>
                <w:rFonts w:ascii="Times New Roman" w:hAnsi="Times New Roman" w:cs="Times New Roman"/>
                <w:strike/>
                <w:color w:val="FF0000"/>
                <w:sz w:val="20"/>
                <w:szCs w:val="20"/>
              </w:rPr>
              <w:t>-</w:t>
            </w:r>
            <w:r w:rsidRPr="00BB5BDC">
              <w:rPr>
                <w:rFonts w:ascii="Times New Roman" w:hAnsi="Times New Roman" w:cs="Times New Roman"/>
                <w:strike/>
                <w:color w:val="FF0000"/>
                <w:sz w:val="20"/>
                <w:szCs w:val="20"/>
              </w:rPr>
              <w:tab/>
            </w:r>
            <w:r w:rsidRPr="00BB5BDC">
              <w:rPr>
                <w:rFonts w:ascii="Times New Roman" w:hAnsi="Times New Roman" w:cs="Times New Roman"/>
                <w:i/>
                <w:strike/>
                <w:color w:val="FF0000"/>
                <w:sz w:val="20"/>
                <w:szCs w:val="20"/>
              </w:rPr>
              <w:t>PRB-index-UL-common</w:t>
            </w:r>
            <w:r w:rsidRPr="00BB5BDC">
              <w:rPr>
                <w:rFonts w:ascii="Times New Roman" w:hAnsi="Times New Roman" w:cs="Times New Roman"/>
                <w:strike/>
                <w:color w:val="FF0000"/>
                <w:sz w:val="20"/>
                <w:szCs w:val="20"/>
              </w:rPr>
              <w:t xml:space="preserve"> for a PCell uplink in unpaired spectrum represents the frequency offset between point A and the lowest subcarrier of the lowest resrouce block of the SS/PBCH block used by the UE for initial cell selection;</w:t>
            </w:r>
          </w:p>
          <w:p w14:paraId="4D7B2160" w14:textId="77777777" w:rsidR="001C6C1C" w:rsidRPr="00BB5BDC" w:rsidRDefault="001C6C1C" w:rsidP="001C6C1C">
            <w:pPr>
              <w:pStyle w:val="B1"/>
              <w:rPr>
                <w:rFonts w:ascii="Times New Roman" w:hAnsi="Times New Roman" w:cs="Times New Roman"/>
                <w:strike/>
                <w:color w:val="FF0000"/>
                <w:sz w:val="20"/>
                <w:szCs w:val="20"/>
              </w:rPr>
            </w:pPr>
            <w:r w:rsidRPr="00BB5BDC">
              <w:rPr>
                <w:rFonts w:ascii="Times New Roman" w:hAnsi="Times New Roman" w:cs="Times New Roman"/>
                <w:strike/>
                <w:color w:val="FF0000"/>
                <w:sz w:val="20"/>
                <w:szCs w:val="20"/>
              </w:rPr>
              <w:t>-</w:t>
            </w:r>
            <w:r w:rsidRPr="00BB5BDC">
              <w:rPr>
                <w:rFonts w:ascii="Times New Roman" w:hAnsi="Times New Roman" w:cs="Times New Roman"/>
                <w:strike/>
                <w:color w:val="FF0000"/>
                <w:sz w:val="20"/>
                <w:szCs w:val="20"/>
              </w:rPr>
              <w:tab/>
            </w:r>
            <w:r w:rsidRPr="00BB5BDC">
              <w:rPr>
                <w:rFonts w:ascii="Times New Roman" w:hAnsi="Times New Roman" w:cs="Times New Roman"/>
                <w:i/>
                <w:strike/>
                <w:color w:val="FF0000"/>
                <w:sz w:val="20"/>
                <w:szCs w:val="20"/>
              </w:rPr>
              <w:t>PRB-index-DL-Dedicated</w:t>
            </w:r>
            <w:r w:rsidRPr="00BB5BDC">
              <w:rPr>
                <w:rFonts w:ascii="Times New Roman" w:hAnsi="Times New Roman" w:cs="Times New Roman"/>
                <w:strike/>
                <w:color w:val="FF0000"/>
                <w:sz w:val="20"/>
                <w:szCs w:val="20"/>
              </w:rPr>
              <w:t xml:space="preserve"> for an SCell downlink represents the frequency offset between point A and the frequency location based on ARFCN in the higher-layer SCell configuration;</w:t>
            </w:r>
          </w:p>
          <w:p w14:paraId="07BC4CD3" w14:textId="77777777" w:rsidR="001C6C1C" w:rsidRPr="00BB5BDC" w:rsidRDefault="001C6C1C" w:rsidP="001C6C1C">
            <w:pPr>
              <w:pStyle w:val="B1"/>
              <w:rPr>
                <w:rFonts w:ascii="Times New Roman" w:hAnsi="Times New Roman" w:cs="Times New Roman"/>
                <w:strike/>
                <w:color w:val="FF0000"/>
                <w:sz w:val="20"/>
                <w:szCs w:val="20"/>
              </w:rPr>
            </w:pPr>
            <w:r w:rsidRPr="00BB5BDC">
              <w:rPr>
                <w:rFonts w:ascii="Times New Roman" w:hAnsi="Times New Roman" w:cs="Times New Roman"/>
                <w:strike/>
                <w:color w:val="FF0000"/>
                <w:sz w:val="20"/>
                <w:szCs w:val="20"/>
              </w:rPr>
              <w:t>-</w:t>
            </w:r>
            <w:r w:rsidRPr="00BB5BDC">
              <w:rPr>
                <w:rFonts w:ascii="Times New Roman" w:hAnsi="Times New Roman" w:cs="Times New Roman"/>
                <w:strike/>
                <w:color w:val="FF0000"/>
                <w:sz w:val="20"/>
                <w:szCs w:val="20"/>
              </w:rPr>
              <w:tab/>
            </w:r>
            <w:r w:rsidRPr="00BB5BDC">
              <w:rPr>
                <w:rFonts w:ascii="Times New Roman" w:hAnsi="Times New Roman" w:cs="Times New Roman"/>
                <w:i/>
                <w:strike/>
                <w:color w:val="FF0000"/>
                <w:sz w:val="20"/>
                <w:szCs w:val="20"/>
              </w:rPr>
              <w:t>PRB-index-UL-Dedicated</w:t>
            </w:r>
            <w:r w:rsidRPr="00BB5BDC">
              <w:rPr>
                <w:rFonts w:ascii="Times New Roman" w:hAnsi="Times New Roman" w:cs="Times New Roman"/>
                <w:strike/>
                <w:color w:val="FF0000"/>
                <w:sz w:val="20"/>
                <w:szCs w:val="20"/>
              </w:rPr>
              <w:t xml:space="preserve"> for an SCell uplink represents the frequency offset between point A and the frequency location based on ARFCN in the higher-layer SCell configuration;</w:t>
            </w:r>
          </w:p>
          <w:p w14:paraId="5DDBF22C" w14:textId="77777777" w:rsidR="001C6C1C" w:rsidRPr="00BB5BDC" w:rsidRDefault="001C6C1C" w:rsidP="001C6C1C">
            <w:pPr>
              <w:pStyle w:val="B1"/>
              <w:rPr>
                <w:rFonts w:ascii="Times New Roman" w:hAnsi="Times New Roman" w:cs="Times New Roman"/>
                <w:strike/>
                <w:color w:val="FF0000"/>
                <w:sz w:val="20"/>
                <w:szCs w:val="20"/>
              </w:rPr>
            </w:pPr>
            <w:r w:rsidRPr="00BB5BDC">
              <w:rPr>
                <w:rFonts w:ascii="Times New Roman" w:hAnsi="Times New Roman" w:cs="Times New Roman"/>
                <w:strike/>
                <w:color w:val="FF0000"/>
                <w:sz w:val="20"/>
                <w:szCs w:val="20"/>
              </w:rPr>
              <w:t>-</w:t>
            </w:r>
            <w:r w:rsidRPr="00BB5BDC">
              <w:rPr>
                <w:rFonts w:ascii="Times New Roman" w:hAnsi="Times New Roman" w:cs="Times New Roman"/>
                <w:strike/>
                <w:color w:val="FF0000"/>
                <w:sz w:val="20"/>
                <w:szCs w:val="20"/>
              </w:rPr>
              <w:tab/>
            </w:r>
            <w:r w:rsidRPr="00BB5BDC">
              <w:rPr>
                <w:rFonts w:ascii="Times New Roman" w:hAnsi="Times New Roman" w:cs="Times New Roman"/>
                <w:i/>
                <w:strike/>
                <w:color w:val="FF0000"/>
                <w:sz w:val="20"/>
                <w:szCs w:val="20"/>
              </w:rPr>
              <w:t>PRB-index-SUL-common</w:t>
            </w:r>
            <w:r w:rsidRPr="00BB5BDC">
              <w:rPr>
                <w:rFonts w:ascii="Times New Roman" w:hAnsi="Times New Roman" w:cs="Times New Roman"/>
                <w:strike/>
                <w:color w:val="FF0000"/>
                <w:sz w:val="20"/>
                <w:szCs w:val="20"/>
              </w:rPr>
              <w:t xml:space="preserve"> for a supplementary uplink represents the frequency offset between point A and the frequency location based on ARFCN in the higher-layer SUL configuration.</w:t>
            </w:r>
          </w:p>
          <w:p w14:paraId="461F7C96" w14:textId="3AA73DB8" w:rsidR="001C6C1C" w:rsidRDefault="001C6C1C" w:rsidP="00BB5BDC">
            <w:pPr>
              <w:rPr>
                <w:rFonts w:ascii="Times New Roman" w:hAnsi="Times New Roman" w:cs="Times New Roman"/>
                <w:b/>
                <w:bCs/>
              </w:rPr>
            </w:pPr>
            <w:r w:rsidRPr="00BB5BDC">
              <w:rPr>
                <w:rFonts w:ascii="Times New Roman" w:hAnsi="Times New Roman" w:cs="Times New Roman"/>
                <w:strike/>
                <w:color w:val="FF0000"/>
                <w:sz w:val="20"/>
                <w:szCs w:val="20"/>
              </w:rPr>
              <w:t>All the above parameters are expressed in units of resource blocks assuming 15 kHz subcarrier spacing for FR1 and 60 kHz subcarrier spacing for FR2.</w:t>
            </w:r>
          </w:p>
        </w:tc>
      </w:tr>
    </w:tbl>
    <w:p w14:paraId="6D84C57A" w14:textId="77777777" w:rsidR="0021747F" w:rsidRDefault="0021747F" w:rsidP="2D0A3676">
      <w:pPr>
        <w:jc w:val="both"/>
        <w:rPr>
          <w:rFonts w:ascii="Times New Roman" w:hAnsi="Times New Roman" w:cs="Times New Roman"/>
          <w:b/>
          <w:bCs/>
        </w:rPr>
      </w:pPr>
    </w:p>
    <w:p w14:paraId="656B6228" w14:textId="7DA14415" w:rsidR="004D18A5" w:rsidRPr="00A04873" w:rsidRDefault="004D18A5" w:rsidP="004D18A5">
      <w:pPr>
        <w:pStyle w:val="Heading2"/>
      </w:pPr>
      <w:r>
        <w:t>On configuration of a BWP</w:t>
      </w:r>
      <w:r w:rsidR="005A0B0A">
        <w:t>s</w:t>
      </w:r>
    </w:p>
    <w:p w14:paraId="53EC8E5F" w14:textId="4C47C4BD" w:rsidR="004D18A5" w:rsidRDefault="004D18A5" w:rsidP="004D18A5">
      <w:pPr>
        <w:pStyle w:val="PL"/>
        <w:rPr>
          <w:color w:val="808080"/>
        </w:rPr>
      </w:pPr>
      <w:bookmarkStart w:id="13" w:name="_Hlk493885487"/>
    </w:p>
    <w:p w14:paraId="78537746" w14:textId="1C670701" w:rsidR="004D18A5" w:rsidRPr="004D18A5" w:rsidRDefault="004D18A5" w:rsidP="004D18A5">
      <w:pPr>
        <w:pStyle w:val="PL"/>
        <w:rPr>
          <w:rFonts w:ascii="Times New Roman" w:hAnsi="Times New Roman"/>
          <w:sz w:val="22"/>
          <w:szCs w:val="22"/>
        </w:rPr>
      </w:pPr>
      <w:r>
        <w:rPr>
          <w:rFonts w:ascii="Times New Roman" w:hAnsi="Times New Roman"/>
          <w:sz w:val="22"/>
          <w:szCs w:val="22"/>
        </w:rPr>
        <w:t>RAN2 configures a BWP using the following</w:t>
      </w:r>
      <w:r w:rsidR="005A0B0A">
        <w:rPr>
          <w:rFonts w:ascii="Times New Roman" w:hAnsi="Times New Roman"/>
          <w:sz w:val="22"/>
          <w:szCs w:val="22"/>
        </w:rPr>
        <w:t xml:space="preserve"> pseudo code from ASN.1</w:t>
      </w:r>
    </w:p>
    <w:p w14:paraId="74A72BC9" w14:textId="77777777" w:rsidR="004D18A5" w:rsidRDefault="004D18A5" w:rsidP="004D18A5">
      <w:pPr>
        <w:pStyle w:val="PL"/>
        <w:rPr>
          <w:color w:val="808080"/>
        </w:rPr>
      </w:pPr>
    </w:p>
    <w:p w14:paraId="1A1CDE72" w14:textId="351EAB87" w:rsidR="004D18A5" w:rsidRPr="00EF37E7" w:rsidRDefault="004D18A5" w:rsidP="004D18A5">
      <w:pPr>
        <w:pStyle w:val="PL"/>
        <w:rPr>
          <w:color w:val="808080"/>
        </w:rPr>
      </w:pPr>
      <w:r w:rsidRPr="00EF37E7">
        <w:rPr>
          <w:color w:val="808080"/>
        </w:rPr>
        <w:t>-- Generic parameters used in Uplink- and Downlink bandwidth parts</w:t>
      </w:r>
    </w:p>
    <w:bookmarkEnd w:id="13"/>
    <w:p w14:paraId="608E6D77" w14:textId="77777777" w:rsidR="004D18A5" w:rsidRPr="00A21C0F" w:rsidRDefault="004D18A5" w:rsidP="004D18A5">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530A54F5" w14:textId="77777777" w:rsidR="004D18A5" w:rsidRPr="00EF37E7" w:rsidRDefault="004D18A5" w:rsidP="004D18A5">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4E6A15F7" w14:textId="77777777" w:rsidR="004D18A5" w:rsidRPr="00EF37E7" w:rsidRDefault="004D18A5" w:rsidP="004D18A5">
      <w:pPr>
        <w:pStyle w:val="PL"/>
        <w:rPr>
          <w:color w:val="808080"/>
        </w:rPr>
      </w:pPr>
      <w:r w:rsidRPr="00A21C0F">
        <w:tab/>
      </w:r>
      <w:r w:rsidRPr="00EF37E7">
        <w:rPr>
          <w:color w:val="808080"/>
        </w:rPr>
        <w:t xml:space="preserve">-- distance (in number of PRBs) to point A (absoluteFrequencyPointA in FrequencyInfoDL). </w:t>
      </w:r>
    </w:p>
    <w:p w14:paraId="56D99233" w14:textId="77777777" w:rsidR="004D18A5" w:rsidRPr="00EF37E7" w:rsidRDefault="004D18A5" w:rsidP="004D18A5">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73CA96D3" w14:textId="77777777" w:rsidR="004D18A5" w:rsidRPr="00EF37E7" w:rsidRDefault="004D18A5" w:rsidP="004D18A5">
      <w:pPr>
        <w:pStyle w:val="PL"/>
        <w:rPr>
          <w:color w:val="808080"/>
        </w:rPr>
      </w:pPr>
      <w:r w:rsidRPr="00A21C0F">
        <w:tab/>
      </w:r>
      <w:r w:rsidRPr="00EF37E7">
        <w:rPr>
          <w:color w:val="808080"/>
        </w:rPr>
        <w:t>-- In case of TDD, a BWP-pair (UL BWP and DL BWP with the same bwp-Id) must have the same location (see 38.211, section REF)</w:t>
      </w:r>
    </w:p>
    <w:p w14:paraId="3E0916DC" w14:textId="77777777" w:rsidR="004D18A5" w:rsidRPr="00A21C0F" w:rsidRDefault="004D18A5" w:rsidP="004D18A5">
      <w:pPr>
        <w:pStyle w:val="PL"/>
      </w:pPr>
      <w:r w:rsidRPr="00A21C0F">
        <w:tab/>
      </w:r>
      <w:r w:rsidRPr="004D18A5">
        <w:rPr>
          <w:highlight w:val="yellow"/>
        </w:rPr>
        <w:t>locationAndBandwidth</w:t>
      </w:r>
      <w:r w:rsidRPr="004D18A5">
        <w:rPr>
          <w:highlight w:val="yellow"/>
        </w:rPr>
        <w:tab/>
      </w:r>
      <w:r w:rsidRPr="004D18A5">
        <w:rPr>
          <w:highlight w:val="yellow"/>
        </w:rPr>
        <w:tab/>
      </w:r>
      <w:r w:rsidRPr="004D18A5">
        <w:rPr>
          <w:highlight w:val="yellow"/>
        </w:rPr>
        <w:tab/>
      </w:r>
      <w:bookmarkStart w:id="14" w:name="_Hlk508205468"/>
      <w:r w:rsidRPr="004D18A5">
        <w:rPr>
          <w:color w:val="993366"/>
          <w:highlight w:val="yellow"/>
        </w:rPr>
        <w:t>INTEGER</w:t>
      </w:r>
      <w:r w:rsidRPr="004D18A5">
        <w:rPr>
          <w:highlight w:val="yellow"/>
        </w:rPr>
        <w:t xml:space="preserve"> (0..37949)</w:t>
      </w:r>
      <w:bookmarkEnd w:id="14"/>
      <w:r w:rsidRPr="004D18A5">
        <w:rPr>
          <w:highlight w:val="yellow"/>
        </w:rPr>
        <w:t>,</w:t>
      </w:r>
    </w:p>
    <w:p w14:paraId="7DBED9A6" w14:textId="77777777" w:rsidR="004D18A5" w:rsidRPr="00EF37E7" w:rsidRDefault="004D18A5" w:rsidP="004D18A5">
      <w:pPr>
        <w:pStyle w:val="PL"/>
        <w:rPr>
          <w:color w:val="808080"/>
        </w:rPr>
      </w:pPr>
      <w:r w:rsidRPr="00A21C0F">
        <w:tab/>
      </w:r>
      <w:r w:rsidRPr="00EF37E7">
        <w:rPr>
          <w:color w:val="808080"/>
        </w:rPr>
        <w:t xml:space="preserve">-- Subcarrier spacing to be used in this BWP for all channels and </w:t>
      </w:r>
    </w:p>
    <w:p w14:paraId="1DB0AC71" w14:textId="77777777" w:rsidR="004D18A5" w:rsidRPr="00EF37E7" w:rsidRDefault="004D18A5" w:rsidP="004D18A5">
      <w:pPr>
        <w:pStyle w:val="PL"/>
        <w:rPr>
          <w:color w:val="808080"/>
        </w:rPr>
      </w:pPr>
      <w:r w:rsidRPr="00A21C0F">
        <w:tab/>
      </w:r>
      <w:r w:rsidRPr="00EF37E7">
        <w:rPr>
          <w:color w:val="808080"/>
        </w:rPr>
        <w:t>-- reference signals unless explicitly configured elsewhere.</w:t>
      </w:r>
    </w:p>
    <w:p w14:paraId="1DD43DB3" w14:textId="77777777" w:rsidR="004D18A5" w:rsidRPr="00EF37E7" w:rsidRDefault="004D18A5" w:rsidP="004D18A5">
      <w:pPr>
        <w:pStyle w:val="PL"/>
        <w:rPr>
          <w:color w:val="808080"/>
        </w:rPr>
      </w:pPr>
      <w:r w:rsidRPr="00A21C0F">
        <w:tab/>
      </w:r>
      <w:r w:rsidRPr="00EF37E7">
        <w:rPr>
          <w:color w:val="808080"/>
        </w:rPr>
        <w:t xml:space="preserve">-- Corresponds to subcarrier spacing according to 38.211, Table 4.2-1. </w:t>
      </w:r>
    </w:p>
    <w:p w14:paraId="724FBCEA" w14:textId="77777777" w:rsidR="004D18A5" w:rsidRPr="00EF37E7" w:rsidRDefault="004D18A5" w:rsidP="004D18A5">
      <w:pPr>
        <w:pStyle w:val="PL"/>
        <w:rPr>
          <w:color w:val="808080"/>
        </w:rPr>
      </w:pPr>
      <w:r w:rsidRPr="00A21C0F">
        <w:tab/>
      </w:r>
      <w:r w:rsidRPr="00EF37E7">
        <w:rPr>
          <w:color w:val="808080"/>
        </w:rPr>
        <w:t xml:space="preserve">-- The value kHz15 corresponds to µ=0, kHz30 to µ=1, and so on. Only the values 15 or 30 kHz  (&lt;6GHz), 60 or 120 kHz (&gt;6GHz) are </w:t>
      </w:r>
    </w:p>
    <w:p w14:paraId="780F4262" w14:textId="77777777" w:rsidR="004D18A5" w:rsidRPr="00EF37E7" w:rsidRDefault="004D18A5" w:rsidP="004D18A5">
      <w:pPr>
        <w:pStyle w:val="PL"/>
        <w:rPr>
          <w:color w:val="808080"/>
        </w:rPr>
      </w:pPr>
      <w:r w:rsidRPr="00A21C0F">
        <w:tab/>
      </w:r>
      <w:r w:rsidRPr="00EF37E7">
        <w:rPr>
          <w:color w:val="808080"/>
        </w:rPr>
        <w:t>-- applicable.</w:t>
      </w:r>
    </w:p>
    <w:p w14:paraId="7C72A0A9" w14:textId="77777777" w:rsidR="004D18A5" w:rsidRPr="00A21C0F" w:rsidRDefault="004D18A5" w:rsidP="004D18A5">
      <w:pPr>
        <w:pStyle w:val="PL"/>
      </w:pPr>
      <w:r w:rsidRPr="00A21C0F">
        <w:tab/>
        <w:t>subcarrierSpacing</w:t>
      </w:r>
      <w:r w:rsidRPr="00A21C0F">
        <w:tab/>
      </w:r>
      <w:r w:rsidRPr="00A21C0F">
        <w:tab/>
      </w:r>
      <w:r w:rsidRPr="00A21C0F">
        <w:tab/>
      </w:r>
      <w:r w:rsidRPr="00A21C0F">
        <w:tab/>
        <w:t>SubcarrierSpacing,</w:t>
      </w:r>
    </w:p>
    <w:p w14:paraId="548A655C" w14:textId="77777777" w:rsidR="004D18A5" w:rsidRPr="00EF37E7" w:rsidRDefault="004D18A5" w:rsidP="004D18A5">
      <w:pPr>
        <w:pStyle w:val="PL"/>
        <w:rPr>
          <w:color w:val="808080"/>
        </w:rPr>
      </w:pPr>
      <w:bookmarkStart w:id="15" w:name="_Hlk503891113"/>
      <w:r w:rsidRPr="00A21C0F">
        <w:tab/>
      </w:r>
      <w:r w:rsidRPr="00EF37E7">
        <w:rPr>
          <w:color w:val="808080"/>
        </w:rPr>
        <w:t xml:space="preserve">-- Indicates whether to use the extended cyclic prefix for this bandwidth part. If not set, the UE uses the normal cyclic prefix. </w:t>
      </w:r>
    </w:p>
    <w:p w14:paraId="5C5F5EE6" w14:textId="77777777" w:rsidR="004D18A5" w:rsidRPr="00EF37E7" w:rsidRDefault="004D18A5" w:rsidP="004D18A5">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51C88DA6" w14:textId="77777777" w:rsidR="004D18A5" w:rsidRPr="00EF37E7" w:rsidRDefault="004D18A5" w:rsidP="004D18A5">
      <w:pPr>
        <w:pStyle w:val="PL"/>
        <w:rPr>
          <w:color w:val="808080"/>
        </w:rPr>
      </w:pPr>
      <w:r w:rsidRPr="00A21C0F">
        <w:tab/>
      </w:r>
      <w:r w:rsidRPr="00EF37E7">
        <w:rPr>
          <w:color w:val="808080"/>
        </w:rPr>
        <w:t>-- (see 38.211, section 4.2.2)</w:t>
      </w:r>
    </w:p>
    <w:p w14:paraId="15EEE8F5" w14:textId="77777777" w:rsidR="004D18A5" w:rsidRPr="00EF37E7" w:rsidRDefault="004D18A5" w:rsidP="004D18A5">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15"/>
    <w:p w14:paraId="096BB5B5" w14:textId="77777777" w:rsidR="004D18A5" w:rsidRPr="00A21C0F" w:rsidRDefault="004D18A5" w:rsidP="004D18A5">
      <w:pPr>
        <w:pStyle w:val="PL"/>
      </w:pPr>
      <w:r w:rsidRPr="00A21C0F">
        <w:t>}</w:t>
      </w:r>
    </w:p>
    <w:p w14:paraId="248DB85E" w14:textId="042684CC" w:rsidR="0021747F" w:rsidRDefault="0021747F" w:rsidP="2D0A3676">
      <w:pPr>
        <w:jc w:val="both"/>
        <w:rPr>
          <w:rFonts w:ascii="Times New Roman" w:hAnsi="Times New Roman" w:cs="Times New Roman"/>
          <w:b/>
          <w:bCs/>
          <w:lang w:val="en-GB"/>
        </w:rPr>
      </w:pPr>
    </w:p>
    <w:p w14:paraId="54C147BF" w14:textId="34D65749" w:rsidR="004D18A5" w:rsidRPr="005A0B0A" w:rsidRDefault="004D18A5" w:rsidP="2D0A3676">
      <w:pPr>
        <w:jc w:val="both"/>
        <w:rPr>
          <w:rFonts w:ascii="Times New Roman" w:hAnsi="Times New Roman" w:cs="Times New Roman"/>
          <w:bCs/>
          <w:sz w:val="20"/>
          <w:lang w:val="en-GB"/>
        </w:rPr>
      </w:pPr>
      <w:r w:rsidRPr="005A0B0A">
        <w:rPr>
          <w:rFonts w:ascii="Times New Roman" w:hAnsi="Times New Roman" w:cs="Times New Roman"/>
          <w:bCs/>
          <w:sz w:val="20"/>
          <w:lang w:val="en-GB"/>
        </w:rPr>
        <w:t>RAN1 agreement:</w:t>
      </w:r>
    </w:p>
    <w:p w14:paraId="6DF1EEAD" w14:textId="77777777" w:rsidR="001C6C1C" w:rsidRPr="005A0B0A" w:rsidRDefault="001C6C1C" w:rsidP="001C6C1C">
      <w:pPr>
        <w:rPr>
          <w:rFonts w:ascii="Times New Roman" w:hAnsi="Times New Roman" w:cs="Times New Roman"/>
          <w:b/>
          <w:sz w:val="20"/>
          <w:szCs w:val="20"/>
          <w:lang w:eastAsia="x-none"/>
        </w:rPr>
      </w:pPr>
      <w:r w:rsidRPr="005A0B0A">
        <w:rPr>
          <w:rFonts w:ascii="Times New Roman" w:hAnsi="Times New Roman" w:cs="Times New Roman"/>
          <w:sz w:val="20"/>
          <w:szCs w:val="20"/>
          <w:highlight w:val="green"/>
          <w:lang w:eastAsia="x-none"/>
        </w:rPr>
        <w:t>Agreements</w:t>
      </w:r>
      <w:r w:rsidRPr="005A0B0A">
        <w:rPr>
          <w:rFonts w:ascii="Times New Roman" w:hAnsi="Times New Roman" w:cs="Times New Roman"/>
          <w:b/>
          <w:sz w:val="20"/>
          <w:szCs w:val="20"/>
          <w:lang w:eastAsia="x-none"/>
        </w:rPr>
        <w:t>:</w:t>
      </w:r>
    </w:p>
    <w:p w14:paraId="755E5676" w14:textId="77777777" w:rsidR="001C6C1C" w:rsidRPr="005A0B0A" w:rsidRDefault="001C6C1C" w:rsidP="001C6C1C">
      <w:pPr>
        <w:numPr>
          <w:ilvl w:val="0"/>
          <w:numId w:val="29"/>
        </w:numPr>
        <w:spacing w:after="0" w:line="240" w:lineRule="auto"/>
        <w:ind w:left="567" w:hanging="207"/>
        <w:rPr>
          <w:rFonts w:ascii="Times New Roman" w:hAnsi="Times New Roman" w:cs="Times New Roman"/>
          <w:sz w:val="20"/>
          <w:szCs w:val="20"/>
          <w:lang w:eastAsia="zh-TW"/>
        </w:rPr>
      </w:pPr>
      <w:r w:rsidRPr="005A0B0A">
        <w:rPr>
          <w:rFonts w:ascii="Times New Roman" w:hAnsi="Times New Roman" w:cs="Times New Roman"/>
          <w:sz w:val="20"/>
          <w:szCs w:val="20"/>
          <w:lang w:eastAsia="zh-TW"/>
        </w:rPr>
        <w:t>Value range of locationAndBandwidth is 0 ~ (275*(275+1)/2-1) = 37949, which requires 16 bits</w:t>
      </w:r>
    </w:p>
    <w:p w14:paraId="1DDF563A" w14:textId="47ABA986" w:rsidR="004D18A5" w:rsidRPr="005A0B0A" w:rsidRDefault="004D18A5" w:rsidP="2D0A3676">
      <w:pPr>
        <w:jc w:val="both"/>
        <w:rPr>
          <w:rFonts w:ascii="Times New Roman" w:hAnsi="Times New Roman" w:cs="Times New Roman"/>
          <w:bCs/>
          <w:sz w:val="20"/>
        </w:rPr>
      </w:pPr>
    </w:p>
    <w:p w14:paraId="40026666" w14:textId="46E72F7F" w:rsidR="001C6C1C" w:rsidRPr="005A0B0A" w:rsidRDefault="001C6C1C" w:rsidP="2D0A3676">
      <w:pPr>
        <w:jc w:val="both"/>
        <w:rPr>
          <w:rFonts w:ascii="Times New Roman" w:hAnsi="Times New Roman" w:cs="Times New Roman"/>
          <w:bCs/>
          <w:sz w:val="20"/>
        </w:rPr>
      </w:pPr>
      <w:r w:rsidRPr="005A0B0A">
        <w:rPr>
          <w:rFonts w:ascii="Times New Roman" w:hAnsi="Times New Roman" w:cs="Times New Roman"/>
          <w:bCs/>
          <w:sz w:val="20"/>
        </w:rPr>
        <w:lastRenderedPageBreak/>
        <w:t>To properly capture the above</w:t>
      </w:r>
      <w:r w:rsidR="005A0B0A">
        <w:rPr>
          <w:rFonts w:ascii="Times New Roman" w:hAnsi="Times New Roman" w:cs="Times New Roman"/>
          <w:bCs/>
          <w:sz w:val="20"/>
        </w:rPr>
        <w:t xml:space="preserve"> RAN1</w:t>
      </w:r>
      <w:r w:rsidRPr="005A0B0A">
        <w:rPr>
          <w:rFonts w:ascii="Times New Roman" w:hAnsi="Times New Roman" w:cs="Times New Roman"/>
          <w:bCs/>
          <w:sz w:val="20"/>
        </w:rPr>
        <w:t xml:space="preserve"> agreement, adopt text proposal in Section 12 of TS38.213:</w:t>
      </w:r>
    </w:p>
    <w:tbl>
      <w:tblPr>
        <w:tblStyle w:val="TableGrid"/>
        <w:tblW w:w="0" w:type="auto"/>
        <w:tblLook w:val="04A0" w:firstRow="1" w:lastRow="0" w:firstColumn="1" w:lastColumn="0" w:noHBand="0" w:noVBand="1"/>
      </w:tblPr>
      <w:tblGrid>
        <w:gridCol w:w="9629"/>
      </w:tblGrid>
      <w:tr w:rsidR="001C6C1C" w14:paraId="73F1455E" w14:textId="77777777" w:rsidTr="001C6C1C">
        <w:tc>
          <w:tcPr>
            <w:tcW w:w="9629" w:type="dxa"/>
          </w:tcPr>
          <w:p w14:paraId="214ED17B" w14:textId="77777777" w:rsidR="001C6C1C" w:rsidRPr="001C6C1C" w:rsidRDefault="001C6C1C" w:rsidP="001C6C1C">
            <w:pPr>
              <w:rPr>
                <w:rFonts w:ascii="Times New Roman" w:hAnsi="Times New Roman" w:cs="Times New Roman"/>
                <w:sz w:val="20"/>
                <w:szCs w:val="20"/>
              </w:rPr>
            </w:pPr>
            <w:r w:rsidRPr="001C6C1C">
              <w:rPr>
                <w:rFonts w:ascii="Times New Roman" w:eastAsia="MS Mincho" w:hAnsi="Times New Roman" w:cs="Times New Roman"/>
                <w:sz w:val="20"/>
                <w:szCs w:val="20"/>
              </w:rPr>
              <w:t xml:space="preserve">For each DL BWP or UL BWP in a set of DL BWPs or UL BWPs, respectively, the UE is configured the following parameters for the serving cell as defined in </w:t>
            </w:r>
            <w:r w:rsidRPr="001C6C1C">
              <w:rPr>
                <w:rFonts w:ascii="Times New Roman" w:eastAsia="SimSun" w:hAnsi="Times New Roman" w:cs="Times New Roman"/>
                <w:kern w:val="2"/>
                <w:sz w:val="20"/>
                <w:szCs w:val="20"/>
                <w:lang w:eastAsia="zh-CN"/>
              </w:rPr>
              <w:t>[4, TS 38.211] or [6, TS 38.214]</w:t>
            </w:r>
            <w:r w:rsidRPr="001C6C1C">
              <w:rPr>
                <w:rFonts w:ascii="Times New Roman" w:hAnsi="Times New Roman" w:cs="Times New Roman"/>
                <w:sz w:val="20"/>
                <w:szCs w:val="20"/>
              </w:rPr>
              <w:t>:</w:t>
            </w:r>
          </w:p>
          <w:p w14:paraId="67C714DA" w14:textId="77777777" w:rsidR="001C6C1C" w:rsidRPr="001C6C1C" w:rsidRDefault="001C6C1C" w:rsidP="001C6C1C">
            <w:pPr>
              <w:numPr>
                <w:ilvl w:val="0"/>
                <w:numId w:val="28"/>
              </w:numPr>
              <w:tabs>
                <w:tab w:val="left" w:pos="720"/>
              </w:tabs>
              <w:spacing w:after="180" w:line="240" w:lineRule="auto"/>
              <w:rPr>
                <w:rFonts w:ascii="Times New Roman" w:eastAsia="MS Mincho" w:hAnsi="Times New Roman" w:cs="Times New Roman"/>
                <w:sz w:val="20"/>
                <w:szCs w:val="20"/>
              </w:rPr>
            </w:pPr>
            <w:r w:rsidRPr="001C6C1C">
              <w:rPr>
                <w:rFonts w:ascii="Times New Roman" w:eastAsia="MS Mincho" w:hAnsi="Times New Roman" w:cs="Times New Roman"/>
                <w:sz w:val="20"/>
                <w:szCs w:val="20"/>
              </w:rPr>
              <w:t xml:space="preserve">a subcarrier spacing provided by higher layer parameter </w:t>
            </w:r>
            <w:r w:rsidRPr="001C6C1C">
              <w:rPr>
                <w:rFonts w:ascii="Times New Roman" w:eastAsia="MS Mincho" w:hAnsi="Times New Roman" w:cs="Times New Roman"/>
                <w:i/>
                <w:sz w:val="20"/>
                <w:szCs w:val="20"/>
              </w:rPr>
              <w:t>DL-BWP-mu</w:t>
            </w:r>
            <w:r w:rsidRPr="001C6C1C">
              <w:rPr>
                <w:rFonts w:ascii="Times New Roman" w:eastAsia="MS Mincho" w:hAnsi="Times New Roman" w:cs="Times New Roman"/>
                <w:sz w:val="20"/>
                <w:szCs w:val="20"/>
              </w:rPr>
              <w:t xml:space="preserve"> or </w:t>
            </w:r>
            <w:r w:rsidRPr="001C6C1C">
              <w:rPr>
                <w:rFonts w:ascii="Times New Roman" w:eastAsia="MS Mincho" w:hAnsi="Times New Roman" w:cs="Times New Roman"/>
                <w:i/>
                <w:sz w:val="20"/>
                <w:szCs w:val="20"/>
              </w:rPr>
              <w:t>UL-BWP-mu</w:t>
            </w:r>
            <w:r w:rsidRPr="001C6C1C">
              <w:rPr>
                <w:rFonts w:ascii="Times New Roman" w:eastAsia="MS Mincho" w:hAnsi="Times New Roman" w:cs="Times New Roman"/>
                <w:sz w:val="20"/>
                <w:szCs w:val="20"/>
              </w:rPr>
              <w:t>;</w:t>
            </w:r>
          </w:p>
          <w:p w14:paraId="5B77DFBC" w14:textId="77777777" w:rsidR="001C6C1C" w:rsidRPr="001C6C1C" w:rsidRDefault="001C6C1C" w:rsidP="001C6C1C">
            <w:pPr>
              <w:numPr>
                <w:ilvl w:val="0"/>
                <w:numId w:val="28"/>
              </w:numPr>
              <w:tabs>
                <w:tab w:val="left" w:pos="720"/>
              </w:tabs>
              <w:spacing w:after="180" w:line="240" w:lineRule="auto"/>
              <w:rPr>
                <w:rFonts w:ascii="Times New Roman" w:hAnsi="Times New Roman" w:cs="Times New Roman"/>
                <w:sz w:val="20"/>
                <w:szCs w:val="20"/>
              </w:rPr>
            </w:pPr>
            <w:r w:rsidRPr="001C6C1C">
              <w:rPr>
                <w:rFonts w:ascii="Times New Roman" w:eastAsia="MS Mincho" w:hAnsi="Times New Roman" w:cs="Times New Roman"/>
                <w:sz w:val="20"/>
                <w:szCs w:val="20"/>
              </w:rPr>
              <w:t xml:space="preserve">a cyclic prefix provided by higher layer parameter </w:t>
            </w:r>
            <w:r w:rsidRPr="001C6C1C">
              <w:rPr>
                <w:rFonts w:ascii="Times New Roman" w:eastAsia="MS Mincho" w:hAnsi="Times New Roman" w:cs="Times New Roman"/>
                <w:i/>
                <w:sz w:val="20"/>
                <w:szCs w:val="20"/>
              </w:rPr>
              <w:t>DL-BWP-CP</w:t>
            </w:r>
            <w:r w:rsidRPr="001C6C1C">
              <w:rPr>
                <w:rFonts w:ascii="Times New Roman" w:eastAsia="MS Mincho" w:hAnsi="Times New Roman" w:cs="Times New Roman"/>
                <w:sz w:val="20"/>
                <w:szCs w:val="20"/>
              </w:rPr>
              <w:t xml:space="preserve"> or </w:t>
            </w:r>
            <w:r w:rsidRPr="001C6C1C">
              <w:rPr>
                <w:rFonts w:ascii="Times New Roman" w:eastAsia="MS Mincho" w:hAnsi="Times New Roman" w:cs="Times New Roman"/>
                <w:i/>
                <w:sz w:val="20"/>
                <w:szCs w:val="20"/>
              </w:rPr>
              <w:t>UL-BWP-CP</w:t>
            </w:r>
            <w:r w:rsidRPr="001C6C1C">
              <w:rPr>
                <w:rFonts w:ascii="Times New Roman" w:eastAsia="MS Mincho" w:hAnsi="Times New Roman" w:cs="Times New Roman"/>
                <w:sz w:val="20"/>
                <w:szCs w:val="20"/>
              </w:rPr>
              <w:t>;</w:t>
            </w:r>
          </w:p>
          <w:p w14:paraId="20CF28C2" w14:textId="77777777" w:rsidR="001C6C1C" w:rsidRPr="001C6C1C" w:rsidRDefault="001C6C1C" w:rsidP="001C6C1C">
            <w:pPr>
              <w:numPr>
                <w:ilvl w:val="0"/>
                <w:numId w:val="28"/>
              </w:numPr>
              <w:tabs>
                <w:tab w:val="left" w:pos="720"/>
              </w:tabs>
              <w:spacing w:after="180" w:line="240" w:lineRule="auto"/>
              <w:rPr>
                <w:rFonts w:ascii="Times New Roman" w:hAnsi="Times New Roman" w:cs="Times New Roman"/>
                <w:color w:val="FF0000"/>
                <w:sz w:val="20"/>
                <w:szCs w:val="20"/>
              </w:rPr>
            </w:pPr>
            <w:r w:rsidRPr="001C6C1C">
              <w:rPr>
                <w:rFonts w:ascii="Times New Roman" w:hAnsi="Times New Roman" w:cs="Times New Roman"/>
                <w:strike/>
                <w:color w:val="FF0000"/>
                <w:sz w:val="20"/>
                <w:szCs w:val="20"/>
                <w:u w:val="single"/>
              </w:rPr>
              <w:t xml:space="preserve">a PRB offset with respect to the PRB determined by higher layer parameters </w:t>
            </w:r>
            <w:r w:rsidRPr="001C6C1C">
              <w:rPr>
                <w:rFonts w:ascii="Times New Roman" w:hAnsi="Times New Roman" w:cs="Times New Roman"/>
                <w:i/>
                <w:strike/>
                <w:color w:val="FF0000"/>
                <w:sz w:val="20"/>
                <w:szCs w:val="20"/>
                <w:u w:val="single"/>
              </w:rPr>
              <w:t>offset-pointA-low-scs</w:t>
            </w:r>
            <w:r w:rsidRPr="001C6C1C">
              <w:rPr>
                <w:rFonts w:ascii="Times New Roman" w:hAnsi="Times New Roman" w:cs="Times New Roman"/>
                <w:strike/>
                <w:color w:val="FF0000"/>
                <w:sz w:val="20"/>
                <w:szCs w:val="20"/>
                <w:u w:val="single"/>
              </w:rPr>
              <w:t xml:space="preserve"> and </w:t>
            </w:r>
            <w:r w:rsidRPr="001C6C1C">
              <w:rPr>
                <w:rFonts w:ascii="Times New Roman" w:hAnsi="Times New Roman" w:cs="Times New Roman"/>
                <w:i/>
                <w:strike/>
                <w:color w:val="FF0000"/>
                <w:sz w:val="20"/>
                <w:szCs w:val="20"/>
                <w:u w:val="single"/>
              </w:rPr>
              <w:t>ref-scs</w:t>
            </w:r>
            <w:r w:rsidRPr="001C6C1C">
              <w:rPr>
                <w:rFonts w:ascii="Times New Roman" w:hAnsi="Times New Roman" w:cs="Times New Roman"/>
                <w:strike/>
                <w:color w:val="FF0000"/>
                <w:sz w:val="20"/>
                <w:szCs w:val="20"/>
                <w:u w:val="single"/>
              </w:rPr>
              <w:t xml:space="preserve"> and</w:t>
            </w:r>
            <w:r w:rsidRPr="001C6C1C">
              <w:rPr>
                <w:rFonts w:ascii="Times New Roman" w:hAnsi="Times New Roman" w:cs="Times New Roman"/>
                <w:strike/>
                <w:color w:val="FF0000"/>
                <w:sz w:val="20"/>
                <w:szCs w:val="20"/>
              </w:rPr>
              <w:t xml:space="preserve"> a number of contiguous PRBs provided by higher layer parameter </w:t>
            </w:r>
            <w:r w:rsidRPr="001C6C1C">
              <w:rPr>
                <w:rFonts w:ascii="Times New Roman" w:hAnsi="Times New Roman" w:cs="Times New Roman"/>
                <w:i/>
                <w:strike/>
                <w:color w:val="FF0000"/>
                <w:sz w:val="20"/>
                <w:szCs w:val="20"/>
              </w:rPr>
              <w:t>DL-BWP-BW</w:t>
            </w:r>
            <w:r w:rsidRPr="001C6C1C">
              <w:rPr>
                <w:rFonts w:ascii="Times New Roman" w:hAnsi="Times New Roman" w:cs="Times New Roman"/>
                <w:strike/>
                <w:color w:val="FF0000"/>
                <w:sz w:val="20"/>
                <w:szCs w:val="20"/>
              </w:rPr>
              <w:t xml:space="preserve"> or </w:t>
            </w:r>
            <w:r w:rsidRPr="001C6C1C">
              <w:rPr>
                <w:rFonts w:ascii="Times New Roman" w:hAnsi="Times New Roman" w:cs="Times New Roman"/>
                <w:i/>
                <w:strike/>
                <w:color w:val="FF0000"/>
                <w:sz w:val="20"/>
                <w:szCs w:val="20"/>
              </w:rPr>
              <w:t>UL-BWP-BW</w:t>
            </w:r>
            <w:r w:rsidRPr="001C6C1C">
              <w:rPr>
                <w:rFonts w:ascii="Times New Roman" w:hAnsi="Times New Roman" w:cs="Times New Roman"/>
                <w:strike/>
                <w:color w:val="FF0000"/>
                <w:sz w:val="20"/>
                <w:szCs w:val="20"/>
              </w:rPr>
              <w:t xml:space="preserve">; </w:t>
            </w:r>
          </w:p>
          <w:p w14:paraId="465B5ED0" w14:textId="7B34C266" w:rsidR="001C6C1C" w:rsidRPr="00A32796" w:rsidRDefault="00226537" w:rsidP="001C6C1C">
            <w:pPr>
              <w:numPr>
                <w:ilvl w:val="0"/>
                <w:numId w:val="28"/>
              </w:numPr>
              <w:tabs>
                <w:tab w:val="left" w:pos="720"/>
              </w:tabs>
              <w:spacing w:after="180" w:line="240" w:lineRule="auto"/>
              <w:rPr>
                <w:rFonts w:ascii="Times New Roman" w:hAnsi="Times New Roman" w:cs="Times New Roman"/>
                <w:color w:val="FF0000"/>
                <w:sz w:val="20"/>
                <w:szCs w:val="20"/>
                <w:u w:val="single"/>
              </w:rPr>
            </w:pPr>
            <w:r w:rsidRPr="00A32796">
              <w:rPr>
                <w:rFonts w:ascii="Times New Roman" w:hAnsi="Times New Roman" w:cs="Times New Roman"/>
                <w:color w:val="FF0000"/>
                <w:sz w:val="20"/>
                <w:szCs w:val="20"/>
                <w:u w:val="single"/>
              </w:rPr>
              <w:t>a starting PRB and a</w:t>
            </w:r>
            <w:r w:rsidR="001C6C1C" w:rsidRPr="00A32796">
              <w:rPr>
                <w:rFonts w:ascii="Times New Roman" w:hAnsi="Times New Roman" w:cs="Times New Roman"/>
                <w:color w:val="FF0000"/>
                <w:sz w:val="20"/>
                <w:szCs w:val="20"/>
                <w:u w:val="single"/>
              </w:rPr>
              <w:t xml:space="preserve"> number of contiguous PRBs</w:t>
            </w:r>
            <w:r w:rsidRPr="00A32796">
              <w:rPr>
                <w:rFonts w:ascii="Times New Roman" w:hAnsi="Times New Roman" w:cs="Times New Roman"/>
                <w:color w:val="FF0000"/>
                <w:sz w:val="20"/>
                <w:szCs w:val="20"/>
                <w:u w:val="single"/>
              </w:rPr>
              <w:t xml:space="preserve"> indicated </w:t>
            </w:r>
            <w:r w:rsidR="001C6C1C" w:rsidRPr="00A32796">
              <w:rPr>
                <w:rFonts w:ascii="Times New Roman" w:hAnsi="Times New Roman" w:cs="Times New Roman"/>
                <w:color w:val="FF0000"/>
                <w:sz w:val="20"/>
                <w:szCs w:val="20"/>
                <w:u w:val="single"/>
              </w:rPr>
              <w:t xml:space="preserve">by higher layer parameter </w:t>
            </w:r>
            <w:r w:rsidR="001C6C1C" w:rsidRPr="00A32796">
              <w:rPr>
                <w:i/>
                <w:color w:val="FF0000"/>
                <w:sz w:val="20"/>
                <w:szCs w:val="20"/>
                <w:u w:val="single"/>
              </w:rPr>
              <w:t xml:space="preserve">locationAndBandwidth </w:t>
            </w:r>
            <w:r w:rsidR="001C6C1C" w:rsidRPr="00A32796">
              <w:rPr>
                <w:color w:val="FF0000"/>
                <w:sz w:val="20"/>
                <w:szCs w:val="20"/>
                <w:u w:val="single"/>
              </w:rPr>
              <w:t xml:space="preserve">which is interpreted as RIV according to [5.1.2.2.2, TS 38.213], setting </w:t>
            </w:r>
            <w:r w:rsidR="001C6C1C" w:rsidRPr="00A32796">
              <w:rPr>
                <w:color w:val="FF0000"/>
                <w:position w:val="-10"/>
                <w:sz w:val="20"/>
                <w:szCs w:val="20"/>
                <w:u w:val="single"/>
              </w:rPr>
              <w:object w:dxaOrig="540" w:dyaOrig="340" w14:anchorId="587BD2B2">
                <v:shape id="_x0000_i1039" type="#_x0000_t75" style="width:30pt;height:18pt" o:ole="">
                  <v:imagedata r:id="rId42" o:title=""/>
                </v:shape>
                <o:OLEObject Type="Embed" ProgID="Equation.3" ShapeID="_x0000_i1039" DrawAspect="Content" ObjectID="_1584550735" r:id="rId43"/>
              </w:object>
            </w:r>
            <w:r w:rsidR="001C6C1C" w:rsidRPr="00A32796">
              <w:rPr>
                <w:color w:val="FF0000"/>
                <w:sz w:val="20"/>
                <w:szCs w:val="20"/>
                <w:u w:val="single"/>
              </w:rPr>
              <w:t>=275 and first PRB to coincide with CRB 0.</w:t>
            </w:r>
          </w:p>
          <w:p w14:paraId="3A511E37" w14:textId="77777777" w:rsidR="001C6C1C" w:rsidRPr="001C6C1C" w:rsidRDefault="001C6C1C" w:rsidP="001C6C1C">
            <w:pPr>
              <w:numPr>
                <w:ilvl w:val="0"/>
                <w:numId w:val="28"/>
              </w:numPr>
              <w:tabs>
                <w:tab w:val="left" w:pos="720"/>
              </w:tabs>
              <w:spacing w:after="180" w:line="240" w:lineRule="auto"/>
              <w:rPr>
                <w:rFonts w:ascii="Times New Roman" w:hAnsi="Times New Roman" w:cs="Times New Roman"/>
                <w:sz w:val="20"/>
                <w:szCs w:val="20"/>
              </w:rPr>
            </w:pPr>
            <w:r w:rsidRPr="001C6C1C">
              <w:rPr>
                <w:rFonts w:ascii="Times New Roman" w:hAnsi="Times New Roman" w:cs="Times New Roman"/>
                <w:sz w:val="20"/>
                <w:szCs w:val="20"/>
              </w:rPr>
              <w:t xml:space="preserve">an index in the set of DL BWPs or UL BWPs by respective higher layer parameters </w:t>
            </w:r>
            <w:r w:rsidRPr="001C6C1C">
              <w:rPr>
                <w:rFonts w:ascii="Times New Roman" w:eastAsia="MS Mincho" w:hAnsi="Times New Roman" w:cs="Times New Roman"/>
                <w:i/>
                <w:sz w:val="20"/>
                <w:szCs w:val="20"/>
              </w:rPr>
              <w:t>DL-BWP-index</w:t>
            </w:r>
            <w:r w:rsidRPr="001C6C1C">
              <w:rPr>
                <w:rFonts w:ascii="Times New Roman" w:eastAsia="MS Mincho" w:hAnsi="Times New Roman" w:cs="Times New Roman"/>
                <w:sz w:val="20"/>
                <w:szCs w:val="20"/>
              </w:rPr>
              <w:t xml:space="preserve"> or </w:t>
            </w:r>
            <w:r w:rsidRPr="001C6C1C">
              <w:rPr>
                <w:rFonts w:ascii="Times New Roman" w:eastAsia="MS Mincho" w:hAnsi="Times New Roman" w:cs="Times New Roman"/>
                <w:i/>
                <w:sz w:val="20"/>
                <w:szCs w:val="20"/>
              </w:rPr>
              <w:t>UL-BWP-index</w:t>
            </w:r>
            <w:r w:rsidRPr="001C6C1C">
              <w:rPr>
                <w:rFonts w:ascii="Times New Roman" w:eastAsia="MS Mincho" w:hAnsi="Times New Roman" w:cs="Times New Roman"/>
                <w:sz w:val="20"/>
                <w:szCs w:val="20"/>
              </w:rPr>
              <w:t>;</w:t>
            </w:r>
          </w:p>
          <w:p w14:paraId="5500F6DA" w14:textId="77777777" w:rsidR="001C6C1C" w:rsidRPr="001C6C1C" w:rsidRDefault="001C6C1C" w:rsidP="001C6C1C">
            <w:pPr>
              <w:numPr>
                <w:ilvl w:val="0"/>
                <w:numId w:val="28"/>
              </w:numPr>
              <w:tabs>
                <w:tab w:val="left" w:pos="720"/>
              </w:tabs>
              <w:spacing w:after="180" w:line="240" w:lineRule="auto"/>
              <w:rPr>
                <w:rFonts w:ascii="Times New Roman" w:hAnsi="Times New Roman" w:cs="Times New Roman"/>
                <w:sz w:val="20"/>
                <w:szCs w:val="20"/>
              </w:rPr>
            </w:pPr>
            <w:r w:rsidRPr="001C6C1C">
              <w:rPr>
                <w:rFonts w:ascii="Times New Roman" w:hAnsi="Times New Roman" w:cs="Times New Roman"/>
                <w:sz w:val="20"/>
                <w:szCs w:val="20"/>
              </w:rPr>
              <w:t xml:space="preserve">DCI format 1_0 or DCI format 1_1 detection to a PDSCH reception timing values by higher layer parameter </w:t>
            </w:r>
            <w:r w:rsidRPr="001C6C1C">
              <w:rPr>
                <w:rFonts w:ascii="Times New Roman" w:hAnsi="Times New Roman" w:cs="Times New Roman"/>
                <w:i/>
                <w:sz w:val="20"/>
                <w:szCs w:val="20"/>
              </w:rPr>
              <w:t>DL-data-time-domain</w:t>
            </w:r>
            <w:r w:rsidRPr="001C6C1C">
              <w:rPr>
                <w:rFonts w:ascii="Times New Roman" w:hAnsi="Times New Roman" w:cs="Times New Roman"/>
                <w:sz w:val="20"/>
                <w:szCs w:val="20"/>
              </w:rPr>
              <w:t xml:space="preserve">, PDSCH reception to a HARQ-ACK transmission timing values by higher layer parameter </w:t>
            </w:r>
            <w:r w:rsidRPr="001C6C1C">
              <w:rPr>
                <w:rFonts w:ascii="Times New Roman" w:hAnsi="Times New Roman" w:cs="Times New Roman"/>
                <w:i/>
                <w:sz w:val="20"/>
                <w:szCs w:val="20"/>
              </w:rPr>
              <w:t>DL-data-DL-acknowledgement</w:t>
            </w:r>
            <w:r w:rsidRPr="001C6C1C">
              <w:rPr>
                <w:rFonts w:ascii="Times New Roman" w:hAnsi="Times New Roman" w:cs="Times New Roman"/>
                <w:sz w:val="20"/>
                <w:szCs w:val="20"/>
              </w:rPr>
              <w:t xml:space="preserve">, and DCI format 0_0 or DCI format 0_1 detection to a PUSCH transmission timing values by higher layer parameter </w:t>
            </w:r>
            <w:r w:rsidRPr="001C6C1C">
              <w:rPr>
                <w:rFonts w:ascii="Times New Roman" w:hAnsi="Times New Roman" w:cs="Times New Roman"/>
                <w:i/>
                <w:sz w:val="20"/>
                <w:szCs w:val="20"/>
              </w:rPr>
              <w:t>UL-data-time-domain</w:t>
            </w:r>
            <w:r w:rsidRPr="001C6C1C">
              <w:rPr>
                <w:rFonts w:ascii="Times New Roman" w:hAnsi="Times New Roman" w:cs="Times New Roman"/>
                <w:sz w:val="20"/>
                <w:szCs w:val="20"/>
              </w:rPr>
              <w:t xml:space="preserve">; </w:t>
            </w:r>
          </w:p>
          <w:p w14:paraId="63D816D8" w14:textId="77777777" w:rsidR="001C6C1C" w:rsidRDefault="001C6C1C" w:rsidP="004D18A5">
            <w:pPr>
              <w:rPr>
                <w:rFonts w:ascii="Times New Roman" w:eastAsia="MS Mincho" w:hAnsi="Times New Roman" w:cs="Times New Roman"/>
              </w:rPr>
            </w:pPr>
          </w:p>
        </w:tc>
      </w:tr>
    </w:tbl>
    <w:p w14:paraId="463C6CF7" w14:textId="3BDDC36D" w:rsidR="001C6C1C" w:rsidRDefault="001C6C1C" w:rsidP="004D18A5">
      <w:pPr>
        <w:rPr>
          <w:rFonts w:ascii="Times New Roman" w:eastAsia="MS Mincho" w:hAnsi="Times New Roman" w:cs="Times New Roman"/>
        </w:rPr>
      </w:pPr>
    </w:p>
    <w:p w14:paraId="459EF5E1" w14:textId="114ACD3B" w:rsidR="00226537" w:rsidRPr="00226537" w:rsidRDefault="00226537" w:rsidP="004D18A5">
      <w:pPr>
        <w:rPr>
          <w:rFonts w:ascii="Times New Roman" w:eastAsia="MS Mincho" w:hAnsi="Times New Roman" w:cs="Times New Roman"/>
          <w:sz w:val="20"/>
          <w:szCs w:val="20"/>
        </w:rPr>
      </w:pPr>
      <w:bookmarkStart w:id="16" w:name="_Hlk510776307"/>
      <w:r w:rsidRPr="00226537">
        <w:rPr>
          <w:rFonts w:ascii="Times New Roman" w:eastAsia="MS Mincho" w:hAnsi="Times New Roman" w:cs="Times New Roman"/>
          <w:sz w:val="20"/>
          <w:szCs w:val="20"/>
        </w:rPr>
        <w:t xml:space="preserve">Further discuss whether 275RB upper limit for BWP allocation in numerology </w:t>
      </w:r>
      <m:oMath>
        <m:r>
          <w:rPr>
            <w:rFonts w:ascii="Cambria Math" w:eastAsia="MS Mincho" w:hAnsi="Cambria Math" w:cs="Times New Roman"/>
            <w:sz w:val="20"/>
            <w:szCs w:val="20"/>
          </w:rPr>
          <m:t>μ</m:t>
        </m:r>
      </m:oMath>
      <w:r w:rsidRPr="00226537">
        <w:rPr>
          <w:rFonts w:ascii="Times New Roman" w:eastAsia="MS Mincho" w:hAnsi="Times New Roman" w:cs="Times New Roman"/>
          <w:sz w:val="20"/>
          <w:szCs w:val="20"/>
        </w:rPr>
        <w:t xml:space="preserve"> on the NW carrier is sufficient.</w:t>
      </w:r>
    </w:p>
    <w:bookmarkEnd w:id="16"/>
    <w:p w14:paraId="0F11AC68" w14:textId="77777777" w:rsidR="0021747F" w:rsidRPr="004D2F84" w:rsidRDefault="0021747F" w:rsidP="2D0A3676">
      <w:pPr>
        <w:jc w:val="both"/>
        <w:rPr>
          <w:rFonts w:ascii="Times New Roman" w:hAnsi="Times New Roman" w:cs="Times New Roman"/>
          <w:b/>
          <w:bCs/>
        </w:rPr>
      </w:pPr>
    </w:p>
    <w:bookmarkEnd w:id="3"/>
    <w:bookmarkEnd w:id="4"/>
    <w:p w14:paraId="3BC759D8" w14:textId="4D083877" w:rsidR="005B6509" w:rsidRPr="009C1427" w:rsidRDefault="2D0A3676" w:rsidP="2D0A3676">
      <w:pPr>
        <w:pStyle w:val="Heading1"/>
        <w:rPr>
          <w:lang w:val="en-US"/>
        </w:rPr>
      </w:pPr>
      <w:r w:rsidRPr="2D0A3676">
        <w:rPr>
          <w:lang w:val="en-US"/>
        </w:rPr>
        <w:t>Conclusions</w:t>
      </w:r>
    </w:p>
    <w:p w14:paraId="3AFB7B4C" w14:textId="5AB503D5" w:rsidR="00D14EFE" w:rsidRPr="00226537" w:rsidRDefault="2D0A3676" w:rsidP="2D0A3676">
      <w:pPr>
        <w:jc w:val="both"/>
        <w:rPr>
          <w:rFonts w:ascii="Times New Roman"/>
          <w:sz w:val="20"/>
          <w:szCs w:val="20"/>
          <w:lang w:val="en-GB"/>
        </w:rPr>
      </w:pPr>
      <w:bookmarkStart w:id="17" w:name="OLE_LINK43"/>
      <w:bookmarkStart w:id="18" w:name="OLE_LINK44"/>
      <w:bookmarkStart w:id="19" w:name="OLE_LINK34"/>
      <w:bookmarkStart w:id="20" w:name="OLE_LINK35"/>
      <w:r w:rsidRPr="00226537">
        <w:rPr>
          <w:rFonts w:ascii="Times New Roman"/>
          <w:sz w:val="20"/>
          <w:szCs w:val="20"/>
          <w:lang w:val="en-GB"/>
        </w:rPr>
        <w:t>In this contribution, we have discussed aspects of BWPs. We have the following observations and proposals:</w:t>
      </w:r>
      <w:bookmarkEnd w:id="17"/>
      <w:bookmarkEnd w:id="18"/>
      <w:bookmarkEnd w:id="19"/>
      <w:bookmarkEnd w:id="20"/>
    </w:p>
    <w:p w14:paraId="5E1B28AC" w14:textId="77777777" w:rsidR="009E3A62" w:rsidRDefault="009E3A62" w:rsidP="009E3A62">
      <w:r w:rsidRPr="00BB5496">
        <w:rPr>
          <w:rFonts w:ascii="Times New Roman" w:eastAsia="Times New Roman" w:hAnsi="Times New Roman" w:cs="Times New Roman"/>
          <w:b/>
          <w:sz w:val="20"/>
        </w:rPr>
        <w:t xml:space="preserve">Observation-1: Support of zero-RA in NR R15 is feasible </w:t>
      </w:r>
    </w:p>
    <w:p w14:paraId="52F435CF" w14:textId="77777777" w:rsidR="009E3A62" w:rsidRPr="00BB5496" w:rsidRDefault="009E3A62" w:rsidP="009E3A62">
      <w:pPr>
        <w:jc w:val="both"/>
        <w:rPr>
          <w:rFonts w:ascii="Times New Roman" w:eastAsia="Times New Roman" w:hAnsi="Times New Roman" w:cs="Times New Roman"/>
          <w:b/>
          <w:sz w:val="20"/>
          <w:szCs w:val="20"/>
        </w:rPr>
      </w:pPr>
      <w:r w:rsidRPr="00BB5496">
        <w:rPr>
          <w:rFonts w:ascii="Times New Roman" w:eastAsia="Times New Roman" w:hAnsi="Times New Roman" w:cs="Times New Roman"/>
          <w:b/>
          <w:sz w:val="20"/>
          <w:szCs w:val="20"/>
        </w:rPr>
        <w:t>Observation-</w:t>
      </w:r>
      <w:r>
        <w:rPr>
          <w:rFonts w:ascii="Times New Roman" w:eastAsia="Times New Roman" w:hAnsi="Times New Roman" w:cs="Times New Roman"/>
          <w:b/>
          <w:sz w:val="20"/>
          <w:szCs w:val="20"/>
        </w:rPr>
        <w:t>2</w:t>
      </w:r>
      <w:r w:rsidRPr="00BB5496">
        <w:rPr>
          <w:rFonts w:ascii="Times New Roman" w:eastAsia="Times New Roman" w:hAnsi="Times New Roman" w:cs="Times New Roman"/>
          <w:b/>
          <w:sz w:val="20"/>
          <w:szCs w:val="20"/>
        </w:rPr>
        <w:t>: Padding the RIV value with zeros results in undesirable pruning of start and/or length values. This might be sufficient for scheduling of RAR, but not for regular data channels.</w:t>
      </w:r>
    </w:p>
    <w:p w14:paraId="7DC1328B" w14:textId="77777777" w:rsidR="009E3A62" w:rsidRPr="00BB5496" w:rsidRDefault="009E3A62" w:rsidP="009E3A62">
      <w:pPr>
        <w:spacing w:after="0"/>
        <w:jc w:val="both"/>
        <w:rPr>
          <w:rFonts w:ascii="Times New Roman" w:eastAsia="Times New Roman" w:hAnsi="Times New Roman" w:cs="Times New Roman"/>
          <w:b/>
          <w:sz w:val="20"/>
        </w:rPr>
      </w:pPr>
      <w:r w:rsidRPr="00BB5496">
        <w:rPr>
          <w:rFonts w:ascii="Times New Roman" w:eastAsia="Times New Roman" w:hAnsi="Times New Roman" w:cs="Times New Roman"/>
          <w:b/>
          <w:sz w:val="20"/>
        </w:rPr>
        <w:t>Proposal-1: Support one of the following alternatives:</w:t>
      </w:r>
    </w:p>
    <w:p w14:paraId="77BCF15C" w14:textId="77777777" w:rsidR="009E3A62" w:rsidRPr="00BB5496" w:rsidRDefault="009E3A62" w:rsidP="009E3A62">
      <w:pPr>
        <w:numPr>
          <w:ilvl w:val="0"/>
          <w:numId w:val="23"/>
        </w:numPr>
        <w:spacing w:after="0" w:line="240" w:lineRule="auto"/>
        <w:rPr>
          <w:rFonts w:ascii="Times New Roman" w:hAnsi="Times New Roman" w:cs="Times New Roman"/>
          <w:b/>
          <w:sz w:val="20"/>
          <w:szCs w:val="20"/>
          <w:lang w:eastAsia="x-none"/>
        </w:rPr>
      </w:pPr>
      <w:r w:rsidRPr="00BB5496">
        <w:rPr>
          <w:rFonts w:ascii="Times New Roman" w:eastAsia="Times New Roman" w:hAnsi="Times New Roman" w:cs="Times New Roman"/>
          <w:b/>
          <w:sz w:val="20"/>
        </w:rPr>
        <w:t>ALT1:</w:t>
      </w:r>
    </w:p>
    <w:p w14:paraId="268441CC" w14:textId="77777777" w:rsidR="009E3A62" w:rsidRPr="00BB5496" w:rsidRDefault="009E3A62" w:rsidP="009E3A62">
      <w:pPr>
        <w:pStyle w:val="ListParagraph"/>
        <w:numPr>
          <w:ilvl w:val="1"/>
          <w:numId w:val="23"/>
        </w:numPr>
        <w:spacing w:after="0" w:line="240" w:lineRule="auto"/>
        <w:rPr>
          <w:rFonts w:ascii="Times New Roman" w:hAnsi="Times New Roman" w:cs="Times New Roman"/>
          <w:b/>
          <w:sz w:val="20"/>
          <w:szCs w:val="20"/>
          <w:lang w:eastAsia="x-none"/>
        </w:rPr>
      </w:pPr>
      <w:r w:rsidRPr="00BB5496">
        <w:rPr>
          <w:rFonts w:ascii="Times New Roman" w:hAnsi="Times New Roman" w:cs="Times New Roman"/>
          <w:b/>
          <w:sz w:val="20"/>
          <w:szCs w:val="20"/>
          <w:lang w:eastAsia="x-none"/>
        </w:rPr>
        <w:t>Sizes of all DCI bitfields in DCI formats 0-1 and 1-1 in USS determined by current BWP. Data transmitted on the BWP indicated by the BWP index. If the BWP index activates another BWP, transform as follows:</w:t>
      </w:r>
    </w:p>
    <w:p w14:paraId="3ADCEDD3" w14:textId="77777777" w:rsidR="009E3A62" w:rsidRPr="00BB5496" w:rsidRDefault="009E3A62" w:rsidP="009E3A62">
      <w:pPr>
        <w:numPr>
          <w:ilvl w:val="2"/>
          <w:numId w:val="23"/>
        </w:numPr>
        <w:spacing w:after="0" w:line="240" w:lineRule="auto"/>
        <w:rPr>
          <w:rFonts w:ascii="Times New Roman" w:hAnsi="Times New Roman" w:cs="Times New Roman"/>
          <w:b/>
          <w:color w:val="FF0000"/>
          <w:sz w:val="20"/>
          <w:szCs w:val="20"/>
          <w:lang w:eastAsia="x-none"/>
        </w:rPr>
      </w:pPr>
      <w:r w:rsidRPr="00BB5496">
        <w:rPr>
          <w:rFonts w:ascii="Times New Roman" w:hAnsi="Times New Roman" w:cs="Times New Roman"/>
          <w:b/>
          <w:color w:val="FF0000"/>
          <w:sz w:val="20"/>
          <w:szCs w:val="20"/>
          <w:lang w:eastAsia="x-none"/>
        </w:rPr>
        <w:t>For TYPE0 RA</w:t>
      </w:r>
      <w:r w:rsidRPr="00BB5496">
        <w:rPr>
          <w:rFonts w:ascii="Times New Roman" w:hAnsi="Times New Roman" w:cs="Times New Roman"/>
          <w:b/>
          <w:sz w:val="20"/>
          <w:szCs w:val="20"/>
          <w:lang w:eastAsia="x-none"/>
        </w:rPr>
        <w:t xml:space="preserve">, zero-pad too small bitfields to match the </w:t>
      </w:r>
      <w:r w:rsidRPr="00BB5496">
        <w:rPr>
          <w:rFonts w:ascii="Times New Roman" w:hAnsi="Times New Roman" w:cs="Times New Roman"/>
          <w:b/>
          <w:color w:val="FF0000"/>
          <w:sz w:val="20"/>
          <w:szCs w:val="20"/>
          <w:lang w:eastAsia="x-none"/>
        </w:rPr>
        <w:t>bitfield size of</w:t>
      </w:r>
      <w:r w:rsidRPr="00BB5496">
        <w:rPr>
          <w:rFonts w:ascii="Times New Roman" w:hAnsi="Times New Roman" w:cs="Times New Roman"/>
          <w:b/>
          <w:sz w:val="20"/>
          <w:szCs w:val="20"/>
          <w:lang w:eastAsia="x-none"/>
        </w:rPr>
        <w:t xml:space="preserve"> new BWP</w:t>
      </w:r>
      <w:r w:rsidRPr="00BB5496">
        <w:rPr>
          <w:rFonts w:ascii="Times New Roman" w:hAnsi="Times New Roman" w:cs="Times New Roman"/>
          <w:b/>
          <w:color w:val="FF0000"/>
          <w:sz w:val="20"/>
          <w:szCs w:val="20"/>
          <w:lang w:eastAsia="x-none"/>
        </w:rPr>
        <w:t xml:space="preserve"> </w:t>
      </w:r>
    </w:p>
    <w:p w14:paraId="489C92C4" w14:textId="77777777" w:rsidR="009E3A62" w:rsidRPr="00BB5496" w:rsidRDefault="009E3A62" w:rsidP="009E3A62">
      <w:pPr>
        <w:numPr>
          <w:ilvl w:val="2"/>
          <w:numId w:val="23"/>
        </w:numPr>
        <w:spacing w:after="0" w:line="240" w:lineRule="auto"/>
        <w:rPr>
          <w:rFonts w:ascii="Times New Roman" w:hAnsi="Times New Roman" w:cs="Times New Roman"/>
          <w:b/>
          <w:color w:val="FF0000"/>
          <w:sz w:val="20"/>
          <w:szCs w:val="20"/>
          <w:lang w:eastAsia="x-none"/>
        </w:rPr>
      </w:pPr>
      <w:r w:rsidRPr="00BB5496">
        <w:rPr>
          <w:rFonts w:ascii="Times New Roman" w:hAnsi="Times New Roman" w:cs="Times New Roman"/>
          <w:b/>
          <w:color w:val="FF0000"/>
          <w:sz w:val="20"/>
        </w:rPr>
        <w:t xml:space="preserve">For TYPE1 RA, </w:t>
      </w:r>
      <w:r w:rsidRPr="00BB5496">
        <w:rPr>
          <w:rFonts w:ascii="Times New Roman" w:hAnsi="Times New Roman" w:cs="Times New Roman"/>
          <w:b/>
          <w:color w:val="FF0000"/>
          <w:sz w:val="20"/>
          <w:szCs w:val="20"/>
          <w:lang w:eastAsia="x-none"/>
        </w:rPr>
        <w:t xml:space="preserve">reinterpret the too small bitfield of size b based on shortened BWP size </w:t>
      </w:r>
      <w:r w:rsidRPr="00BB5496">
        <w:rPr>
          <w:rFonts w:ascii="Times New Roman" w:hAnsi="Times New Roman" w:cs="Times New Roman"/>
          <w:b/>
          <w:color w:val="FF0000"/>
          <w:position w:val="-36"/>
          <w:sz w:val="20"/>
        </w:rPr>
        <w:object w:dxaOrig="2400" w:dyaOrig="840" w14:anchorId="6E235FB2">
          <v:shape id="_x0000_i1045" type="#_x0000_t75" style="width:97.2pt;height:32.4pt" o:ole="">
            <v:imagedata r:id="rId31" o:title=""/>
          </v:shape>
          <o:OLEObject Type="Embed" ProgID="Equation.DSMT4" ShapeID="_x0000_i1045" DrawAspect="Content" ObjectID="_1584550736" r:id="rId44"/>
        </w:object>
      </w:r>
      <w:r w:rsidRPr="00BB5496">
        <w:rPr>
          <w:rFonts w:ascii="Times New Roman" w:hAnsi="Times New Roman" w:cs="Times New Roman"/>
          <w:b/>
          <w:color w:val="FF0000"/>
          <w:sz w:val="20"/>
        </w:rPr>
        <w:t xml:space="preserve">of the new BWP </w:t>
      </w:r>
    </w:p>
    <w:p w14:paraId="39B73E3F" w14:textId="77777777" w:rsidR="009E3A62" w:rsidRPr="00BB5496" w:rsidRDefault="009E3A62" w:rsidP="009E3A62">
      <w:pPr>
        <w:numPr>
          <w:ilvl w:val="2"/>
          <w:numId w:val="23"/>
        </w:numPr>
        <w:spacing w:after="0" w:line="240" w:lineRule="auto"/>
        <w:jc w:val="both"/>
        <w:rPr>
          <w:rFonts w:ascii="Times New Roman" w:eastAsia="Times New Roman" w:hAnsi="Times New Roman" w:cs="Times New Roman"/>
          <w:b/>
          <w:sz w:val="20"/>
        </w:rPr>
      </w:pPr>
      <w:r w:rsidRPr="00BB5496">
        <w:rPr>
          <w:rFonts w:ascii="Times New Roman" w:hAnsi="Times New Roman" w:cs="Times New Roman"/>
          <w:b/>
          <w:sz w:val="20"/>
          <w:szCs w:val="20"/>
          <w:lang w:eastAsia="x-none"/>
        </w:rPr>
        <w:t xml:space="preserve">Truncate too large bitfields to match the </w:t>
      </w:r>
      <w:r w:rsidRPr="00BB5496">
        <w:rPr>
          <w:rFonts w:ascii="Times New Roman" w:hAnsi="Times New Roman" w:cs="Times New Roman"/>
          <w:b/>
          <w:color w:val="FF0000"/>
          <w:sz w:val="20"/>
          <w:szCs w:val="20"/>
          <w:lang w:eastAsia="x-none"/>
        </w:rPr>
        <w:t>bitfield size of</w:t>
      </w:r>
      <w:r w:rsidRPr="00BB5496">
        <w:rPr>
          <w:rFonts w:ascii="Times New Roman" w:hAnsi="Times New Roman" w:cs="Times New Roman"/>
          <w:b/>
          <w:sz w:val="20"/>
          <w:szCs w:val="20"/>
          <w:lang w:eastAsia="x-none"/>
        </w:rPr>
        <w:t xml:space="preserve"> new BWP</w:t>
      </w:r>
      <w:r w:rsidRPr="00BB5496">
        <w:rPr>
          <w:rFonts w:ascii="Times New Roman" w:hAnsi="Times New Roman" w:cs="Times New Roman"/>
          <w:b/>
          <w:color w:val="FF0000"/>
          <w:sz w:val="20"/>
          <w:szCs w:val="20"/>
          <w:lang w:eastAsia="x-none"/>
        </w:rPr>
        <w:t xml:space="preserve"> of new BWP to match bitfields of current BWP</w:t>
      </w:r>
      <w:r w:rsidRPr="00BB5496">
        <w:rPr>
          <w:rFonts w:ascii="Times New Roman" w:hAnsi="Times New Roman" w:cs="Times New Roman"/>
          <w:b/>
          <w:sz w:val="20"/>
          <w:szCs w:val="20"/>
          <w:lang w:eastAsia="x-none"/>
        </w:rPr>
        <w:t xml:space="preserve">, UE determines the frequency resource allocation </w:t>
      </w:r>
    </w:p>
    <w:p w14:paraId="45DBD6F2" w14:textId="77777777" w:rsidR="009E3A62" w:rsidRPr="00BB5496" w:rsidRDefault="009E3A62" w:rsidP="009E3A62">
      <w:pPr>
        <w:pStyle w:val="ListParagraph"/>
        <w:numPr>
          <w:ilvl w:val="2"/>
          <w:numId w:val="23"/>
        </w:numPr>
        <w:jc w:val="both"/>
        <w:rPr>
          <w:rFonts w:ascii="Times New Roman" w:eastAsia="Times New Roman" w:hAnsi="Times New Roman" w:cs="Times New Roman"/>
          <w:b/>
          <w:color w:val="FF0000"/>
          <w:sz w:val="20"/>
        </w:rPr>
      </w:pPr>
      <w:r w:rsidRPr="00BB5496">
        <w:rPr>
          <w:rFonts w:ascii="Times New Roman" w:eastAsia="Times New Roman" w:hAnsi="Times New Roman" w:cs="Times New Roman"/>
          <w:b/>
          <w:color w:val="FF0000"/>
          <w:sz w:val="20"/>
        </w:rPr>
        <w:t>When TYPE0 RA bits are all set to 0, the scheduling grant is zero-RA grant</w:t>
      </w:r>
    </w:p>
    <w:p w14:paraId="1DD1D683" w14:textId="77777777" w:rsidR="009E3A62" w:rsidRPr="00BB5496" w:rsidRDefault="009E3A62" w:rsidP="009E3A62">
      <w:pPr>
        <w:pStyle w:val="ListParagraph"/>
        <w:numPr>
          <w:ilvl w:val="2"/>
          <w:numId w:val="23"/>
        </w:numPr>
        <w:jc w:val="both"/>
        <w:rPr>
          <w:rFonts w:ascii="Times New Roman" w:eastAsia="Times New Roman" w:hAnsi="Times New Roman" w:cs="Times New Roman"/>
          <w:b/>
          <w:color w:val="FF0000"/>
          <w:sz w:val="20"/>
        </w:rPr>
      </w:pPr>
      <w:r w:rsidRPr="00BB5496">
        <w:rPr>
          <w:rFonts w:ascii="Times New Roman" w:eastAsia="Times New Roman" w:hAnsi="Times New Roman" w:cs="Times New Roman"/>
          <w:b/>
          <w:color w:val="FF0000"/>
          <w:sz w:val="20"/>
        </w:rPr>
        <w:t>When TYPE1 RA bits are all set to 1, the scheduling grant is zero-RA grant</w:t>
      </w:r>
    </w:p>
    <w:p w14:paraId="161F15D7" w14:textId="77777777" w:rsidR="009E3A62" w:rsidRPr="00BB5496" w:rsidRDefault="009E3A62" w:rsidP="009E3A62">
      <w:pPr>
        <w:pStyle w:val="ListParagraph"/>
        <w:numPr>
          <w:ilvl w:val="0"/>
          <w:numId w:val="23"/>
        </w:numPr>
        <w:jc w:val="both"/>
        <w:rPr>
          <w:rFonts w:ascii="Times New Roman" w:eastAsia="Times New Roman" w:hAnsi="Times New Roman" w:cs="Times New Roman"/>
          <w:sz w:val="20"/>
        </w:rPr>
      </w:pPr>
      <w:r w:rsidRPr="00BB5496">
        <w:rPr>
          <w:rFonts w:ascii="Times New Roman" w:eastAsia="Times New Roman" w:hAnsi="Times New Roman" w:cs="Times New Roman"/>
          <w:b/>
          <w:sz w:val="20"/>
        </w:rPr>
        <w:t>ALT2 (our preference): Do not confirm the WA. Instead,</w:t>
      </w:r>
      <w:r w:rsidRPr="00BB5496">
        <w:rPr>
          <w:rFonts w:ascii="Times New Roman" w:eastAsia="Times New Roman" w:hAnsi="Times New Roman" w:cs="Times New Roman"/>
          <w:sz w:val="20"/>
        </w:rPr>
        <w:t xml:space="preserve"> </w:t>
      </w:r>
      <w:r w:rsidRPr="00BB5496">
        <w:rPr>
          <w:rFonts w:ascii="Times New Roman" w:hAnsi="Times New Roman" w:cs="Times New Roman"/>
          <w:b/>
          <w:bCs/>
          <w:sz w:val="20"/>
          <w:lang w:val="en-GB"/>
        </w:rPr>
        <w:t xml:space="preserve">UE assumes, a bitfield size in DCI format 1_1 or 0_1 is determined by the largest required bitfield size across the configured BWPs, DL BWPs for a DL assignment and UL BWPs for a UL grant. </w:t>
      </w:r>
    </w:p>
    <w:p w14:paraId="4195A010" w14:textId="77777777" w:rsidR="009E3A62" w:rsidRPr="00D510E2" w:rsidRDefault="009E3A62" w:rsidP="009E3A62">
      <w:pPr>
        <w:pStyle w:val="ListParagraph"/>
        <w:numPr>
          <w:ilvl w:val="1"/>
          <w:numId w:val="23"/>
        </w:numPr>
        <w:jc w:val="both"/>
        <w:rPr>
          <w:rFonts w:ascii="Times New Roman" w:eastAsia="Times New Roman" w:hAnsi="Times New Roman" w:cs="Times New Roman"/>
        </w:rPr>
      </w:pPr>
      <w:r w:rsidRPr="00BB5496">
        <w:rPr>
          <w:rFonts w:ascii="Times New Roman" w:hAnsi="Times New Roman" w:cs="Times New Roman"/>
          <w:b/>
          <w:bCs/>
          <w:sz w:val="20"/>
          <w:lang w:val="en-GB"/>
        </w:rPr>
        <w:t>UE truncates too large bitfields in the DCI to match the scheduled BWP.</w:t>
      </w:r>
      <w:r w:rsidRPr="00D510E2">
        <w:rPr>
          <w:rFonts w:ascii="Times New Roman" w:eastAsia="Times New Roman" w:hAnsi="Times New Roman" w:cs="Times New Roman"/>
        </w:rPr>
        <w:tab/>
      </w:r>
    </w:p>
    <w:p w14:paraId="242A602E" w14:textId="77777777" w:rsidR="009E3A62" w:rsidRDefault="009E3A62" w:rsidP="009E3A62">
      <w:pPr>
        <w:spacing w:after="0"/>
        <w:jc w:val="both"/>
        <w:rPr>
          <w:rFonts w:eastAsia="Calibri"/>
        </w:rPr>
      </w:pPr>
    </w:p>
    <w:p w14:paraId="08B87A70" w14:textId="77777777" w:rsidR="009E3A62" w:rsidRPr="005A0B0A" w:rsidRDefault="009E3A62" w:rsidP="009E3A62">
      <w:pPr>
        <w:spacing w:after="0"/>
        <w:jc w:val="both"/>
        <w:rPr>
          <w:rFonts w:ascii="Times New Roman" w:eastAsia="Calibri" w:hAnsi="Times New Roman" w:cs="Times New Roman"/>
          <w:b/>
          <w:sz w:val="20"/>
        </w:rPr>
      </w:pPr>
      <w:r w:rsidRPr="005A0B0A">
        <w:rPr>
          <w:rFonts w:ascii="Times New Roman" w:eastAsia="Calibri" w:hAnsi="Times New Roman" w:cs="Times New Roman"/>
          <w:b/>
          <w:sz w:val="20"/>
        </w:rPr>
        <w:lastRenderedPageBreak/>
        <w:t xml:space="preserve">Observation-4: To avoid HARQ-ACK dropping, the gNB would be forced to transmit switching DCIs in the first slot of the DL association set. This resulting in BWP switching delay.  </w:t>
      </w:r>
    </w:p>
    <w:p w14:paraId="7EE3E0CE" w14:textId="77777777" w:rsidR="009E3A62" w:rsidRDefault="009E3A62" w:rsidP="009E3A62">
      <w:pPr>
        <w:spacing w:after="0"/>
        <w:jc w:val="both"/>
        <w:rPr>
          <w:rFonts w:ascii="Times New Roman" w:eastAsia="Calibri" w:hAnsi="Times New Roman" w:cs="Times New Roman"/>
          <w:b/>
          <w:sz w:val="20"/>
          <w:szCs w:val="20"/>
        </w:rPr>
      </w:pPr>
    </w:p>
    <w:p w14:paraId="283DD73B" w14:textId="4EE694B6" w:rsidR="009E3A62" w:rsidRPr="005A0B0A" w:rsidRDefault="009E3A62" w:rsidP="009E3A62">
      <w:pPr>
        <w:spacing w:after="0"/>
        <w:jc w:val="both"/>
        <w:rPr>
          <w:rFonts w:ascii="Times New Roman" w:eastAsia="Calibri" w:hAnsi="Times New Roman" w:cs="Times New Roman"/>
          <w:b/>
          <w:sz w:val="20"/>
          <w:szCs w:val="20"/>
        </w:rPr>
      </w:pPr>
      <w:r w:rsidRPr="005A0B0A">
        <w:rPr>
          <w:rFonts w:ascii="Times New Roman" w:eastAsia="Calibri" w:hAnsi="Times New Roman" w:cs="Times New Roman"/>
          <w:b/>
          <w:sz w:val="20"/>
          <w:szCs w:val="20"/>
        </w:rPr>
        <w:t>Proposal-2: Generalize the current agreement accordingly:</w:t>
      </w:r>
    </w:p>
    <w:p w14:paraId="6776C347" w14:textId="77777777" w:rsidR="009E3A62" w:rsidRPr="005A0B0A" w:rsidRDefault="009E3A62" w:rsidP="009E3A62">
      <w:pPr>
        <w:numPr>
          <w:ilvl w:val="0"/>
          <w:numId w:val="33"/>
        </w:numPr>
        <w:autoSpaceDN w:val="0"/>
        <w:spacing w:after="0" w:line="256" w:lineRule="auto"/>
        <w:rPr>
          <w:rFonts w:ascii="Times New Roman" w:eastAsia="Calibri" w:hAnsi="Times New Roman" w:cs="Times New Roman"/>
          <w:b/>
          <w:sz w:val="20"/>
          <w:szCs w:val="20"/>
          <w:lang w:eastAsia="x-none"/>
        </w:rPr>
      </w:pPr>
      <w:r w:rsidRPr="005A0B0A">
        <w:rPr>
          <w:rFonts w:ascii="Times New Roman" w:eastAsia="Calibri" w:hAnsi="Times New Roman" w:cs="Times New Roman"/>
          <w:b/>
          <w:strike/>
          <w:color w:val="FF0000"/>
          <w:sz w:val="20"/>
          <w:szCs w:val="20"/>
          <w:lang w:eastAsia="x-none"/>
        </w:rPr>
        <w:t xml:space="preserve">When a UE is configured with Semi-static HARQ-ACK Codebook, </w:t>
      </w:r>
      <w:r w:rsidRPr="005A0B0A">
        <w:rPr>
          <w:rFonts w:ascii="Times New Roman" w:eastAsia="Calibri" w:hAnsi="Times New Roman" w:cs="Times New Roman"/>
          <w:b/>
          <w:sz w:val="20"/>
          <w:szCs w:val="20"/>
          <w:lang w:eastAsia="x-none"/>
        </w:rPr>
        <w:t xml:space="preserve">HARQ-ACK corresponding to PDSCH transmission(s) of the DL BWP before DL and/or UL BWP switching is not transmitted by the UE after the switching </w:t>
      </w:r>
    </w:p>
    <w:p w14:paraId="295F7A61" w14:textId="77777777" w:rsidR="009E3A62" w:rsidRDefault="009E3A62" w:rsidP="009E3A62">
      <w:pPr>
        <w:spacing w:after="0" w:line="240" w:lineRule="auto"/>
        <w:jc w:val="both"/>
        <w:rPr>
          <w:rFonts w:ascii="Times New Roman" w:eastAsia="SimSun" w:hAnsi="Times New Roman" w:cs="Times New Roman"/>
          <w:b/>
          <w:bCs/>
          <w:sz w:val="20"/>
        </w:rPr>
      </w:pPr>
    </w:p>
    <w:p w14:paraId="522E7A9F" w14:textId="0309C88D" w:rsidR="009E3A62" w:rsidRPr="005A0B0A" w:rsidRDefault="009E3A62" w:rsidP="009E3A62">
      <w:pPr>
        <w:spacing w:after="0" w:line="240" w:lineRule="auto"/>
        <w:jc w:val="both"/>
        <w:rPr>
          <w:rFonts w:ascii="Times New Roman" w:hAnsi="Times New Roman" w:cs="Times New Roman"/>
          <w:b/>
          <w:sz w:val="20"/>
        </w:rPr>
      </w:pPr>
      <w:r w:rsidRPr="005A0B0A">
        <w:rPr>
          <w:rFonts w:ascii="Times New Roman" w:eastAsia="SimSun" w:hAnsi="Times New Roman" w:cs="Times New Roman"/>
          <w:b/>
          <w:bCs/>
          <w:sz w:val="20"/>
        </w:rPr>
        <w:t>Proposal-</w:t>
      </w:r>
      <w:r>
        <w:rPr>
          <w:rFonts w:ascii="Times New Roman" w:eastAsia="SimSun" w:hAnsi="Times New Roman" w:cs="Times New Roman"/>
          <w:b/>
          <w:bCs/>
          <w:sz w:val="20"/>
        </w:rPr>
        <w:t>3</w:t>
      </w:r>
      <w:r w:rsidRPr="005A0B0A">
        <w:rPr>
          <w:rFonts w:ascii="Times New Roman" w:eastAsia="SimSun" w:hAnsi="Times New Roman" w:cs="Times New Roman"/>
          <w:b/>
          <w:bCs/>
          <w:sz w:val="20"/>
        </w:rPr>
        <w:t xml:space="preserve">: In R16 consider the following: When </w:t>
      </w:r>
      <w:r w:rsidRPr="005A0B0A">
        <w:rPr>
          <w:rFonts w:ascii="Times New Roman" w:hAnsi="Times New Roman" w:cs="Times New Roman"/>
          <w:b/>
          <w:sz w:val="20"/>
        </w:rPr>
        <w:t xml:space="preserve">UL BWP is switched between the reception of the corresponding DL assignment and the time of HARQ-ACK transmission, HARQ-ACK bits are mapped on </w:t>
      </w:r>
    </w:p>
    <w:p w14:paraId="5C22FAF4" w14:textId="77777777" w:rsidR="009E3A62" w:rsidRPr="005A0B0A" w:rsidRDefault="009E3A62" w:rsidP="009E3A62">
      <w:pPr>
        <w:pStyle w:val="ListParagraph"/>
        <w:numPr>
          <w:ilvl w:val="0"/>
          <w:numId w:val="17"/>
        </w:numPr>
        <w:spacing w:after="0" w:line="240" w:lineRule="auto"/>
        <w:jc w:val="both"/>
        <w:rPr>
          <w:rFonts w:ascii="Times New Roman" w:hAnsi="Times New Roman" w:cs="Times New Roman"/>
          <w:b/>
          <w:sz w:val="20"/>
        </w:rPr>
      </w:pPr>
      <w:r w:rsidRPr="005A0B0A">
        <w:rPr>
          <w:rFonts w:ascii="Times New Roman" w:hAnsi="Times New Roman" w:cs="Times New Roman"/>
          <w:b/>
          <w:sz w:val="20"/>
        </w:rPr>
        <w:t xml:space="preserve">PUCCH resource and slot indicated by the BW switching DL assignment by ARI and K1 </w:t>
      </w:r>
    </w:p>
    <w:p w14:paraId="450250A3" w14:textId="77777777" w:rsidR="009E3A62" w:rsidRPr="005A0B0A" w:rsidRDefault="009E3A62" w:rsidP="009E3A62">
      <w:pPr>
        <w:pStyle w:val="ListParagraph"/>
        <w:numPr>
          <w:ilvl w:val="0"/>
          <w:numId w:val="17"/>
        </w:numPr>
        <w:spacing w:after="0" w:line="240" w:lineRule="auto"/>
        <w:jc w:val="both"/>
        <w:rPr>
          <w:rFonts w:ascii="Times New Roman" w:eastAsia="SimSun" w:hAnsi="Times New Roman" w:cs="Times New Roman"/>
          <w:b/>
          <w:bCs/>
          <w:sz w:val="20"/>
        </w:rPr>
      </w:pPr>
      <w:r w:rsidRPr="005A0B0A">
        <w:rPr>
          <w:rFonts w:ascii="Times New Roman" w:hAnsi="Times New Roman" w:cs="Times New Roman"/>
          <w:b/>
          <w:sz w:val="20"/>
        </w:rPr>
        <w:t>Piggy-backed on the PUSCH granted by the switching UL grant</w:t>
      </w:r>
    </w:p>
    <w:p w14:paraId="04DC4992" w14:textId="77777777" w:rsidR="009E3A62" w:rsidRPr="005A0B0A" w:rsidRDefault="009E3A62" w:rsidP="009E3A62">
      <w:pPr>
        <w:jc w:val="both"/>
        <w:rPr>
          <w:rFonts w:ascii="Times New Roman" w:hAnsi="Times New Roman" w:cs="Times New Roman"/>
          <w:sz w:val="20"/>
          <w:lang w:val="en-GB"/>
        </w:rPr>
      </w:pPr>
      <w:r w:rsidRPr="005A0B0A">
        <w:rPr>
          <w:rFonts w:ascii="Times New Roman" w:hAnsi="Times New Roman" w:cs="Times New Roman"/>
          <w:b/>
          <w:sz w:val="20"/>
          <w:lang w:val="en-GB"/>
        </w:rPr>
        <w:t>Observation-</w:t>
      </w:r>
      <w:r>
        <w:rPr>
          <w:rFonts w:ascii="Times New Roman" w:hAnsi="Times New Roman" w:cs="Times New Roman"/>
          <w:b/>
          <w:sz w:val="20"/>
          <w:lang w:val="en-GB"/>
        </w:rPr>
        <w:t>5</w:t>
      </w:r>
      <w:r w:rsidRPr="005A0B0A">
        <w:rPr>
          <w:rFonts w:ascii="Times New Roman" w:hAnsi="Times New Roman" w:cs="Times New Roman"/>
          <w:b/>
          <w:sz w:val="20"/>
          <w:lang w:val="en-GB"/>
        </w:rPr>
        <w:t>: In R15, no additional mechanism is required for fast CSI acquisition on the active BWP after switching transition period. In R16, study the benefits of fast CSI acquisition optimized for the BWP switching.</w:t>
      </w:r>
      <w:r w:rsidRPr="005A0B0A">
        <w:rPr>
          <w:rFonts w:ascii="Times New Roman" w:hAnsi="Times New Roman" w:cs="Times New Roman"/>
          <w:sz w:val="20"/>
          <w:lang w:val="en-GB"/>
        </w:rPr>
        <w:t xml:space="preserve"> </w:t>
      </w:r>
    </w:p>
    <w:p w14:paraId="11FF1D0A" w14:textId="77777777" w:rsidR="009E3A62" w:rsidRPr="005A0B0A" w:rsidRDefault="009E3A62" w:rsidP="009E3A62">
      <w:pPr>
        <w:jc w:val="both"/>
        <w:rPr>
          <w:rFonts w:ascii="Times New Roman" w:hAnsi="Times New Roman" w:cs="Times New Roman"/>
          <w:b/>
          <w:bCs/>
          <w:sz w:val="20"/>
          <w:szCs w:val="20"/>
        </w:rPr>
      </w:pPr>
      <w:r w:rsidRPr="005A0B0A">
        <w:rPr>
          <w:rFonts w:ascii="Times New Roman" w:hAnsi="Times New Roman" w:cs="Times New Roman"/>
          <w:b/>
          <w:bCs/>
          <w:sz w:val="20"/>
          <w:szCs w:val="20"/>
        </w:rPr>
        <w:t xml:space="preserve">Proposal-3: Adopt the RAN2 </w:t>
      </w:r>
      <w:r>
        <w:rPr>
          <w:rFonts w:ascii="Times New Roman" w:hAnsi="Times New Roman" w:cs="Times New Roman"/>
          <w:b/>
          <w:bCs/>
          <w:sz w:val="20"/>
          <w:szCs w:val="20"/>
        </w:rPr>
        <w:t>configuration of point A</w:t>
      </w:r>
      <w:r w:rsidRPr="005A0B0A">
        <w:rPr>
          <w:rFonts w:ascii="Times New Roman" w:hAnsi="Times New Roman" w:cs="Times New Roman"/>
          <w:b/>
          <w:bCs/>
          <w:sz w:val="20"/>
          <w:szCs w:val="20"/>
        </w:rPr>
        <w:t xml:space="preserve"> in RAN1. </w:t>
      </w:r>
    </w:p>
    <w:p w14:paraId="4E7D96F4" w14:textId="4314FAD6" w:rsidR="00EA7690" w:rsidRDefault="00EA7690" w:rsidP="0036702F">
      <w:pPr>
        <w:jc w:val="both"/>
        <w:rPr>
          <w:rFonts w:ascii="Times New Roman" w:eastAsia="Times New Roman" w:hAnsi="Times New Roman" w:cs="Times New Roman"/>
          <w:b/>
        </w:rPr>
      </w:pPr>
    </w:p>
    <w:p w14:paraId="5C0A8F1E" w14:textId="77777777" w:rsidR="00EA7690" w:rsidRPr="00D64318" w:rsidRDefault="00EA7690" w:rsidP="00EA7690">
      <w:pPr>
        <w:pStyle w:val="Heading1"/>
        <w:numPr>
          <w:ilvl w:val="0"/>
          <w:numId w:val="0"/>
        </w:numPr>
      </w:pPr>
      <w:r w:rsidRPr="00D64318">
        <w:t xml:space="preserve">References </w:t>
      </w:r>
    </w:p>
    <w:p w14:paraId="47E9FAB9" w14:textId="6231917C" w:rsidR="00EA7690" w:rsidRDefault="00331FE7" w:rsidP="00331FE7">
      <w:pPr>
        <w:numPr>
          <w:ilvl w:val="0"/>
          <w:numId w:val="31"/>
        </w:numPr>
        <w:autoSpaceDN w:val="0"/>
        <w:spacing w:line="254" w:lineRule="auto"/>
        <w:rPr>
          <w:sz w:val="18"/>
          <w:szCs w:val="18"/>
        </w:rPr>
      </w:pPr>
      <w:bookmarkStart w:id="21" w:name="_Ref510623357"/>
      <w:r w:rsidRPr="00331FE7">
        <w:rPr>
          <w:sz w:val="18"/>
          <w:szCs w:val="18"/>
        </w:rPr>
        <w:t>R1-1804614</w:t>
      </w:r>
      <w:r w:rsidR="00EA7690">
        <w:rPr>
          <w:sz w:val="18"/>
          <w:szCs w:val="18"/>
        </w:rPr>
        <w:t>, “</w:t>
      </w:r>
      <w:r w:rsidR="000D330F" w:rsidRPr="000D330F">
        <w:rPr>
          <w:sz w:val="18"/>
          <w:szCs w:val="18"/>
        </w:rPr>
        <w:t>On the alignment of DCI format sizes</w:t>
      </w:r>
      <w:r w:rsidR="00EA7690">
        <w:rPr>
          <w:sz w:val="18"/>
          <w:szCs w:val="18"/>
        </w:rPr>
        <w:t>”, RAN1#92b, Nokia, N</w:t>
      </w:r>
      <w:r w:rsidR="000D330F">
        <w:rPr>
          <w:sz w:val="18"/>
          <w:szCs w:val="18"/>
        </w:rPr>
        <w:t>okia Shanghai Bell</w:t>
      </w:r>
      <w:bookmarkEnd w:id="21"/>
      <w:r w:rsidR="00EA7690">
        <w:rPr>
          <w:sz w:val="18"/>
          <w:szCs w:val="18"/>
        </w:rPr>
        <w:t xml:space="preserve"> </w:t>
      </w:r>
    </w:p>
    <w:p w14:paraId="16E7C8AC" w14:textId="77777777" w:rsidR="00EA7690" w:rsidRDefault="00EA7690" w:rsidP="0036702F">
      <w:pPr>
        <w:jc w:val="both"/>
        <w:rPr>
          <w:rFonts w:ascii="Times New Roman" w:hAnsi="Times New Roman" w:cs="Times New Roman"/>
          <w:b/>
          <w:bCs/>
        </w:rPr>
      </w:pPr>
    </w:p>
    <w:p w14:paraId="53065A58" w14:textId="37B399F4" w:rsidR="00EB6DC0" w:rsidRPr="00D64318" w:rsidRDefault="00EB6DC0" w:rsidP="00C50634">
      <w:pPr>
        <w:pStyle w:val="Heading1"/>
        <w:numPr>
          <w:ilvl w:val="0"/>
          <w:numId w:val="0"/>
        </w:numPr>
      </w:pPr>
      <w:r w:rsidRPr="00D64318">
        <w:t xml:space="preserve">Appendix </w:t>
      </w:r>
      <w:r w:rsidR="00C1054A">
        <w:t xml:space="preserve">A </w:t>
      </w:r>
      <w:bookmarkStart w:id="22" w:name="_GoBack"/>
      <w:bookmarkEnd w:id="22"/>
      <w:r w:rsidRPr="00D64318">
        <w:t>– On transmission of HARQ-ACK feedback</w:t>
      </w:r>
      <w:r w:rsidR="00226537">
        <w:t xml:space="preserve"> for PDSCH transmitted</w:t>
      </w:r>
      <w:r w:rsidRPr="00D64318">
        <w:t xml:space="preserve"> before the </w:t>
      </w:r>
      <w:r w:rsidR="00226537">
        <w:t xml:space="preserve">BWP </w:t>
      </w:r>
      <w:r w:rsidRPr="00D64318">
        <w:t>switch</w:t>
      </w:r>
    </w:p>
    <w:p w14:paraId="7CA9597F" w14:textId="793669C5" w:rsidR="00EB6DC0" w:rsidRPr="005A0B0A" w:rsidRDefault="00226537" w:rsidP="00EB6DC0">
      <w:pPr>
        <w:spacing w:after="0" w:line="240" w:lineRule="auto"/>
        <w:jc w:val="both"/>
        <w:rPr>
          <w:rFonts w:ascii="Times New Roman" w:hAnsi="Times New Roman" w:cs="Times New Roman"/>
          <w:sz w:val="20"/>
        </w:rPr>
      </w:pPr>
      <w:r>
        <w:rPr>
          <w:rFonts w:ascii="Times New Roman" w:hAnsi="Times New Roman" w:cs="Times New Roman"/>
          <w:sz w:val="20"/>
        </w:rPr>
        <w:t xml:space="preserve">We propose </w:t>
      </w:r>
      <w:r w:rsidR="00EB6DC0" w:rsidRPr="005A0B0A">
        <w:rPr>
          <w:rFonts w:ascii="Times New Roman" w:hAnsi="Times New Roman" w:cs="Times New Roman"/>
          <w:sz w:val="20"/>
        </w:rPr>
        <w:t>the HARQ-ACK bits are not dropped</w:t>
      </w:r>
      <w:r>
        <w:rPr>
          <w:rFonts w:ascii="Times New Roman" w:hAnsi="Times New Roman" w:cs="Times New Roman"/>
          <w:sz w:val="20"/>
        </w:rPr>
        <w:t xml:space="preserve"> as Proposal-2 suggests for R15</w:t>
      </w:r>
      <w:r w:rsidR="00EB6DC0" w:rsidRPr="005A0B0A">
        <w:rPr>
          <w:rFonts w:ascii="Times New Roman" w:hAnsi="Times New Roman" w:cs="Times New Roman"/>
          <w:sz w:val="20"/>
        </w:rPr>
        <w:t>, but mapped instead on the</w:t>
      </w:r>
    </w:p>
    <w:p w14:paraId="07DB45D1" w14:textId="1A66D7A3" w:rsidR="00EB6DC0" w:rsidRPr="005A0B0A" w:rsidRDefault="00EB6DC0" w:rsidP="00EB6DC0">
      <w:pPr>
        <w:pStyle w:val="ListParagraph"/>
        <w:numPr>
          <w:ilvl w:val="0"/>
          <w:numId w:val="17"/>
        </w:numPr>
        <w:spacing w:after="0" w:line="240" w:lineRule="auto"/>
        <w:jc w:val="both"/>
        <w:rPr>
          <w:rFonts w:ascii="Times New Roman" w:hAnsi="Times New Roman" w:cs="Times New Roman"/>
          <w:sz w:val="20"/>
        </w:rPr>
      </w:pPr>
      <w:r w:rsidRPr="005A0B0A">
        <w:rPr>
          <w:rFonts w:ascii="Times New Roman" w:hAnsi="Times New Roman" w:cs="Times New Roman"/>
          <w:sz w:val="20"/>
        </w:rPr>
        <w:t xml:space="preserve">Case 1: PUCCH resource and slot indicated by the BW switching DL assignment (Figure </w:t>
      </w:r>
      <w:r w:rsidR="00C50634">
        <w:rPr>
          <w:rFonts w:ascii="Times New Roman" w:hAnsi="Times New Roman" w:cs="Times New Roman"/>
          <w:sz w:val="20"/>
        </w:rPr>
        <w:t>8</w:t>
      </w:r>
      <w:r w:rsidRPr="005A0B0A">
        <w:rPr>
          <w:rFonts w:ascii="Times New Roman" w:hAnsi="Times New Roman" w:cs="Times New Roman"/>
          <w:sz w:val="20"/>
        </w:rPr>
        <w:t>)</w:t>
      </w:r>
    </w:p>
    <w:p w14:paraId="02120CF7" w14:textId="0DBDA5DE" w:rsidR="00EB6DC0" w:rsidRPr="005A0B0A" w:rsidRDefault="00EB6DC0" w:rsidP="00EB6DC0">
      <w:pPr>
        <w:pStyle w:val="ListParagraph"/>
        <w:numPr>
          <w:ilvl w:val="0"/>
          <w:numId w:val="17"/>
        </w:numPr>
        <w:spacing w:after="0" w:line="240" w:lineRule="auto"/>
        <w:jc w:val="both"/>
        <w:rPr>
          <w:rFonts w:ascii="Times New Roman" w:hAnsi="Times New Roman" w:cs="Times New Roman"/>
          <w:sz w:val="20"/>
        </w:rPr>
      </w:pPr>
      <w:r w:rsidRPr="005A0B0A">
        <w:rPr>
          <w:rFonts w:ascii="Times New Roman" w:hAnsi="Times New Roman" w:cs="Times New Roman"/>
          <w:sz w:val="20"/>
        </w:rPr>
        <w:t xml:space="preserve">Case 2: Piggy-backed on the PUSCH granted by the switching UL grant (Figure </w:t>
      </w:r>
      <w:r w:rsidR="00C50634">
        <w:rPr>
          <w:rFonts w:ascii="Times New Roman" w:hAnsi="Times New Roman" w:cs="Times New Roman"/>
          <w:sz w:val="20"/>
        </w:rPr>
        <w:t>9</w:t>
      </w:r>
      <w:r w:rsidRPr="005A0B0A">
        <w:rPr>
          <w:rFonts w:ascii="Times New Roman" w:hAnsi="Times New Roman" w:cs="Times New Roman"/>
          <w:sz w:val="20"/>
        </w:rPr>
        <w:t>)</w:t>
      </w:r>
    </w:p>
    <w:p w14:paraId="09880F63" w14:textId="77777777" w:rsidR="00EB6DC0" w:rsidRPr="005A0B0A" w:rsidRDefault="00EB6DC0" w:rsidP="00EB6DC0">
      <w:pPr>
        <w:spacing w:after="0" w:line="240" w:lineRule="auto"/>
        <w:jc w:val="both"/>
        <w:rPr>
          <w:rFonts w:ascii="Times New Roman" w:hAnsi="Times New Roman" w:cs="Times New Roman"/>
          <w:sz w:val="20"/>
        </w:rPr>
      </w:pPr>
    </w:p>
    <w:p w14:paraId="43C31086" w14:textId="77777777" w:rsidR="00EB6DC0" w:rsidRPr="005A0B0A" w:rsidRDefault="00EB6DC0" w:rsidP="00EB6DC0">
      <w:pPr>
        <w:spacing w:after="0" w:line="240" w:lineRule="auto"/>
        <w:jc w:val="both"/>
        <w:rPr>
          <w:rFonts w:ascii="Times New Roman" w:hAnsi="Times New Roman" w:cs="Times New Roman"/>
          <w:sz w:val="20"/>
        </w:rPr>
      </w:pPr>
    </w:p>
    <w:p w14:paraId="2D5DC10F" w14:textId="2EA1BC53" w:rsidR="00EB6DC0" w:rsidRPr="005A0B0A" w:rsidRDefault="00EB6DC0" w:rsidP="00EB6DC0">
      <w:pPr>
        <w:spacing w:after="0" w:line="240" w:lineRule="auto"/>
        <w:jc w:val="both"/>
        <w:rPr>
          <w:rFonts w:ascii="Times New Roman" w:hAnsi="Times New Roman" w:cs="Times New Roman"/>
          <w:sz w:val="20"/>
        </w:rPr>
      </w:pPr>
      <w:r w:rsidRPr="005A0B0A">
        <w:rPr>
          <w:rFonts w:ascii="Times New Roman" w:hAnsi="Times New Roman" w:cs="Times New Roman"/>
          <w:sz w:val="20"/>
        </w:rPr>
        <w:t xml:space="preserve">This can be shown on the examples in Figure </w:t>
      </w:r>
      <w:r w:rsidR="00C50634">
        <w:rPr>
          <w:rFonts w:ascii="Times New Roman" w:hAnsi="Times New Roman" w:cs="Times New Roman"/>
          <w:sz w:val="20"/>
        </w:rPr>
        <w:t>8</w:t>
      </w:r>
      <w:r w:rsidRPr="005A0B0A">
        <w:rPr>
          <w:rFonts w:ascii="Times New Roman" w:hAnsi="Times New Roman" w:cs="Times New Roman"/>
          <w:sz w:val="20"/>
        </w:rPr>
        <w:t xml:space="preserve"> and </w:t>
      </w:r>
      <w:r w:rsidR="00C50634">
        <w:rPr>
          <w:rFonts w:ascii="Times New Roman" w:hAnsi="Times New Roman" w:cs="Times New Roman"/>
          <w:sz w:val="20"/>
        </w:rPr>
        <w:t>9</w:t>
      </w:r>
      <w:r w:rsidRPr="005A0B0A">
        <w:rPr>
          <w:rFonts w:ascii="Times New Roman" w:hAnsi="Times New Roman" w:cs="Times New Roman"/>
          <w:sz w:val="20"/>
        </w:rPr>
        <w:t xml:space="preserve">, where we assume transition period T below 6GHz is 2ms, which corresponds to 4 slots of 30kHz spacing, starting immediately after the switching DCI is received and we also assume it works in TDD mode with 6-slot periodicity of the following configuration (DL, DL, DL, Unknown, UL, UL, UL) which is not aligned with NR, but used for illustration simplicity. </w:t>
      </w:r>
    </w:p>
    <w:p w14:paraId="00C42595" w14:textId="77777777" w:rsidR="00EB6DC0" w:rsidRPr="005A0B0A" w:rsidRDefault="00EB6DC0" w:rsidP="00EB6DC0">
      <w:pPr>
        <w:spacing w:after="0" w:line="240" w:lineRule="auto"/>
        <w:jc w:val="both"/>
        <w:rPr>
          <w:rFonts w:ascii="Times New Roman" w:hAnsi="Times New Roman" w:cs="Times New Roman"/>
          <w:sz w:val="20"/>
        </w:rPr>
      </w:pPr>
    </w:p>
    <w:p w14:paraId="7FE28364" w14:textId="77777777" w:rsidR="00EB6DC0" w:rsidRPr="005A0B0A" w:rsidRDefault="00EB6DC0" w:rsidP="00EB6DC0">
      <w:pPr>
        <w:spacing w:after="0" w:line="240" w:lineRule="auto"/>
        <w:jc w:val="both"/>
        <w:rPr>
          <w:rFonts w:ascii="Times New Roman" w:hAnsi="Times New Roman" w:cs="Times New Roman"/>
          <w:sz w:val="20"/>
        </w:rPr>
      </w:pPr>
      <w:r w:rsidRPr="005A0B0A">
        <w:rPr>
          <w:rFonts w:ascii="Times New Roman" w:hAnsi="Times New Roman" w:cs="Times New Roman"/>
          <w:b/>
          <w:sz w:val="20"/>
        </w:rPr>
        <w:t>Case 1: For BWP switching triggered DL assignment</w:t>
      </w:r>
      <w:r w:rsidRPr="005A0B0A">
        <w:rPr>
          <w:rFonts w:ascii="Times New Roman" w:hAnsi="Times New Roman" w:cs="Times New Roman"/>
          <w:sz w:val="20"/>
        </w:rPr>
        <w:t>, the details are as follows: In the current active BWP, one switching DL assignment is received in the slot #n+1, while before that, in slot #n and #n-1, DL data is received already. If for PDSCH in slot #n, K1 (the PDSCH slot to PUCCH slot) is indicated as 3, which means HARQ-ACK should be transmitted in #n+3 slot on the preconfigured PUCCH resource. But during this transition period from #n+1 to #n+4 slot there should not be any data transmission between gNB and UE for RF’s retuning and ADC/DAC’s adjusting, etc. In such case, the UE transmits the UCI bits scheduled to slot #n+3 in slot #n+9, which is the slot indicated by fields K0+K1 in switching DL assignment.</w:t>
      </w:r>
    </w:p>
    <w:p w14:paraId="2FD7915C" w14:textId="77777777" w:rsidR="00EB6DC0" w:rsidRPr="005A0B0A" w:rsidRDefault="00EB6DC0" w:rsidP="00EB6DC0">
      <w:pPr>
        <w:spacing w:after="0" w:line="240" w:lineRule="auto"/>
        <w:jc w:val="both"/>
        <w:rPr>
          <w:rFonts w:ascii="Times New Roman" w:hAnsi="Times New Roman" w:cs="Times New Roman"/>
          <w:sz w:val="20"/>
        </w:rPr>
      </w:pPr>
    </w:p>
    <w:p w14:paraId="7BF0495D" w14:textId="77777777" w:rsidR="00EB6DC0" w:rsidRPr="005A0B0A" w:rsidRDefault="00EB6DC0" w:rsidP="00EB6DC0">
      <w:pPr>
        <w:spacing w:after="0" w:line="240" w:lineRule="auto"/>
        <w:jc w:val="both"/>
        <w:rPr>
          <w:rFonts w:ascii="Times New Roman" w:hAnsi="Times New Roman" w:cs="Times New Roman"/>
          <w:sz w:val="20"/>
        </w:rPr>
      </w:pPr>
      <w:r w:rsidRPr="005A0B0A">
        <w:rPr>
          <w:rFonts w:ascii="Times New Roman" w:hAnsi="Times New Roman" w:cs="Times New Roman"/>
          <w:b/>
          <w:sz w:val="20"/>
        </w:rPr>
        <w:t>Case 2: For BWP switching triggered by UL grant</w:t>
      </w:r>
      <w:r w:rsidRPr="005A0B0A">
        <w:rPr>
          <w:rFonts w:ascii="Times New Roman" w:hAnsi="Times New Roman" w:cs="Times New Roman"/>
          <w:sz w:val="20"/>
        </w:rPr>
        <w:t>, the details are as follows: In the current active BWP, one switching UL grant is received in the slot #n+1, while before that in slot #n, DL data is received already. Same transition period exists as in above case. But since the switching UL grant, transmitted in slot n+1, schedules PUSCH in slot n+5 (K1=4) in new UL BWP, the UCI bits falling in the transition period T are piggy-backed on that PUSCH.</w:t>
      </w:r>
    </w:p>
    <w:p w14:paraId="4C3B77E9" w14:textId="77777777" w:rsidR="00EB6DC0" w:rsidRPr="005A0B0A" w:rsidRDefault="00EB6DC0" w:rsidP="00EB6DC0">
      <w:pPr>
        <w:spacing w:after="0" w:line="240" w:lineRule="auto"/>
        <w:jc w:val="both"/>
        <w:rPr>
          <w:rFonts w:ascii="Times New Roman" w:hAnsi="Times New Roman" w:cs="Times New Roman"/>
          <w:sz w:val="20"/>
        </w:rPr>
      </w:pPr>
    </w:p>
    <w:p w14:paraId="2073FAB1" w14:textId="77777777" w:rsidR="00EB6DC0" w:rsidRPr="005A0B0A" w:rsidRDefault="00EB6DC0" w:rsidP="00EB6DC0">
      <w:pPr>
        <w:spacing w:after="0" w:line="240" w:lineRule="auto"/>
        <w:jc w:val="both"/>
        <w:rPr>
          <w:rFonts w:ascii="Times New Roman" w:hAnsi="Times New Roman" w:cs="Times New Roman"/>
          <w:sz w:val="20"/>
        </w:rPr>
      </w:pPr>
      <w:r w:rsidRPr="005A0B0A">
        <w:rPr>
          <w:rFonts w:ascii="Times New Roman" w:hAnsi="Times New Roman" w:cs="Times New Roman"/>
          <w:sz w:val="20"/>
        </w:rPr>
        <w:t>Furthermore, if multiple UCI codebooks fall within the transition period T as shown in 2a, the UCI codebooks (one for each dropped PUCCH) could be mapped as sub-codebooks on PUCCH indicated by switching DL assignment, or piggy-backed on PUSCH scheduled by switching UL grant.</w:t>
      </w:r>
    </w:p>
    <w:p w14:paraId="1C651200" w14:textId="77777777" w:rsidR="00EB6DC0" w:rsidRPr="005A0B0A" w:rsidRDefault="00EB6DC0" w:rsidP="00EB6DC0">
      <w:pPr>
        <w:spacing w:after="0" w:line="240" w:lineRule="auto"/>
        <w:jc w:val="both"/>
        <w:rPr>
          <w:rFonts w:ascii="Times New Roman" w:hAnsi="Times New Roman" w:cs="Times New Roman"/>
          <w:sz w:val="20"/>
        </w:rPr>
      </w:pPr>
    </w:p>
    <w:p w14:paraId="6C70383A" w14:textId="77777777" w:rsidR="00EB6DC0" w:rsidRPr="005A0B0A" w:rsidRDefault="00EB6DC0" w:rsidP="00EB6DC0">
      <w:pPr>
        <w:spacing w:after="0" w:line="240" w:lineRule="auto"/>
        <w:jc w:val="both"/>
        <w:rPr>
          <w:rFonts w:ascii="Times New Roman" w:hAnsi="Times New Roman" w:cs="Times New Roman"/>
          <w:sz w:val="20"/>
        </w:rPr>
      </w:pPr>
    </w:p>
    <w:p w14:paraId="282A0C0C" w14:textId="77777777" w:rsidR="00EB6DC0" w:rsidRPr="005A0B0A" w:rsidRDefault="00EB6DC0" w:rsidP="00EB6DC0">
      <w:pPr>
        <w:spacing w:after="0" w:line="240" w:lineRule="auto"/>
        <w:jc w:val="both"/>
        <w:rPr>
          <w:rFonts w:ascii="Times New Roman" w:hAnsi="Times New Roman" w:cs="Times New Roman"/>
          <w:sz w:val="20"/>
        </w:rPr>
      </w:pPr>
    </w:p>
    <w:p w14:paraId="701CEF50" w14:textId="77777777" w:rsidR="00EB6DC0" w:rsidRPr="005A0B0A" w:rsidRDefault="00EB6DC0" w:rsidP="00EB6DC0">
      <w:pPr>
        <w:spacing w:after="0" w:line="240" w:lineRule="auto"/>
        <w:jc w:val="both"/>
        <w:rPr>
          <w:rFonts w:ascii="Times New Roman" w:hAnsi="Times New Roman" w:cs="Times New Roman"/>
          <w:sz w:val="20"/>
        </w:rPr>
      </w:pPr>
    </w:p>
    <w:p w14:paraId="2115D0CB" w14:textId="77777777" w:rsidR="00EB6DC0" w:rsidRPr="005A0B0A" w:rsidRDefault="00EB6DC0" w:rsidP="00EB6DC0">
      <w:pPr>
        <w:keepNext/>
        <w:widowControl w:val="0"/>
        <w:jc w:val="center"/>
        <w:rPr>
          <w:rFonts w:ascii="Times New Roman" w:hAnsi="Times New Roman" w:cs="Times New Roman"/>
          <w:sz w:val="20"/>
        </w:rPr>
      </w:pPr>
      <w:r w:rsidRPr="005A0B0A">
        <w:rPr>
          <w:rFonts w:ascii="Times New Roman" w:hAnsi="Times New Roman" w:cs="Times New Roman"/>
          <w:sz w:val="20"/>
        </w:rPr>
        <w:object w:dxaOrig="14134" w:dyaOrig="3440" w14:anchorId="09A35B31">
          <v:shape id="_x0000_i1040" type="#_x0000_t75" style="width:522pt;height:126pt" o:ole="">
            <v:imagedata r:id="rId45" o:title=""/>
          </v:shape>
          <o:OLEObject Type="Embed" ProgID="Visio.Drawing.11" ShapeID="_x0000_i1040" DrawAspect="Content" ObjectID="_1584550737" r:id="rId46"/>
        </w:object>
      </w:r>
    </w:p>
    <w:p w14:paraId="5CF7B19E" w14:textId="2A336A73" w:rsidR="00EB6DC0" w:rsidRPr="005A0B0A" w:rsidRDefault="00EB6DC0" w:rsidP="00EB6DC0">
      <w:pPr>
        <w:pStyle w:val="Caption"/>
        <w:jc w:val="center"/>
        <w:rPr>
          <w:rFonts w:ascii="Times New Roman" w:hAnsi="Times New Roman" w:cs="Times New Roman"/>
          <w:sz w:val="20"/>
        </w:rPr>
      </w:pPr>
      <w:r w:rsidRPr="005A0B0A">
        <w:rPr>
          <w:rFonts w:ascii="Times New Roman" w:hAnsi="Times New Roman" w:cs="Times New Roman"/>
          <w:sz w:val="20"/>
        </w:rPr>
        <w:t xml:space="preserve">Figure </w:t>
      </w:r>
      <w:r w:rsidR="00FC0C68" w:rsidRPr="005A0B0A">
        <w:rPr>
          <w:rFonts w:ascii="Times New Roman" w:hAnsi="Times New Roman" w:cs="Times New Roman"/>
          <w:sz w:val="20"/>
        </w:rPr>
        <w:fldChar w:fldCharType="begin"/>
      </w:r>
      <w:r w:rsidR="00FC0C68" w:rsidRPr="005A0B0A">
        <w:rPr>
          <w:rFonts w:ascii="Times New Roman" w:hAnsi="Times New Roman" w:cs="Times New Roman"/>
          <w:sz w:val="20"/>
        </w:rPr>
        <w:instrText xml:space="preserve"> SEQ Figure \* ARABIC </w:instrText>
      </w:r>
      <w:r w:rsidR="00FC0C68" w:rsidRPr="005A0B0A">
        <w:rPr>
          <w:rFonts w:ascii="Times New Roman" w:hAnsi="Times New Roman" w:cs="Times New Roman"/>
          <w:sz w:val="20"/>
        </w:rPr>
        <w:fldChar w:fldCharType="separate"/>
      </w:r>
      <w:r w:rsidR="009E0C07" w:rsidRPr="005A0B0A">
        <w:rPr>
          <w:rFonts w:ascii="Times New Roman" w:hAnsi="Times New Roman" w:cs="Times New Roman"/>
          <w:noProof/>
          <w:sz w:val="20"/>
        </w:rPr>
        <w:t>8</w:t>
      </w:r>
      <w:r w:rsidR="00FC0C68" w:rsidRPr="005A0B0A">
        <w:rPr>
          <w:rFonts w:ascii="Times New Roman" w:hAnsi="Times New Roman" w:cs="Times New Roman"/>
          <w:noProof/>
          <w:sz w:val="20"/>
        </w:rPr>
        <w:fldChar w:fldCharType="end"/>
      </w:r>
      <w:r w:rsidRPr="005A0B0A">
        <w:rPr>
          <w:rFonts w:ascii="Times New Roman" w:hAnsi="Times New Roman" w:cs="Times New Roman"/>
          <w:sz w:val="20"/>
          <w:lang w:val="en-US"/>
        </w:rPr>
        <w:t xml:space="preserve"> HARQ-ACK transmission on PUCCH when BWP switching triggered by DL assignment(TDD)</w:t>
      </w:r>
    </w:p>
    <w:p w14:paraId="2565EB3E" w14:textId="77777777" w:rsidR="00EB6DC0" w:rsidRPr="005A0B0A" w:rsidRDefault="00EB6DC0" w:rsidP="00EB6DC0">
      <w:pPr>
        <w:keepNext/>
        <w:keepLines/>
        <w:jc w:val="center"/>
        <w:rPr>
          <w:rFonts w:ascii="Times New Roman" w:hAnsi="Times New Roman" w:cs="Times New Roman"/>
          <w:color w:val="000000"/>
          <w:sz w:val="20"/>
        </w:rPr>
      </w:pPr>
      <w:r w:rsidRPr="005A0B0A">
        <w:rPr>
          <w:rFonts w:ascii="Times New Roman" w:hAnsi="Times New Roman" w:cs="Times New Roman"/>
          <w:sz w:val="20"/>
        </w:rPr>
        <w:t xml:space="preserve"> </w:t>
      </w:r>
    </w:p>
    <w:p w14:paraId="51FE7221" w14:textId="77777777" w:rsidR="00EB6DC0" w:rsidRPr="005A0B0A" w:rsidRDefault="00EB6DC0" w:rsidP="00EB6DC0">
      <w:pPr>
        <w:spacing w:after="0" w:line="240" w:lineRule="auto"/>
        <w:jc w:val="both"/>
        <w:rPr>
          <w:rFonts w:ascii="Times New Roman" w:eastAsia="SimSun" w:hAnsi="Times New Roman" w:cs="Times New Roman"/>
          <w:b/>
          <w:bCs/>
          <w:sz w:val="20"/>
        </w:rPr>
      </w:pPr>
    </w:p>
    <w:p w14:paraId="296D3634" w14:textId="77777777" w:rsidR="00EB6DC0" w:rsidRPr="005A0B0A" w:rsidRDefault="00EB6DC0" w:rsidP="00EB6DC0">
      <w:pPr>
        <w:spacing w:after="0" w:line="240" w:lineRule="auto"/>
        <w:jc w:val="both"/>
        <w:rPr>
          <w:rFonts w:ascii="Times New Roman" w:eastAsia="SimSun" w:hAnsi="Times New Roman" w:cs="Times New Roman"/>
          <w:b/>
          <w:bCs/>
          <w:sz w:val="20"/>
        </w:rPr>
      </w:pPr>
    </w:p>
    <w:p w14:paraId="5DC5370A" w14:textId="77777777" w:rsidR="00EB6DC0" w:rsidRPr="005A0B0A" w:rsidRDefault="00EB6DC0" w:rsidP="00EB6DC0">
      <w:pPr>
        <w:spacing w:after="0" w:line="240" w:lineRule="auto"/>
        <w:jc w:val="both"/>
        <w:rPr>
          <w:rFonts w:ascii="Times New Roman" w:eastAsia="SimSun" w:hAnsi="Times New Roman" w:cs="Times New Roman"/>
          <w:b/>
          <w:bCs/>
          <w:sz w:val="20"/>
        </w:rPr>
      </w:pPr>
    </w:p>
    <w:p w14:paraId="71DD65C7" w14:textId="77777777" w:rsidR="00EB6DC0" w:rsidRPr="005A0B0A" w:rsidRDefault="00EB6DC0" w:rsidP="00EB6DC0">
      <w:pPr>
        <w:spacing w:after="0" w:line="240" w:lineRule="auto"/>
        <w:jc w:val="both"/>
        <w:rPr>
          <w:rFonts w:ascii="Times New Roman" w:eastAsia="SimSun" w:hAnsi="Times New Roman" w:cs="Times New Roman"/>
          <w:b/>
          <w:bCs/>
          <w:sz w:val="20"/>
        </w:rPr>
      </w:pPr>
    </w:p>
    <w:p w14:paraId="559679C1" w14:textId="77777777" w:rsidR="00EB6DC0" w:rsidRPr="005A0B0A" w:rsidRDefault="00EB6DC0" w:rsidP="00EB6DC0">
      <w:pPr>
        <w:keepNext/>
        <w:widowControl w:val="0"/>
        <w:jc w:val="center"/>
        <w:rPr>
          <w:rFonts w:ascii="Times New Roman" w:hAnsi="Times New Roman" w:cs="Times New Roman"/>
          <w:sz w:val="20"/>
        </w:rPr>
      </w:pPr>
      <w:r w:rsidRPr="005A0B0A">
        <w:rPr>
          <w:rFonts w:ascii="Times New Roman" w:hAnsi="Times New Roman" w:cs="Times New Roman"/>
          <w:sz w:val="20"/>
        </w:rPr>
        <w:object w:dxaOrig="13383" w:dyaOrig="3894" w14:anchorId="5AEE225E">
          <v:shape id="_x0000_i1041" type="#_x0000_t75" style="width:528pt;height:156pt" o:ole="">
            <v:imagedata r:id="rId47" o:title=""/>
          </v:shape>
          <o:OLEObject Type="Embed" ProgID="Visio.Drawing.11" ShapeID="_x0000_i1041" DrawAspect="Content" ObjectID="_1584550738" r:id="rId48"/>
        </w:object>
      </w:r>
    </w:p>
    <w:p w14:paraId="08C9C1B3" w14:textId="160E5BF9" w:rsidR="00EB6DC0" w:rsidRPr="005A0B0A" w:rsidRDefault="00EB6DC0" w:rsidP="00EB6DC0">
      <w:pPr>
        <w:pStyle w:val="Caption"/>
        <w:jc w:val="center"/>
        <w:rPr>
          <w:rFonts w:ascii="Times New Roman" w:hAnsi="Times New Roman" w:cs="Times New Roman"/>
          <w:sz w:val="20"/>
          <w:lang w:val="en-US"/>
        </w:rPr>
      </w:pPr>
      <w:r w:rsidRPr="005A0B0A">
        <w:rPr>
          <w:rFonts w:ascii="Times New Roman" w:hAnsi="Times New Roman" w:cs="Times New Roman"/>
          <w:sz w:val="20"/>
        </w:rPr>
        <w:t xml:space="preserve">Figure </w:t>
      </w:r>
      <w:r w:rsidR="00FC0C68" w:rsidRPr="005A0B0A">
        <w:rPr>
          <w:rFonts w:ascii="Times New Roman" w:hAnsi="Times New Roman" w:cs="Times New Roman"/>
          <w:sz w:val="20"/>
        </w:rPr>
        <w:fldChar w:fldCharType="begin"/>
      </w:r>
      <w:r w:rsidR="00FC0C68" w:rsidRPr="005A0B0A">
        <w:rPr>
          <w:rFonts w:ascii="Times New Roman" w:hAnsi="Times New Roman" w:cs="Times New Roman"/>
          <w:sz w:val="20"/>
        </w:rPr>
        <w:instrText xml:space="preserve"> SEQ Figure \* ARABIC </w:instrText>
      </w:r>
      <w:r w:rsidR="00FC0C68" w:rsidRPr="005A0B0A">
        <w:rPr>
          <w:rFonts w:ascii="Times New Roman" w:hAnsi="Times New Roman" w:cs="Times New Roman"/>
          <w:sz w:val="20"/>
        </w:rPr>
        <w:fldChar w:fldCharType="separate"/>
      </w:r>
      <w:r w:rsidR="009E0C07" w:rsidRPr="005A0B0A">
        <w:rPr>
          <w:rFonts w:ascii="Times New Roman" w:hAnsi="Times New Roman" w:cs="Times New Roman"/>
          <w:noProof/>
          <w:sz w:val="20"/>
        </w:rPr>
        <w:t>9</w:t>
      </w:r>
      <w:r w:rsidR="00FC0C68" w:rsidRPr="005A0B0A">
        <w:rPr>
          <w:rFonts w:ascii="Times New Roman" w:hAnsi="Times New Roman" w:cs="Times New Roman"/>
          <w:noProof/>
          <w:sz w:val="20"/>
        </w:rPr>
        <w:fldChar w:fldCharType="end"/>
      </w:r>
      <w:r w:rsidRPr="005A0B0A">
        <w:rPr>
          <w:rFonts w:ascii="Times New Roman" w:hAnsi="Times New Roman" w:cs="Times New Roman"/>
          <w:sz w:val="20"/>
          <w:lang w:val="en-US"/>
        </w:rPr>
        <w:t xml:space="preserve"> </w:t>
      </w:r>
      <w:r w:rsidRPr="005A0B0A">
        <w:rPr>
          <w:rFonts w:ascii="Times New Roman" w:hAnsi="Times New Roman" w:cs="Times New Roman"/>
          <w:color w:val="000000"/>
          <w:sz w:val="20"/>
        </w:rPr>
        <w:t>HARQ-ACK transmission on PUSCH when BWP switching triggered by UL grant(TDD)</w:t>
      </w:r>
    </w:p>
    <w:p w14:paraId="3F18A8AC" w14:textId="69CFBADC" w:rsidR="00EB6DC0" w:rsidRDefault="00EB6DC0" w:rsidP="00EB6DC0">
      <w:pPr>
        <w:keepNext/>
        <w:keepLines/>
        <w:jc w:val="center"/>
        <w:rPr>
          <w:rFonts w:ascii="Times New Roman" w:eastAsia="SimSun" w:hAnsi="Times New Roman" w:cs="Times New Roman"/>
          <w:b/>
          <w:bCs/>
        </w:rPr>
      </w:pPr>
    </w:p>
    <w:p w14:paraId="05F344C9" w14:textId="77777777" w:rsidR="00EB6DC0" w:rsidRPr="004D2F84" w:rsidRDefault="00EB6DC0" w:rsidP="0036702F">
      <w:pPr>
        <w:jc w:val="both"/>
        <w:rPr>
          <w:rFonts w:ascii="Times New Roman" w:hAnsi="Times New Roman" w:cs="Times New Roman"/>
          <w:b/>
          <w:bCs/>
        </w:rPr>
      </w:pPr>
    </w:p>
    <w:sectPr w:rsidR="00EB6DC0" w:rsidRPr="004D2F84" w:rsidSect="00D66C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8562D" w14:textId="77777777" w:rsidR="006C0A11" w:rsidRDefault="006C0A11">
      <w:r>
        <w:separator/>
      </w:r>
    </w:p>
  </w:endnote>
  <w:endnote w:type="continuationSeparator" w:id="0">
    <w:p w14:paraId="5918248B" w14:textId="77777777" w:rsidR="006C0A11" w:rsidRDefault="006C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3F4BC" w14:textId="77777777" w:rsidR="006C0A11" w:rsidRDefault="006C0A11">
      <w:r>
        <w:separator/>
      </w:r>
    </w:p>
  </w:footnote>
  <w:footnote w:type="continuationSeparator" w:id="0">
    <w:p w14:paraId="22F85F6F" w14:textId="77777777" w:rsidR="006C0A11" w:rsidRDefault="006C0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B552F"/>
    <w:multiLevelType w:val="hybridMultilevel"/>
    <w:tmpl w:val="6126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71AC3"/>
    <w:multiLevelType w:val="hybridMultilevel"/>
    <w:tmpl w:val="E5DCD21E"/>
    <w:lvl w:ilvl="0" w:tplc="7F52E520">
      <w:start w:val="1"/>
      <w:numFmt w:val="bullet"/>
      <w:lvlText w:val=""/>
      <w:lvlJc w:val="left"/>
      <w:pPr>
        <w:ind w:left="720" w:hanging="360"/>
      </w:pPr>
      <w:rPr>
        <w:rFonts w:ascii="Symbol" w:hAnsi="Symbol" w:hint="default"/>
      </w:rPr>
    </w:lvl>
    <w:lvl w:ilvl="1" w:tplc="B148B8DA">
      <w:start w:val="1"/>
      <w:numFmt w:val="bullet"/>
      <w:lvlText w:val="o"/>
      <w:lvlJc w:val="left"/>
      <w:pPr>
        <w:ind w:left="1440" w:hanging="360"/>
      </w:pPr>
      <w:rPr>
        <w:rFonts w:ascii="Courier New" w:hAnsi="Courier New" w:hint="default"/>
      </w:rPr>
    </w:lvl>
    <w:lvl w:ilvl="2" w:tplc="2FCACB12">
      <w:start w:val="1"/>
      <w:numFmt w:val="bullet"/>
      <w:lvlText w:val=""/>
      <w:lvlJc w:val="left"/>
      <w:pPr>
        <w:ind w:left="2160" w:hanging="360"/>
      </w:pPr>
      <w:rPr>
        <w:rFonts w:ascii="Wingdings" w:hAnsi="Wingdings" w:hint="default"/>
      </w:rPr>
    </w:lvl>
    <w:lvl w:ilvl="3" w:tplc="F0D0215C">
      <w:start w:val="1"/>
      <w:numFmt w:val="bullet"/>
      <w:lvlText w:val=""/>
      <w:lvlJc w:val="left"/>
      <w:pPr>
        <w:ind w:left="2880" w:hanging="360"/>
      </w:pPr>
      <w:rPr>
        <w:rFonts w:ascii="Symbol" w:hAnsi="Symbol" w:hint="default"/>
      </w:rPr>
    </w:lvl>
    <w:lvl w:ilvl="4" w:tplc="1616AAC2">
      <w:start w:val="1"/>
      <w:numFmt w:val="bullet"/>
      <w:lvlText w:val="o"/>
      <w:lvlJc w:val="left"/>
      <w:pPr>
        <w:ind w:left="3600" w:hanging="360"/>
      </w:pPr>
      <w:rPr>
        <w:rFonts w:ascii="Courier New" w:hAnsi="Courier New" w:hint="default"/>
      </w:rPr>
    </w:lvl>
    <w:lvl w:ilvl="5" w:tplc="7988F2A4">
      <w:start w:val="1"/>
      <w:numFmt w:val="bullet"/>
      <w:lvlText w:val=""/>
      <w:lvlJc w:val="left"/>
      <w:pPr>
        <w:ind w:left="4320" w:hanging="360"/>
      </w:pPr>
      <w:rPr>
        <w:rFonts w:ascii="Wingdings" w:hAnsi="Wingdings" w:hint="default"/>
      </w:rPr>
    </w:lvl>
    <w:lvl w:ilvl="6" w:tplc="386255EE">
      <w:start w:val="1"/>
      <w:numFmt w:val="bullet"/>
      <w:lvlText w:val=""/>
      <w:lvlJc w:val="left"/>
      <w:pPr>
        <w:ind w:left="5040" w:hanging="360"/>
      </w:pPr>
      <w:rPr>
        <w:rFonts w:ascii="Symbol" w:hAnsi="Symbol" w:hint="default"/>
      </w:rPr>
    </w:lvl>
    <w:lvl w:ilvl="7" w:tplc="1302A100">
      <w:start w:val="1"/>
      <w:numFmt w:val="bullet"/>
      <w:lvlText w:val="o"/>
      <w:lvlJc w:val="left"/>
      <w:pPr>
        <w:ind w:left="5760" w:hanging="360"/>
      </w:pPr>
      <w:rPr>
        <w:rFonts w:ascii="Courier New" w:hAnsi="Courier New" w:hint="default"/>
      </w:rPr>
    </w:lvl>
    <w:lvl w:ilvl="8" w:tplc="EC4A705A">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0A347B"/>
    <w:multiLevelType w:val="hybridMultilevel"/>
    <w:tmpl w:val="1C229FE4"/>
    <w:lvl w:ilvl="0" w:tplc="93BAEFFE">
      <w:start w:val="1"/>
      <w:numFmt w:val="bullet"/>
      <w:lvlText w:val=""/>
      <w:lvlJc w:val="left"/>
      <w:pPr>
        <w:ind w:left="720" w:hanging="360"/>
      </w:pPr>
      <w:rPr>
        <w:rFonts w:ascii="Symbol" w:hAnsi="Symbol" w:hint="default"/>
      </w:rPr>
    </w:lvl>
    <w:lvl w:ilvl="1" w:tplc="8E6AE364">
      <w:start w:val="1"/>
      <w:numFmt w:val="bullet"/>
      <w:lvlText w:val="o"/>
      <w:lvlJc w:val="left"/>
      <w:pPr>
        <w:ind w:left="1440" w:hanging="360"/>
      </w:pPr>
      <w:rPr>
        <w:rFonts w:ascii="Courier New" w:hAnsi="Courier New" w:hint="default"/>
      </w:rPr>
    </w:lvl>
    <w:lvl w:ilvl="2" w:tplc="1F905100">
      <w:start w:val="1"/>
      <w:numFmt w:val="bullet"/>
      <w:lvlText w:val=""/>
      <w:lvlJc w:val="left"/>
      <w:pPr>
        <w:ind w:left="2160" w:hanging="360"/>
      </w:pPr>
      <w:rPr>
        <w:rFonts w:ascii="Wingdings" w:hAnsi="Wingdings" w:hint="default"/>
      </w:rPr>
    </w:lvl>
    <w:lvl w:ilvl="3" w:tplc="D834DF3A">
      <w:start w:val="1"/>
      <w:numFmt w:val="bullet"/>
      <w:lvlText w:val=""/>
      <w:lvlJc w:val="left"/>
      <w:pPr>
        <w:ind w:left="2880" w:hanging="360"/>
      </w:pPr>
      <w:rPr>
        <w:rFonts w:ascii="Symbol" w:hAnsi="Symbol" w:hint="default"/>
      </w:rPr>
    </w:lvl>
    <w:lvl w:ilvl="4" w:tplc="77EC328A">
      <w:start w:val="1"/>
      <w:numFmt w:val="bullet"/>
      <w:lvlText w:val="o"/>
      <w:lvlJc w:val="left"/>
      <w:pPr>
        <w:ind w:left="3600" w:hanging="360"/>
      </w:pPr>
      <w:rPr>
        <w:rFonts w:ascii="Courier New" w:hAnsi="Courier New" w:hint="default"/>
      </w:rPr>
    </w:lvl>
    <w:lvl w:ilvl="5" w:tplc="40F67F28">
      <w:start w:val="1"/>
      <w:numFmt w:val="bullet"/>
      <w:lvlText w:val=""/>
      <w:lvlJc w:val="left"/>
      <w:pPr>
        <w:ind w:left="4320" w:hanging="360"/>
      </w:pPr>
      <w:rPr>
        <w:rFonts w:ascii="Wingdings" w:hAnsi="Wingdings" w:hint="default"/>
      </w:rPr>
    </w:lvl>
    <w:lvl w:ilvl="6" w:tplc="87007D0C">
      <w:start w:val="1"/>
      <w:numFmt w:val="bullet"/>
      <w:lvlText w:val=""/>
      <w:lvlJc w:val="left"/>
      <w:pPr>
        <w:ind w:left="5040" w:hanging="360"/>
      </w:pPr>
      <w:rPr>
        <w:rFonts w:ascii="Symbol" w:hAnsi="Symbol" w:hint="default"/>
      </w:rPr>
    </w:lvl>
    <w:lvl w:ilvl="7" w:tplc="C5F4DF24">
      <w:start w:val="1"/>
      <w:numFmt w:val="bullet"/>
      <w:lvlText w:val="o"/>
      <w:lvlJc w:val="left"/>
      <w:pPr>
        <w:ind w:left="5760" w:hanging="360"/>
      </w:pPr>
      <w:rPr>
        <w:rFonts w:ascii="Courier New" w:hAnsi="Courier New" w:hint="default"/>
      </w:rPr>
    </w:lvl>
    <w:lvl w:ilvl="8" w:tplc="238645EE">
      <w:start w:val="1"/>
      <w:numFmt w:val="bullet"/>
      <w:lvlText w:val=""/>
      <w:lvlJc w:val="left"/>
      <w:pPr>
        <w:ind w:left="6480" w:hanging="360"/>
      </w:pPr>
      <w:rPr>
        <w:rFonts w:ascii="Wingdings" w:hAnsi="Wingdings" w:hint="default"/>
      </w:rPr>
    </w:lvl>
  </w:abstractNum>
  <w:abstractNum w:abstractNumId="9" w15:restartNumberingAfterBreak="0">
    <w:nsid w:val="260704BE"/>
    <w:multiLevelType w:val="hybridMultilevel"/>
    <w:tmpl w:val="1EB66B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8AB733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2BC96AD0"/>
    <w:multiLevelType w:val="hybridMultilevel"/>
    <w:tmpl w:val="107CB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382B0A45"/>
    <w:multiLevelType w:val="hybridMultilevel"/>
    <w:tmpl w:val="42D8E96A"/>
    <w:lvl w:ilvl="0" w:tplc="49EEC234">
      <w:start w:val="1"/>
      <w:numFmt w:val="bullet"/>
      <w:lvlText w:val="•"/>
      <w:lvlJc w:val="left"/>
      <w:pPr>
        <w:tabs>
          <w:tab w:val="num" w:pos="720"/>
        </w:tabs>
        <w:ind w:left="720" w:hanging="360"/>
      </w:pPr>
      <w:rPr>
        <w:rFonts w:ascii="Arial" w:hAnsi="Arial" w:cs="Times New Roman" w:hint="default"/>
      </w:rPr>
    </w:lvl>
    <w:lvl w:ilvl="1" w:tplc="FBA8E7BE">
      <w:numFmt w:val="bullet"/>
      <w:lvlText w:val="•"/>
      <w:lvlJc w:val="left"/>
      <w:pPr>
        <w:tabs>
          <w:tab w:val="num" w:pos="1440"/>
        </w:tabs>
        <w:ind w:left="1440" w:hanging="360"/>
      </w:pPr>
      <w:rPr>
        <w:rFonts w:ascii="Arial" w:hAnsi="Arial" w:cs="Times New Roman" w:hint="default"/>
      </w:rPr>
    </w:lvl>
    <w:lvl w:ilvl="2" w:tplc="F1F847BE">
      <w:start w:val="1"/>
      <w:numFmt w:val="bullet"/>
      <w:lvlText w:val="•"/>
      <w:lvlJc w:val="left"/>
      <w:pPr>
        <w:tabs>
          <w:tab w:val="num" w:pos="2160"/>
        </w:tabs>
        <w:ind w:left="2160" w:hanging="360"/>
      </w:pPr>
      <w:rPr>
        <w:rFonts w:ascii="Arial" w:hAnsi="Arial" w:cs="Times New Roman" w:hint="default"/>
      </w:rPr>
    </w:lvl>
    <w:lvl w:ilvl="3" w:tplc="C5AC0A78">
      <w:start w:val="1"/>
      <w:numFmt w:val="bullet"/>
      <w:lvlText w:val="•"/>
      <w:lvlJc w:val="left"/>
      <w:pPr>
        <w:tabs>
          <w:tab w:val="num" w:pos="2880"/>
        </w:tabs>
        <w:ind w:left="2880" w:hanging="360"/>
      </w:pPr>
      <w:rPr>
        <w:rFonts w:ascii="Arial" w:hAnsi="Arial" w:cs="Times New Roman" w:hint="default"/>
      </w:rPr>
    </w:lvl>
    <w:lvl w:ilvl="4" w:tplc="1AF24064">
      <w:start w:val="1"/>
      <w:numFmt w:val="bullet"/>
      <w:lvlText w:val="•"/>
      <w:lvlJc w:val="left"/>
      <w:pPr>
        <w:tabs>
          <w:tab w:val="num" w:pos="3600"/>
        </w:tabs>
        <w:ind w:left="3600" w:hanging="360"/>
      </w:pPr>
      <w:rPr>
        <w:rFonts w:ascii="Arial" w:hAnsi="Arial" w:cs="Times New Roman" w:hint="default"/>
      </w:rPr>
    </w:lvl>
    <w:lvl w:ilvl="5" w:tplc="B6822BEC">
      <w:start w:val="1"/>
      <w:numFmt w:val="bullet"/>
      <w:lvlText w:val="•"/>
      <w:lvlJc w:val="left"/>
      <w:pPr>
        <w:tabs>
          <w:tab w:val="num" w:pos="4320"/>
        </w:tabs>
        <w:ind w:left="4320" w:hanging="360"/>
      </w:pPr>
      <w:rPr>
        <w:rFonts w:ascii="Arial" w:hAnsi="Arial" w:cs="Times New Roman" w:hint="default"/>
      </w:rPr>
    </w:lvl>
    <w:lvl w:ilvl="6" w:tplc="42B2FA42">
      <w:start w:val="1"/>
      <w:numFmt w:val="bullet"/>
      <w:lvlText w:val="•"/>
      <w:lvlJc w:val="left"/>
      <w:pPr>
        <w:tabs>
          <w:tab w:val="num" w:pos="5040"/>
        </w:tabs>
        <w:ind w:left="5040" w:hanging="360"/>
      </w:pPr>
      <w:rPr>
        <w:rFonts w:ascii="Arial" w:hAnsi="Arial" w:cs="Times New Roman" w:hint="default"/>
      </w:rPr>
    </w:lvl>
    <w:lvl w:ilvl="7" w:tplc="800CD13C">
      <w:start w:val="1"/>
      <w:numFmt w:val="bullet"/>
      <w:lvlText w:val="•"/>
      <w:lvlJc w:val="left"/>
      <w:pPr>
        <w:tabs>
          <w:tab w:val="num" w:pos="5760"/>
        </w:tabs>
        <w:ind w:left="5760" w:hanging="360"/>
      </w:pPr>
      <w:rPr>
        <w:rFonts w:ascii="Arial" w:hAnsi="Arial" w:cs="Times New Roman" w:hint="default"/>
      </w:rPr>
    </w:lvl>
    <w:lvl w:ilvl="8" w:tplc="6CD46C5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2933B91"/>
    <w:multiLevelType w:val="hybridMultilevel"/>
    <w:tmpl w:val="B8D415D0"/>
    <w:lvl w:ilvl="0" w:tplc="3698AE50">
      <w:start w:val="1"/>
      <w:numFmt w:val="bullet"/>
      <w:lvlText w:val=""/>
      <w:lvlJc w:val="left"/>
      <w:pPr>
        <w:ind w:left="720" w:hanging="360"/>
      </w:pPr>
      <w:rPr>
        <w:rFonts w:ascii="Symbol" w:hAnsi="Symbol" w:hint="default"/>
      </w:rPr>
    </w:lvl>
    <w:lvl w:ilvl="1" w:tplc="C8A606EC">
      <w:start w:val="1"/>
      <w:numFmt w:val="bullet"/>
      <w:lvlText w:val="o"/>
      <w:lvlJc w:val="left"/>
      <w:pPr>
        <w:ind w:left="1440" w:hanging="360"/>
      </w:pPr>
      <w:rPr>
        <w:rFonts w:ascii="Courier New" w:hAnsi="Courier New" w:hint="default"/>
      </w:rPr>
    </w:lvl>
    <w:lvl w:ilvl="2" w:tplc="DDF815DC">
      <w:start w:val="1"/>
      <w:numFmt w:val="bullet"/>
      <w:lvlText w:val=""/>
      <w:lvlJc w:val="left"/>
      <w:pPr>
        <w:ind w:left="2160" w:hanging="360"/>
      </w:pPr>
      <w:rPr>
        <w:rFonts w:ascii="Wingdings" w:hAnsi="Wingdings" w:hint="default"/>
      </w:rPr>
    </w:lvl>
    <w:lvl w:ilvl="3" w:tplc="D76607E6">
      <w:start w:val="1"/>
      <w:numFmt w:val="bullet"/>
      <w:lvlText w:val=""/>
      <w:lvlJc w:val="left"/>
      <w:pPr>
        <w:ind w:left="2880" w:hanging="360"/>
      </w:pPr>
      <w:rPr>
        <w:rFonts w:ascii="Symbol" w:hAnsi="Symbol" w:hint="default"/>
      </w:rPr>
    </w:lvl>
    <w:lvl w:ilvl="4" w:tplc="7BF25C4C">
      <w:start w:val="1"/>
      <w:numFmt w:val="bullet"/>
      <w:lvlText w:val="o"/>
      <w:lvlJc w:val="left"/>
      <w:pPr>
        <w:ind w:left="3600" w:hanging="360"/>
      </w:pPr>
      <w:rPr>
        <w:rFonts w:ascii="Courier New" w:hAnsi="Courier New" w:hint="default"/>
      </w:rPr>
    </w:lvl>
    <w:lvl w:ilvl="5" w:tplc="4F7A62EA">
      <w:start w:val="1"/>
      <w:numFmt w:val="bullet"/>
      <w:lvlText w:val=""/>
      <w:lvlJc w:val="left"/>
      <w:pPr>
        <w:ind w:left="4320" w:hanging="360"/>
      </w:pPr>
      <w:rPr>
        <w:rFonts w:ascii="Wingdings" w:hAnsi="Wingdings" w:hint="default"/>
      </w:rPr>
    </w:lvl>
    <w:lvl w:ilvl="6" w:tplc="264807E8">
      <w:start w:val="1"/>
      <w:numFmt w:val="bullet"/>
      <w:lvlText w:val=""/>
      <w:lvlJc w:val="left"/>
      <w:pPr>
        <w:ind w:left="5040" w:hanging="360"/>
      </w:pPr>
      <w:rPr>
        <w:rFonts w:ascii="Symbol" w:hAnsi="Symbol" w:hint="default"/>
      </w:rPr>
    </w:lvl>
    <w:lvl w:ilvl="7" w:tplc="A07EAB98">
      <w:start w:val="1"/>
      <w:numFmt w:val="bullet"/>
      <w:lvlText w:val="o"/>
      <w:lvlJc w:val="left"/>
      <w:pPr>
        <w:ind w:left="5760" w:hanging="360"/>
      </w:pPr>
      <w:rPr>
        <w:rFonts w:ascii="Courier New" w:hAnsi="Courier New" w:hint="default"/>
      </w:rPr>
    </w:lvl>
    <w:lvl w:ilvl="8" w:tplc="93AEF24A">
      <w:start w:val="1"/>
      <w:numFmt w:val="bullet"/>
      <w:lvlText w:val=""/>
      <w:lvlJc w:val="left"/>
      <w:pPr>
        <w:ind w:left="6480" w:hanging="360"/>
      </w:pPr>
      <w:rPr>
        <w:rFonts w:ascii="Wingdings" w:hAnsi="Wingdings" w:hint="default"/>
      </w:rPr>
    </w:lvl>
  </w:abstractNum>
  <w:abstractNum w:abstractNumId="16"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1278C"/>
    <w:multiLevelType w:val="hybridMultilevel"/>
    <w:tmpl w:val="E29E4CA4"/>
    <w:lvl w:ilvl="0" w:tplc="9F400BEC">
      <w:start w:val="1"/>
      <w:numFmt w:val="bullet"/>
      <w:lvlText w:val=""/>
      <w:lvlJc w:val="left"/>
      <w:pPr>
        <w:ind w:left="720" w:hanging="360"/>
      </w:pPr>
      <w:rPr>
        <w:rFonts w:ascii="Symbol" w:hAnsi="Symbol" w:hint="default"/>
      </w:rPr>
    </w:lvl>
    <w:lvl w:ilvl="1" w:tplc="B72A3DC6">
      <w:start w:val="1"/>
      <w:numFmt w:val="bullet"/>
      <w:lvlText w:val=""/>
      <w:lvlJc w:val="left"/>
      <w:pPr>
        <w:ind w:left="1440" w:hanging="360"/>
      </w:pPr>
      <w:rPr>
        <w:rFonts w:ascii="Symbol" w:hAnsi="Symbol" w:hint="default"/>
      </w:rPr>
    </w:lvl>
    <w:lvl w:ilvl="2" w:tplc="32649D24">
      <w:start w:val="1"/>
      <w:numFmt w:val="bullet"/>
      <w:lvlText w:val=""/>
      <w:lvlJc w:val="left"/>
      <w:pPr>
        <w:ind w:left="2160" w:hanging="360"/>
      </w:pPr>
      <w:rPr>
        <w:rFonts w:ascii="Wingdings" w:hAnsi="Wingdings" w:hint="default"/>
      </w:rPr>
    </w:lvl>
    <w:lvl w:ilvl="3" w:tplc="1E5C379E">
      <w:start w:val="1"/>
      <w:numFmt w:val="bullet"/>
      <w:lvlText w:val=""/>
      <w:lvlJc w:val="left"/>
      <w:pPr>
        <w:ind w:left="2880" w:hanging="360"/>
      </w:pPr>
      <w:rPr>
        <w:rFonts w:ascii="Symbol" w:hAnsi="Symbol" w:hint="default"/>
      </w:rPr>
    </w:lvl>
    <w:lvl w:ilvl="4" w:tplc="124EC208">
      <w:start w:val="1"/>
      <w:numFmt w:val="bullet"/>
      <w:lvlText w:val="o"/>
      <w:lvlJc w:val="left"/>
      <w:pPr>
        <w:ind w:left="3600" w:hanging="360"/>
      </w:pPr>
      <w:rPr>
        <w:rFonts w:ascii="Courier New" w:hAnsi="Courier New" w:hint="default"/>
      </w:rPr>
    </w:lvl>
    <w:lvl w:ilvl="5" w:tplc="3F40CC8E">
      <w:start w:val="1"/>
      <w:numFmt w:val="bullet"/>
      <w:lvlText w:val=""/>
      <w:lvlJc w:val="left"/>
      <w:pPr>
        <w:ind w:left="4320" w:hanging="360"/>
      </w:pPr>
      <w:rPr>
        <w:rFonts w:ascii="Wingdings" w:hAnsi="Wingdings" w:hint="default"/>
      </w:rPr>
    </w:lvl>
    <w:lvl w:ilvl="6" w:tplc="05387CC4">
      <w:start w:val="1"/>
      <w:numFmt w:val="bullet"/>
      <w:lvlText w:val=""/>
      <w:lvlJc w:val="left"/>
      <w:pPr>
        <w:ind w:left="5040" w:hanging="360"/>
      </w:pPr>
      <w:rPr>
        <w:rFonts w:ascii="Symbol" w:hAnsi="Symbol" w:hint="default"/>
      </w:rPr>
    </w:lvl>
    <w:lvl w:ilvl="7" w:tplc="D124053C">
      <w:start w:val="1"/>
      <w:numFmt w:val="bullet"/>
      <w:lvlText w:val="o"/>
      <w:lvlJc w:val="left"/>
      <w:pPr>
        <w:ind w:left="5760" w:hanging="360"/>
      </w:pPr>
      <w:rPr>
        <w:rFonts w:ascii="Courier New" w:hAnsi="Courier New" w:hint="default"/>
      </w:rPr>
    </w:lvl>
    <w:lvl w:ilvl="8" w:tplc="214CE0E2">
      <w:start w:val="1"/>
      <w:numFmt w:val="bullet"/>
      <w:lvlText w:val=""/>
      <w:lvlJc w:val="left"/>
      <w:pPr>
        <w:ind w:left="6480" w:hanging="360"/>
      </w:pPr>
      <w:rPr>
        <w:rFonts w:ascii="Wingdings" w:hAnsi="Wingdings" w:hint="default"/>
      </w:rPr>
    </w:lvl>
  </w:abstractNum>
  <w:abstractNum w:abstractNumId="18" w15:restartNumberingAfterBreak="0">
    <w:nsid w:val="4EC6353C"/>
    <w:multiLevelType w:val="hybridMultilevel"/>
    <w:tmpl w:val="986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DED236B"/>
    <w:multiLevelType w:val="multilevel"/>
    <w:tmpl w:val="095ED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634D54A9"/>
    <w:multiLevelType w:val="hybridMultilevel"/>
    <w:tmpl w:val="4BEC1334"/>
    <w:lvl w:ilvl="0" w:tplc="F0B4CE10">
      <w:start w:val="1"/>
      <w:numFmt w:val="bullet"/>
      <w:lvlText w:val=""/>
      <w:lvlJc w:val="left"/>
      <w:pPr>
        <w:ind w:left="720" w:hanging="360"/>
      </w:pPr>
      <w:rPr>
        <w:rFonts w:ascii="Symbol" w:hAnsi="Symbol" w:hint="default"/>
      </w:rPr>
    </w:lvl>
    <w:lvl w:ilvl="1" w:tplc="F95CFEF2">
      <w:start w:val="1"/>
      <w:numFmt w:val="bullet"/>
      <w:lvlText w:val="o"/>
      <w:lvlJc w:val="left"/>
      <w:pPr>
        <w:ind w:left="1440" w:hanging="360"/>
      </w:pPr>
      <w:rPr>
        <w:rFonts w:ascii="Courier New" w:hAnsi="Courier New" w:hint="default"/>
      </w:rPr>
    </w:lvl>
    <w:lvl w:ilvl="2" w:tplc="3FFC238A">
      <w:start w:val="1"/>
      <w:numFmt w:val="bullet"/>
      <w:lvlText w:val=""/>
      <w:lvlJc w:val="left"/>
      <w:pPr>
        <w:ind w:left="2160" w:hanging="360"/>
      </w:pPr>
      <w:rPr>
        <w:rFonts w:ascii="Wingdings" w:hAnsi="Wingdings" w:hint="default"/>
      </w:rPr>
    </w:lvl>
    <w:lvl w:ilvl="3" w:tplc="D2164E4E">
      <w:start w:val="1"/>
      <w:numFmt w:val="bullet"/>
      <w:lvlText w:val=""/>
      <w:lvlJc w:val="left"/>
      <w:pPr>
        <w:ind w:left="2880" w:hanging="360"/>
      </w:pPr>
      <w:rPr>
        <w:rFonts w:ascii="Symbol" w:hAnsi="Symbol" w:hint="default"/>
      </w:rPr>
    </w:lvl>
    <w:lvl w:ilvl="4" w:tplc="907A32CA">
      <w:start w:val="1"/>
      <w:numFmt w:val="bullet"/>
      <w:lvlText w:val="o"/>
      <w:lvlJc w:val="left"/>
      <w:pPr>
        <w:ind w:left="3600" w:hanging="360"/>
      </w:pPr>
      <w:rPr>
        <w:rFonts w:ascii="Courier New" w:hAnsi="Courier New" w:hint="default"/>
      </w:rPr>
    </w:lvl>
    <w:lvl w:ilvl="5" w:tplc="016CD05C">
      <w:start w:val="1"/>
      <w:numFmt w:val="bullet"/>
      <w:lvlText w:val=""/>
      <w:lvlJc w:val="left"/>
      <w:pPr>
        <w:ind w:left="4320" w:hanging="360"/>
      </w:pPr>
      <w:rPr>
        <w:rFonts w:ascii="Wingdings" w:hAnsi="Wingdings" w:hint="default"/>
      </w:rPr>
    </w:lvl>
    <w:lvl w:ilvl="6" w:tplc="D54A04D0">
      <w:start w:val="1"/>
      <w:numFmt w:val="bullet"/>
      <w:lvlText w:val=""/>
      <w:lvlJc w:val="left"/>
      <w:pPr>
        <w:ind w:left="5040" w:hanging="360"/>
      </w:pPr>
      <w:rPr>
        <w:rFonts w:ascii="Symbol" w:hAnsi="Symbol" w:hint="default"/>
      </w:rPr>
    </w:lvl>
    <w:lvl w:ilvl="7" w:tplc="F782BA28">
      <w:start w:val="1"/>
      <w:numFmt w:val="bullet"/>
      <w:lvlText w:val="o"/>
      <w:lvlJc w:val="left"/>
      <w:pPr>
        <w:ind w:left="5760" w:hanging="360"/>
      </w:pPr>
      <w:rPr>
        <w:rFonts w:ascii="Courier New" w:hAnsi="Courier New" w:hint="default"/>
      </w:rPr>
    </w:lvl>
    <w:lvl w:ilvl="8" w:tplc="07DE2BBC">
      <w:start w:val="1"/>
      <w:numFmt w:val="bullet"/>
      <w:lvlText w:val=""/>
      <w:lvlJc w:val="left"/>
      <w:pPr>
        <w:ind w:left="6480" w:hanging="360"/>
      </w:pPr>
      <w:rPr>
        <w:rFonts w:ascii="Wingdings" w:hAnsi="Wingdings" w:hint="default"/>
      </w:rPr>
    </w:lvl>
  </w:abstractNum>
  <w:abstractNum w:abstractNumId="23" w15:restartNumberingAfterBreak="0">
    <w:nsid w:val="63B5708D"/>
    <w:multiLevelType w:val="hybridMultilevel"/>
    <w:tmpl w:val="2A44FE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F80CBC"/>
    <w:multiLevelType w:val="hybridMultilevel"/>
    <w:tmpl w:val="8FF63F4A"/>
    <w:lvl w:ilvl="0" w:tplc="8C14716C">
      <w:start w:val="1"/>
      <w:numFmt w:val="bullet"/>
      <w:lvlText w:val=""/>
      <w:lvlJc w:val="left"/>
      <w:pPr>
        <w:tabs>
          <w:tab w:val="num" w:pos="720"/>
        </w:tabs>
        <w:ind w:left="720" w:hanging="360"/>
      </w:pPr>
      <w:rPr>
        <w:rFonts w:ascii="Symbol" w:hAnsi="Symbol" w:hint="default"/>
      </w:rPr>
    </w:lvl>
    <w:lvl w:ilvl="1" w:tplc="DF348498">
      <w:numFmt w:val="bullet"/>
      <w:lvlText w:val="o"/>
      <w:lvlJc w:val="left"/>
      <w:pPr>
        <w:tabs>
          <w:tab w:val="num" w:pos="1440"/>
        </w:tabs>
        <w:ind w:left="1440" w:hanging="360"/>
      </w:pPr>
      <w:rPr>
        <w:rFonts w:ascii="Courier New" w:hAnsi="Courier New" w:hint="default"/>
      </w:rPr>
    </w:lvl>
    <w:lvl w:ilvl="2" w:tplc="28F25884">
      <w:numFmt w:val="bullet"/>
      <w:lvlText w:val=""/>
      <w:lvlJc w:val="left"/>
      <w:pPr>
        <w:tabs>
          <w:tab w:val="num" w:pos="2160"/>
        </w:tabs>
        <w:ind w:left="2160" w:hanging="360"/>
      </w:pPr>
      <w:rPr>
        <w:rFonts w:ascii="Wingdings" w:hAnsi="Wingdings" w:hint="default"/>
      </w:rPr>
    </w:lvl>
    <w:lvl w:ilvl="3" w:tplc="48EE3AB0" w:tentative="1">
      <w:start w:val="1"/>
      <w:numFmt w:val="bullet"/>
      <w:lvlText w:val=""/>
      <w:lvlJc w:val="left"/>
      <w:pPr>
        <w:tabs>
          <w:tab w:val="num" w:pos="2880"/>
        </w:tabs>
        <w:ind w:left="2880" w:hanging="360"/>
      </w:pPr>
      <w:rPr>
        <w:rFonts w:ascii="Symbol" w:hAnsi="Symbol" w:hint="default"/>
      </w:rPr>
    </w:lvl>
    <w:lvl w:ilvl="4" w:tplc="C4F43C10" w:tentative="1">
      <w:start w:val="1"/>
      <w:numFmt w:val="bullet"/>
      <w:lvlText w:val=""/>
      <w:lvlJc w:val="left"/>
      <w:pPr>
        <w:tabs>
          <w:tab w:val="num" w:pos="3600"/>
        </w:tabs>
        <w:ind w:left="3600" w:hanging="360"/>
      </w:pPr>
      <w:rPr>
        <w:rFonts w:ascii="Symbol" w:hAnsi="Symbol" w:hint="default"/>
      </w:rPr>
    </w:lvl>
    <w:lvl w:ilvl="5" w:tplc="79ECC51E" w:tentative="1">
      <w:start w:val="1"/>
      <w:numFmt w:val="bullet"/>
      <w:lvlText w:val=""/>
      <w:lvlJc w:val="left"/>
      <w:pPr>
        <w:tabs>
          <w:tab w:val="num" w:pos="4320"/>
        </w:tabs>
        <w:ind w:left="4320" w:hanging="360"/>
      </w:pPr>
      <w:rPr>
        <w:rFonts w:ascii="Symbol" w:hAnsi="Symbol" w:hint="default"/>
      </w:rPr>
    </w:lvl>
    <w:lvl w:ilvl="6" w:tplc="BFC80268" w:tentative="1">
      <w:start w:val="1"/>
      <w:numFmt w:val="bullet"/>
      <w:lvlText w:val=""/>
      <w:lvlJc w:val="left"/>
      <w:pPr>
        <w:tabs>
          <w:tab w:val="num" w:pos="5040"/>
        </w:tabs>
        <w:ind w:left="5040" w:hanging="360"/>
      </w:pPr>
      <w:rPr>
        <w:rFonts w:ascii="Symbol" w:hAnsi="Symbol" w:hint="default"/>
      </w:rPr>
    </w:lvl>
    <w:lvl w:ilvl="7" w:tplc="C07854EC" w:tentative="1">
      <w:start w:val="1"/>
      <w:numFmt w:val="bullet"/>
      <w:lvlText w:val=""/>
      <w:lvlJc w:val="left"/>
      <w:pPr>
        <w:tabs>
          <w:tab w:val="num" w:pos="5760"/>
        </w:tabs>
        <w:ind w:left="5760" w:hanging="360"/>
      </w:pPr>
      <w:rPr>
        <w:rFonts w:ascii="Symbol" w:hAnsi="Symbol" w:hint="default"/>
      </w:rPr>
    </w:lvl>
    <w:lvl w:ilvl="8" w:tplc="35E4ED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58546F"/>
    <w:multiLevelType w:val="hybridMultilevel"/>
    <w:tmpl w:val="3446D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FD0F63"/>
    <w:multiLevelType w:val="hybridMultilevel"/>
    <w:tmpl w:val="FA1CC7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7" w15:restartNumberingAfterBreak="0">
    <w:nsid w:val="6D95343E"/>
    <w:multiLevelType w:val="hybridMultilevel"/>
    <w:tmpl w:val="AB707EE2"/>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num w:numId="1">
    <w:abstractNumId w:val="15"/>
  </w:num>
  <w:num w:numId="2">
    <w:abstractNumId w:val="22"/>
  </w:num>
  <w:num w:numId="3">
    <w:abstractNumId w:val="8"/>
  </w:num>
  <w:num w:numId="4">
    <w:abstractNumId w:val="5"/>
  </w:num>
  <w:num w:numId="5">
    <w:abstractNumId w:val="17"/>
  </w:num>
  <w:num w:numId="6">
    <w:abstractNumId w:val="0"/>
  </w:num>
  <w:num w:numId="7">
    <w:abstractNumId w:val="6"/>
  </w:num>
  <w:num w:numId="8">
    <w:abstractNumId w:val="19"/>
  </w:num>
  <w:num w:numId="9">
    <w:abstractNumId w:val="9"/>
  </w:num>
  <w:num w:numId="10">
    <w:abstractNumId w:val="26"/>
  </w:num>
  <w:num w:numId="11">
    <w:abstractNumId w:val="16"/>
  </w:num>
  <w:num w:numId="12">
    <w:abstractNumId w:val="10"/>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2"/>
  </w:num>
  <w:num w:numId="21">
    <w:abstractNumId w:val="23"/>
  </w:num>
  <w:num w:numId="22">
    <w:abstractNumId w:val="1"/>
  </w:num>
  <w:num w:numId="23">
    <w:abstractNumId w:val="25"/>
  </w:num>
  <w:num w:numId="24">
    <w:abstractNumId w:val="24"/>
  </w:num>
  <w:num w:numId="25">
    <w:abstractNumId w:val="14"/>
  </w:num>
  <w:num w:numId="26">
    <w:abstractNumId w:val="21"/>
  </w:num>
  <w:num w:numId="27">
    <w:abstractNumId w:val="10"/>
  </w:num>
  <w:num w:numId="28">
    <w:abstractNumId w:val="11"/>
  </w:num>
  <w:num w:numId="29">
    <w:abstractNumId w:val="2"/>
  </w:num>
  <w:num w:numId="30">
    <w:abstractNumId w:val="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1"/>
  </w:num>
  <w:num w:numId="34">
    <w:abstractNumId w:val="10"/>
  </w:num>
  <w:num w:numId="3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3284"/>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1CD"/>
    <w:rsid w:val="00132744"/>
    <w:rsid w:val="00133784"/>
    <w:rsid w:val="00133AC7"/>
    <w:rsid w:val="0013470B"/>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25ED"/>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3DA"/>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5722"/>
    <w:rsid w:val="001D6019"/>
    <w:rsid w:val="001D6678"/>
    <w:rsid w:val="001E065E"/>
    <w:rsid w:val="001E0A37"/>
    <w:rsid w:val="001E2449"/>
    <w:rsid w:val="001E385D"/>
    <w:rsid w:val="001E3B32"/>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370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813"/>
    <w:rsid w:val="002B2A9E"/>
    <w:rsid w:val="002B3667"/>
    <w:rsid w:val="002B377C"/>
    <w:rsid w:val="002B39EE"/>
    <w:rsid w:val="002B3A79"/>
    <w:rsid w:val="002B49C4"/>
    <w:rsid w:val="002B4D11"/>
    <w:rsid w:val="002B50EA"/>
    <w:rsid w:val="002B5D65"/>
    <w:rsid w:val="002B60E3"/>
    <w:rsid w:val="002B63C5"/>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1214"/>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70E"/>
    <w:rsid w:val="00360E66"/>
    <w:rsid w:val="00361031"/>
    <w:rsid w:val="00361310"/>
    <w:rsid w:val="0036140A"/>
    <w:rsid w:val="00361795"/>
    <w:rsid w:val="00361A67"/>
    <w:rsid w:val="00362676"/>
    <w:rsid w:val="00362DE1"/>
    <w:rsid w:val="00362FAA"/>
    <w:rsid w:val="00363231"/>
    <w:rsid w:val="00363D73"/>
    <w:rsid w:val="003642A6"/>
    <w:rsid w:val="00364BBC"/>
    <w:rsid w:val="00364BDE"/>
    <w:rsid w:val="00364D63"/>
    <w:rsid w:val="0036569D"/>
    <w:rsid w:val="00365A11"/>
    <w:rsid w:val="0036620B"/>
    <w:rsid w:val="003666FD"/>
    <w:rsid w:val="0036702F"/>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101E"/>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92"/>
    <w:rsid w:val="003926C2"/>
    <w:rsid w:val="00392CB1"/>
    <w:rsid w:val="003935EC"/>
    <w:rsid w:val="003937E5"/>
    <w:rsid w:val="003938BD"/>
    <w:rsid w:val="00393A1E"/>
    <w:rsid w:val="00393C4F"/>
    <w:rsid w:val="0039496A"/>
    <w:rsid w:val="0039581F"/>
    <w:rsid w:val="00395FD5"/>
    <w:rsid w:val="0039629A"/>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A9"/>
    <w:rsid w:val="003B4060"/>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3A83"/>
    <w:rsid w:val="004C3ED6"/>
    <w:rsid w:val="004C4B8F"/>
    <w:rsid w:val="004C4F58"/>
    <w:rsid w:val="004C5E0E"/>
    <w:rsid w:val="004C606D"/>
    <w:rsid w:val="004C7056"/>
    <w:rsid w:val="004C7072"/>
    <w:rsid w:val="004C795A"/>
    <w:rsid w:val="004D006C"/>
    <w:rsid w:val="004D04BC"/>
    <w:rsid w:val="004D09C7"/>
    <w:rsid w:val="004D0A0D"/>
    <w:rsid w:val="004D183A"/>
    <w:rsid w:val="004D18A5"/>
    <w:rsid w:val="004D2744"/>
    <w:rsid w:val="004D28E9"/>
    <w:rsid w:val="004D2D21"/>
    <w:rsid w:val="004D2EAC"/>
    <w:rsid w:val="004D2F84"/>
    <w:rsid w:val="004D3DCF"/>
    <w:rsid w:val="004D464A"/>
    <w:rsid w:val="004D52C0"/>
    <w:rsid w:val="004D5F47"/>
    <w:rsid w:val="004D61FE"/>
    <w:rsid w:val="004D6321"/>
    <w:rsid w:val="004D6C29"/>
    <w:rsid w:val="004D7858"/>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1344"/>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75F5"/>
    <w:rsid w:val="00597B46"/>
    <w:rsid w:val="00597EBB"/>
    <w:rsid w:val="005A0173"/>
    <w:rsid w:val="005A0B0A"/>
    <w:rsid w:val="005A0B35"/>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49C0"/>
    <w:rsid w:val="005D49DA"/>
    <w:rsid w:val="005D67F8"/>
    <w:rsid w:val="005D6AFC"/>
    <w:rsid w:val="005D712D"/>
    <w:rsid w:val="005D718D"/>
    <w:rsid w:val="005D79C5"/>
    <w:rsid w:val="005D7DE6"/>
    <w:rsid w:val="005D7F2A"/>
    <w:rsid w:val="005E165C"/>
    <w:rsid w:val="005E2732"/>
    <w:rsid w:val="005E39F8"/>
    <w:rsid w:val="005E3F9F"/>
    <w:rsid w:val="005E4E58"/>
    <w:rsid w:val="005E4F2B"/>
    <w:rsid w:val="005F04A6"/>
    <w:rsid w:val="005F085D"/>
    <w:rsid w:val="005F0A0B"/>
    <w:rsid w:val="005F0D07"/>
    <w:rsid w:val="005F0E4E"/>
    <w:rsid w:val="005F30A0"/>
    <w:rsid w:val="005F366E"/>
    <w:rsid w:val="005F3814"/>
    <w:rsid w:val="005F4C1E"/>
    <w:rsid w:val="005F5B47"/>
    <w:rsid w:val="005F60D1"/>
    <w:rsid w:val="005F67A4"/>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945"/>
    <w:rsid w:val="00662B01"/>
    <w:rsid w:val="00662DC9"/>
    <w:rsid w:val="00663245"/>
    <w:rsid w:val="00664540"/>
    <w:rsid w:val="00664AF1"/>
    <w:rsid w:val="00664C81"/>
    <w:rsid w:val="00664F8B"/>
    <w:rsid w:val="006652BE"/>
    <w:rsid w:val="00666086"/>
    <w:rsid w:val="00667501"/>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049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76E"/>
    <w:rsid w:val="007D7A91"/>
    <w:rsid w:val="007D7DB7"/>
    <w:rsid w:val="007E0435"/>
    <w:rsid w:val="007E1881"/>
    <w:rsid w:val="007E212C"/>
    <w:rsid w:val="007E3704"/>
    <w:rsid w:val="007E4062"/>
    <w:rsid w:val="007E4656"/>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EA2"/>
    <w:rsid w:val="008D2946"/>
    <w:rsid w:val="008D3617"/>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3660"/>
    <w:rsid w:val="009E3A62"/>
    <w:rsid w:val="009E41D5"/>
    <w:rsid w:val="009E4210"/>
    <w:rsid w:val="009E45BC"/>
    <w:rsid w:val="009E4A05"/>
    <w:rsid w:val="009E4B10"/>
    <w:rsid w:val="009E4C52"/>
    <w:rsid w:val="009E53C2"/>
    <w:rsid w:val="009E55ED"/>
    <w:rsid w:val="009E5646"/>
    <w:rsid w:val="009E5848"/>
    <w:rsid w:val="009E5976"/>
    <w:rsid w:val="009E5AF5"/>
    <w:rsid w:val="009E5D35"/>
    <w:rsid w:val="009E5E17"/>
    <w:rsid w:val="009E63B9"/>
    <w:rsid w:val="009E658B"/>
    <w:rsid w:val="009E70D9"/>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371"/>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F03F1"/>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534"/>
    <w:rsid w:val="00B037B6"/>
    <w:rsid w:val="00B03816"/>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F55"/>
    <w:rsid w:val="00B601D3"/>
    <w:rsid w:val="00B60272"/>
    <w:rsid w:val="00B60800"/>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63A5"/>
    <w:rsid w:val="00B868A9"/>
    <w:rsid w:val="00B870D1"/>
    <w:rsid w:val="00B87519"/>
    <w:rsid w:val="00B87BA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6213"/>
    <w:rsid w:val="00C06B18"/>
    <w:rsid w:val="00C0702E"/>
    <w:rsid w:val="00C071A7"/>
    <w:rsid w:val="00C07667"/>
    <w:rsid w:val="00C077CE"/>
    <w:rsid w:val="00C1054A"/>
    <w:rsid w:val="00C1065E"/>
    <w:rsid w:val="00C10963"/>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C47"/>
    <w:rsid w:val="00C36170"/>
    <w:rsid w:val="00C3706D"/>
    <w:rsid w:val="00C40434"/>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0F6"/>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690B"/>
    <w:rsid w:val="00CB6E3B"/>
    <w:rsid w:val="00CB6F5D"/>
    <w:rsid w:val="00CB70F6"/>
    <w:rsid w:val="00CB74BD"/>
    <w:rsid w:val="00CC06DF"/>
    <w:rsid w:val="00CC0D2F"/>
    <w:rsid w:val="00CC0E6B"/>
    <w:rsid w:val="00CC17D6"/>
    <w:rsid w:val="00CC23E5"/>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C12"/>
    <w:rsid w:val="00D510E2"/>
    <w:rsid w:val="00D51573"/>
    <w:rsid w:val="00D51749"/>
    <w:rsid w:val="00D5181B"/>
    <w:rsid w:val="00D5183D"/>
    <w:rsid w:val="00D51BC1"/>
    <w:rsid w:val="00D52CDD"/>
    <w:rsid w:val="00D53232"/>
    <w:rsid w:val="00D53450"/>
    <w:rsid w:val="00D539E6"/>
    <w:rsid w:val="00D5577E"/>
    <w:rsid w:val="00D56A62"/>
    <w:rsid w:val="00D56BEF"/>
    <w:rsid w:val="00D574BF"/>
    <w:rsid w:val="00D5790C"/>
    <w:rsid w:val="00D57FA2"/>
    <w:rsid w:val="00D601FB"/>
    <w:rsid w:val="00D60BA3"/>
    <w:rsid w:val="00D6196C"/>
    <w:rsid w:val="00D61E61"/>
    <w:rsid w:val="00D62439"/>
    <w:rsid w:val="00D62D0A"/>
    <w:rsid w:val="00D63597"/>
    <w:rsid w:val="00D64318"/>
    <w:rsid w:val="00D6443E"/>
    <w:rsid w:val="00D64472"/>
    <w:rsid w:val="00D65228"/>
    <w:rsid w:val="00D653DA"/>
    <w:rsid w:val="00D655F5"/>
    <w:rsid w:val="00D66089"/>
    <w:rsid w:val="00D66C19"/>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51C"/>
    <w:rsid w:val="00E30565"/>
    <w:rsid w:val="00E308C5"/>
    <w:rsid w:val="00E30BDE"/>
    <w:rsid w:val="00E31280"/>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F55"/>
    <w:rsid w:val="00E57BAF"/>
    <w:rsid w:val="00E60E21"/>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41DEF"/>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851"/>
    <w:rsid w:val="00FC0C68"/>
    <w:rsid w:val="00FC0E66"/>
    <w:rsid w:val="00FC0E86"/>
    <w:rsid w:val="00FC1578"/>
    <w:rsid w:val="00FC1C03"/>
    <w:rsid w:val="00FC1EEE"/>
    <w:rsid w:val="00FC22E8"/>
    <w:rsid w:val="00FC2560"/>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6F2E"/>
    <w:rsid w:val="00FE78AD"/>
    <w:rsid w:val="00FE7B8E"/>
    <w:rsid w:val="00FE7C7C"/>
    <w:rsid w:val="00FF076B"/>
    <w:rsid w:val="00FF16F2"/>
    <w:rsid w:val="00FF201A"/>
    <w:rsid w:val="00FF2CDC"/>
    <w:rsid w:val="00FF4222"/>
    <w:rsid w:val="00FF450D"/>
    <w:rsid w:val="00FF453D"/>
    <w:rsid w:val="00FF50A6"/>
    <w:rsid w:val="00FF5B20"/>
    <w:rsid w:val="00FF5CD0"/>
    <w:rsid w:val="00FF74A8"/>
    <w:rsid w:val="00FF76A8"/>
    <w:rsid w:val="00FF789A"/>
    <w:rsid w:val="00FF789C"/>
    <w:rsid w:val="00FF7E3B"/>
    <w:rsid w:val="00FF7F32"/>
    <w:rsid w:val="0792F314"/>
    <w:rsid w:val="0E072D09"/>
    <w:rsid w:val="1035D4ED"/>
    <w:rsid w:val="144AD2CC"/>
    <w:rsid w:val="19E5CB94"/>
    <w:rsid w:val="2B4C71B4"/>
    <w:rsid w:val="2D0A3676"/>
    <w:rsid w:val="4593B001"/>
    <w:rsid w:val="45DBECAD"/>
    <w:rsid w:val="56B0FE8D"/>
    <w:rsid w:val="5A81E0AF"/>
    <w:rsid w:val="5DE2063A"/>
    <w:rsid w:val="69F1F06E"/>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76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A677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76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7"/>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8"/>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emf"/><Relationship Id="rId39"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package" Target="embeddings/Microsoft_Visio_Drawing2.vsdx"/><Relationship Id="rId42" Type="http://schemas.openxmlformats.org/officeDocument/2006/relationships/image" Target="media/image15.wmf"/><Relationship Id="rId47" Type="http://schemas.openxmlformats.org/officeDocument/2006/relationships/image" Target="media/image17.emf"/><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emf"/><Relationship Id="rId38" Type="http://schemas.openxmlformats.org/officeDocument/2006/relationships/image" Target="media/image13.emf"/><Relationship Id="rId46"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package" Target="embeddings/Microsoft_Visio_Drawing1.vsdx"/><Relationship Id="rId41"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package" Target="embeddings/Microsoft_Visio_Drawing3.vsdx"/><Relationship Id="rId40" Type="http://schemas.openxmlformats.org/officeDocument/2006/relationships/image" Target="media/image14.emf"/><Relationship Id="rId45" Type="http://schemas.openxmlformats.org/officeDocument/2006/relationships/image" Target="media/image16.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package" Target="embeddings/Microsoft_Visio_Drawing.vsdx"/><Relationship Id="rId30" Type="http://schemas.openxmlformats.org/officeDocument/2006/relationships/image" Target="media/image9.png"/><Relationship Id="rId35" Type="http://schemas.openxmlformats.org/officeDocument/2006/relationships/oleObject" Target="embeddings/oleObject8.bin"/><Relationship Id="rId43" Type="http://schemas.openxmlformats.org/officeDocument/2006/relationships/oleObject" Target="embeddings/oleObject9.bin"/><Relationship Id="rId48" Type="http://schemas.openxmlformats.org/officeDocument/2006/relationships/oleObject" Target="embeddings/Microsoft_Visio_2003-2010_Drawing2.vsd"/><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5AIRPNAIUNRU-1830940522-2906</_dlc_DocId>
    <_dlc_DocIdUrl xmlns="71c5aaf6-e6ce-465b-b873-5148d2a4c105">
      <Url>https://nokia.sharepoint.com/sites/c5g/5gradio/_layouts/15/DocIdRedir.aspx?ID=5AIRPNAIUNRU-1830940522-2906</Url>
      <Description>5AIRPNAIUNRU-1830940522-2906</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9C644E64-9BFA-4CFB-8DA9-A00EF5AAD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5117D536-E8F9-4C1E-BB33-0A6572D12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12</Pages>
  <Words>4443</Words>
  <Characters>25329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27</cp:revision>
  <dcterms:created xsi:type="dcterms:W3CDTF">2018-02-16T13:26:00Z</dcterms:created>
  <dcterms:modified xsi:type="dcterms:W3CDTF">2018-04-06T17:11:00Z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beb8d482-0aad-4225-81f5-7aaaba982e85</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