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5C4D422B"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E37BC9">
        <w:rPr>
          <w:bCs/>
          <w:noProof w:val="0"/>
          <w:sz w:val="24"/>
          <w:lang w:val="en-GB"/>
        </w:rPr>
        <w:t>2</w:t>
      </w:r>
      <w:r w:rsidR="002F1B64" w:rsidRPr="007B7496">
        <w:rPr>
          <w:bCs/>
          <w:noProof w:val="0"/>
          <w:sz w:val="24"/>
          <w:lang w:val="en-GB"/>
        </w:rPr>
        <w:tab/>
      </w:r>
      <w:r w:rsidR="002C02C8" w:rsidRPr="00B055D8">
        <w:rPr>
          <w:bCs/>
          <w:noProof w:val="0"/>
          <w:sz w:val="24"/>
          <w:lang w:val="en-GB" w:eastAsia="ja-JP"/>
        </w:rPr>
        <w:t>R1-1</w:t>
      </w:r>
      <w:r w:rsidR="00B055D8" w:rsidRPr="00B055D8">
        <w:rPr>
          <w:bCs/>
          <w:noProof w:val="0"/>
          <w:sz w:val="24"/>
          <w:lang w:val="en-GB" w:eastAsia="ja-JP"/>
        </w:rPr>
        <w:t>802556</w:t>
      </w:r>
    </w:p>
    <w:bookmarkEnd w:id="0"/>
    <w:bookmarkEnd w:id="1"/>
    <w:p w14:paraId="30897F30" w14:textId="77777777" w:rsidR="00167809" w:rsidRDefault="005F5879" w:rsidP="00167809">
      <w:pPr>
        <w:pStyle w:val="Header"/>
        <w:rPr>
          <w:bCs/>
          <w:noProof w:val="0"/>
          <w:sz w:val="24"/>
          <w:lang w:val="en-GB"/>
        </w:rPr>
      </w:pPr>
      <w:r>
        <w:rPr>
          <w:bCs/>
          <w:noProof w:val="0"/>
          <w:sz w:val="24"/>
          <w:lang w:val="en-GB"/>
        </w:rPr>
        <w:t>Athens</w:t>
      </w:r>
      <w:r w:rsidR="00167809" w:rsidRPr="00513E02">
        <w:rPr>
          <w:bCs/>
          <w:noProof w:val="0"/>
          <w:sz w:val="24"/>
          <w:lang w:val="en-GB"/>
        </w:rPr>
        <w:t xml:space="preserve">, </w:t>
      </w:r>
      <w:r>
        <w:rPr>
          <w:bCs/>
          <w:noProof w:val="0"/>
          <w:sz w:val="24"/>
          <w:lang w:val="en-GB"/>
        </w:rPr>
        <w:t>Greece</w:t>
      </w:r>
      <w:r w:rsidR="00E966A0">
        <w:rPr>
          <w:bCs/>
          <w:noProof w:val="0"/>
          <w:sz w:val="24"/>
          <w:lang w:val="en-GB"/>
        </w:rPr>
        <w:t xml:space="preserve"> </w:t>
      </w:r>
      <w:r>
        <w:rPr>
          <w:bCs/>
          <w:noProof w:val="0"/>
          <w:sz w:val="24"/>
          <w:lang w:val="en-GB"/>
        </w:rPr>
        <w:t>February</w:t>
      </w:r>
      <w:r w:rsidR="00E966A0">
        <w:rPr>
          <w:bCs/>
          <w:noProof w:val="0"/>
          <w:sz w:val="24"/>
          <w:lang w:val="en-GB"/>
        </w:rPr>
        <w:t xml:space="preserve"> </w:t>
      </w:r>
      <w:r>
        <w:rPr>
          <w:bCs/>
          <w:noProof w:val="0"/>
          <w:sz w:val="24"/>
          <w:lang w:val="en-GB"/>
        </w:rPr>
        <w:t>26</w:t>
      </w:r>
      <w:r w:rsidR="00E966A0" w:rsidRPr="00E966A0">
        <w:rPr>
          <w:bCs/>
          <w:noProof w:val="0"/>
          <w:sz w:val="24"/>
          <w:vertAlign w:val="superscript"/>
          <w:lang w:val="en-GB"/>
        </w:rPr>
        <w:t>th</w:t>
      </w:r>
      <w:r w:rsidR="00E966A0">
        <w:rPr>
          <w:bCs/>
          <w:noProof w:val="0"/>
          <w:sz w:val="24"/>
          <w:lang w:val="en-GB"/>
        </w:rPr>
        <w:t xml:space="preserve"> – </w:t>
      </w:r>
      <w:r>
        <w:rPr>
          <w:bCs/>
          <w:noProof w:val="0"/>
          <w:sz w:val="24"/>
          <w:lang w:val="en-GB"/>
        </w:rPr>
        <w:t>2</w:t>
      </w:r>
      <w:r>
        <w:rPr>
          <w:bCs/>
          <w:noProof w:val="0"/>
          <w:sz w:val="24"/>
          <w:vertAlign w:val="superscript"/>
          <w:lang w:val="en-GB"/>
        </w:rPr>
        <w:t>nd</w:t>
      </w:r>
      <w:r w:rsidR="00E966A0">
        <w:rPr>
          <w:bCs/>
          <w:noProof w:val="0"/>
          <w:sz w:val="24"/>
          <w:lang w:val="en-GB"/>
        </w:rPr>
        <w:t xml:space="preserve"> </w:t>
      </w:r>
      <w:r>
        <w:rPr>
          <w:bCs/>
          <w:noProof w:val="0"/>
          <w:sz w:val="24"/>
          <w:lang w:val="en-GB"/>
        </w:rPr>
        <w:t>March</w:t>
      </w:r>
      <w:r w:rsidR="00E966A0">
        <w:rPr>
          <w:bCs/>
          <w:noProof w:val="0"/>
          <w:sz w:val="24"/>
          <w:lang w:val="en-GB"/>
        </w:rPr>
        <w:t xml:space="preserve"> 2017</w:t>
      </w:r>
    </w:p>
    <w:p w14:paraId="25E13027" w14:textId="77777777" w:rsidR="002F1B64" w:rsidRPr="007B7496" w:rsidRDefault="002F1B64" w:rsidP="002F1B64">
      <w:pPr>
        <w:pStyle w:val="Header"/>
        <w:rPr>
          <w:bCs/>
          <w:noProof w:val="0"/>
          <w:sz w:val="24"/>
          <w:lang w:val="en-GB" w:eastAsia="ja-JP"/>
        </w:rPr>
      </w:pPr>
    </w:p>
    <w:p w14:paraId="4B01083B" w14:textId="70F0BF02"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83F5A" w:rsidRPr="00B055D8">
        <w:rPr>
          <w:rFonts w:cs="Arial"/>
          <w:b/>
          <w:bCs/>
          <w:sz w:val="24"/>
        </w:rPr>
        <w:t>7.</w:t>
      </w:r>
      <w:r w:rsidR="00B055D8" w:rsidRPr="00B055D8">
        <w:rPr>
          <w:rFonts w:cs="Arial"/>
          <w:b/>
          <w:bCs/>
          <w:sz w:val="24"/>
        </w:rPr>
        <w:t>1.</w:t>
      </w:r>
      <w:r w:rsidR="00583F5A" w:rsidRPr="00B055D8">
        <w:rPr>
          <w:rFonts w:cs="Arial"/>
          <w:b/>
          <w:bCs/>
          <w:sz w:val="24"/>
        </w:rPr>
        <w:t>2.2.3</w:t>
      </w:r>
    </w:p>
    <w:p w14:paraId="01A5A4E4" w14:textId="77777777"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4AB3700E" w14:textId="77777777"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83F5A">
        <w:rPr>
          <w:rFonts w:ascii="Arial" w:hAnsi="Arial" w:cs="Arial"/>
          <w:b/>
          <w:bCs/>
          <w:sz w:val="24"/>
        </w:rPr>
        <w:t>Beam Indication</w:t>
      </w:r>
      <w:r w:rsidR="0093574F">
        <w:rPr>
          <w:rFonts w:ascii="Arial" w:hAnsi="Arial" w:cs="Arial"/>
          <w:b/>
          <w:bCs/>
          <w:sz w:val="24"/>
        </w:rPr>
        <w:t xml:space="preserve"> for NR-PUSCH</w:t>
      </w:r>
    </w:p>
    <w:p w14:paraId="60DEAFE3"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77777777" w:rsidR="0004189A" w:rsidRDefault="00F74D58" w:rsidP="00A12B8F">
      <w:pPr>
        <w:spacing w:after="120"/>
        <w:jc w:val="both"/>
        <w:rPr>
          <w:bCs/>
          <w:lang w:val="en-US"/>
        </w:rPr>
      </w:pPr>
      <w:r>
        <w:rPr>
          <w:bCs/>
          <w:lang w:val="en-US"/>
        </w:rPr>
        <w:t>In RAN Plenary meeting #75, a WID on NR was agreed. The work item targets to develop and specify the functionalities for eMBB operation as well as support the URLLC type of operation.</w:t>
      </w:r>
    </w:p>
    <w:p w14:paraId="31CE0E95" w14:textId="77777777" w:rsidR="00601CAB" w:rsidRDefault="00845FC7" w:rsidP="00A12B8F">
      <w:pPr>
        <w:spacing w:after="120"/>
        <w:jc w:val="both"/>
        <w:rPr>
          <w:bCs/>
        </w:rPr>
      </w:pPr>
      <w:r>
        <w:rPr>
          <w:bCs/>
        </w:rPr>
        <w:t xml:space="preserve">In this contribution we discuss about </w:t>
      </w:r>
      <w:r w:rsidR="00583F5A">
        <w:rPr>
          <w:bCs/>
        </w:rPr>
        <w:t>beam indication</w:t>
      </w:r>
      <w:r w:rsidR="00B714F0">
        <w:rPr>
          <w:bCs/>
        </w:rPr>
        <w:t xml:space="preserve"> for </w:t>
      </w:r>
      <w:r w:rsidR="003069DC">
        <w:rPr>
          <w:bCs/>
        </w:rPr>
        <w:t>NR-</w:t>
      </w:r>
      <w:r w:rsidR="00B714F0">
        <w:rPr>
          <w:bCs/>
        </w:rPr>
        <w:t xml:space="preserve">PUSCH. </w:t>
      </w:r>
    </w:p>
    <w:p w14:paraId="49122732" w14:textId="77777777" w:rsidR="002E00D5" w:rsidRDefault="002E00D5" w:rsidP="00A12B8F">
      <w:pPr>
        <w:spacing w:after="120"/>
        <w:jc w:val="both"/>
        <w:rPr>
          <w:bCs/>
        </w:rPr>
      </w:pPr>
      <w:r>
        <w:rPr>
          <w:bCs/>
        </w:rPr>
        <w:t xml:space="preserve">This is a revision of R1-1800751. </w:t>
      </w:r>
    </w:p>
    <w:p w14:paraId="5876846D" w14:textId="77777777" w:rsidR="004B23AD" w:rsidRDefault="008D4B8A" w:rsidP="004B23AD">
      <w:pPr>
        <w:pStyle w:val="Heading1"/>
      </w:pPr>
      <w:r>
        <w:rPr>
          <w:color w:val="000000"/>
        </w:rPr>
        <w:t>2</w:t>
      </w:r>
      <w:r w:rsidR="004B23AD" w:rsidRPr="00A51522">
        <w:rPr>
          <w:color w:val="000000"/>
        </w:rPr>
        <w:tab/>
      </w:r>
      <w:r w:rsidR="00DC129F">
        <w:t>Discussion</w:t>
      </w:r>
    </w:p>
    <w:p w14:paraId="55C32C94" w14:textId="2F0D7F32" w:rsidR="00996819" w:rsidRDefault="0063047F" w:rsidP="0063047F">
      <w:pPr>
        <w:rPr>
          <w:lang w:val="en-US"/>
        </w:rPr>
      </w:pPr>
      <w:r w:rsidRPr="00E32B56">
        <w:rPr>
          <w:lang w:val="en-US"/>
        </w:rPr>
        <w:t>Beam management for PUSCH has not been specifically defined in beam management agenda item</w:t>
      </w:r>
      <w:r>
        <w:rPr>
          <w:lang w:val="en-US"/>
        </w:rPr>
        <w:t xml:space="preserve"> similarly as it has been </w:t>
      </w:r>
      <w:r w:rsidR="00BB020F">
        <w:rPr>
          <w:lang w:val="en-US"/>
        </w:rPr>
        <w:t xml:space="preserve">provided </w:t>
      </w:r>
      <w:r>
        <w:rPr>
          <w:lang w:val="en-US"/>
        </w:rPr>
        <w:t>for PDSCH</w:t>
      </w:r>
      <w:r w:rsidRPr="00E32B56">
        <w:rPr>
          <w:lang w:val="en-US"/>
        </w:rPr>
        <w:t xml:space="preserve">. </w:t>
      </w:r>
      <w:r w:rsidR="00BB020F">
        <w:rPr>
          <w:lang w:val="en-US"/>
        </w:rPr>
        <w:t>For the PUSCH, TS 38.214 defines two transmission methods: non-codebook and codebook based transmission methods. F</w:t>
      </w:r>
      <w:r w:rsidRPr="0063047F">
        <w:rPr>
          <w:lang w:val="en-US"/>
        </w:rPr>
        <w:t xml:space="preserve">or non-codebook based </w:t>
      </w:r>
      <w:r w:rsidR="00CD3472">
        <w:rPr>
          <w:lang w:val="en-US"/>
        </w:rPr>
        <w:t xml:space="preserve">PUSCH </w:t>
      </w:r>
      <w:r w:rsidRPr="0063047F">
        <w:rPr>
          <w:lang w:val="en-US"/>
        </w:rPr>
        <w:t>transmission</w:t>
      </w:r>
      <w:r>
        <w:rPr>
          <w:lang w:val="en-US"/>
        </w:rPr>
        <w:t xml:space="preserve"> </w:t>
      </w:r>
      <w:r w:rsidRPr="0063047F">
        <w:rPr>
          <w:lang w:val="en-US"/>
        </w:rPr>
        <w:t xml:space="preserve">SRI(s) are indicated in the UL </w:t>
      </w:r>
      <w:r>
        <w:rPr>
          <w:lang w:val="en-US"/>
        </w:rPr>
        <w:t>grant</w:t>
      </w:r>
      <w:r w:rsidR="00BB020F">
        <w:rPr>
          <w:lang w:val="en-US"/>
        </w:rPr>
        <w:t>. That is interpreted so that at above 6 GHz</w:t>
      </w:r>
      <w:r w:rsidR="00D10F6F">
        <w:rPr>
          <w:lang w:val="en-US"/>
        </w:rPr>
        <w:t xml:space="preserve"> </w:t>
      </w:r>
      <w:r w:rsidRPr="0063047F">
        <w:rPr>
          <w:lang w:val="en-US"/>
        </w:rPr>
        <w:t xml:space="preserve">UE </w:t>
      </w:r>
      <w:r w:rsidR="00CD3472">
        <w:rPr>
          <w:lang w:val="en-US"/>
        </w:rPr>
        <w:t xml:space="preserve">should </w:t>
      </w:r>
      <w:r w:rsidRPr="0063047F">
        <w:rPr>
          <w:lang w:val="en-US"/>
        </w:rPr>
        <w:t xml:space="preserve">apply the </w:t>
      </w:r>
      <w:r w:rsidR="00CD3472">
        <w:rPr>
          <w:lang w:val="en-US"/>
        </w:rPr>
        <w:t xml:space="preserve">same spatial domain filter </w:t>
      </w:r>
      <w:r w:rsidR="00BB020F">
        <w:rPr>
          <w:lang w:val="en-US"/>
        </w:rPr>
        <w:t xml:space="preserve">for the PUSCH transmission </w:t>
      </w:r>
      <w:r w:rsidR="00CD3472">
        <w:rPr>
          <w:lang w:val="en-US"/>
        </w:rPr>
        <w:t xml:space="preserve">as </w:t>
      </w:r>
      <w:r w:rsidR="00BB020F">
        <w:rPr>
          <w:lang w:val="en-US"/>
        </w:rPr>
        <w:t xml:space="preserve">it </w:t>
      </w:r>
      <w:r w:rsidR="00CD3472">
        <w:rPr>
          <w:lang w:val="en-US"/>
        </w:rPr>
        <w:t>used for</w:t>
      </w:r>
      <w:r w:rsidR="00BB020F">
        <w:rPr>
          <w:lang w:val="en-US"/>
        </w:rPr>
        <w:t xml:space="preserve"> the transmission of </w:t>
      </w:r>
      <w:r w:rsidR="00CD3472">
        <w:rPr>
          <w:lang w:val="en-US"/>
        </w:rPr>
        <w:t xml:space="preserve">the </w:t>
      </w:r>
      <w:r w:rsidRPr="0063047F">
        <w:rPr>
          <w:lang w:val="en-US"/>
        </w:rPr>
        <w:t xml:space="preserve">indicated SRS </w:t>
      </w:r>
      <w:r w:rsidR="00CD3472">
        <w:rPr>
          <w:lang w:val="en-US"/>
        </w:rPr>
        <w:t>resource</w:t>
      </w:r>
      <w:r w:rsidR="00BB020F">
        <w:rPr>
          <w:lang w:val="en-US"/>
        </w:rPr>
        <w:t>(</w:t>
      </w:r>
      <w:r w:rsidR="00CD3472">
        <w:rPr>
          <w:lang w:val="en-US"/>
        </w:rPr>
        <w:t>s</w:t>
      </w:r>
      <w:r w:rsidR="00BB020F">
        <w:rPr>
          <w:lang w:val="en-US"/>
        </w:rPr>
        <w:t>)</w:t>
      </w:r>
      <w:r w:rsidRPr="0063047F">
        <w:rPr>
          <w:lang w:val="en-US"/>
        </w:rPr>
        <w:t>. For codebook based transmission, an SRI is indicated together with TPMI/TRI</w:t>
      </w:r>
      <w:r w:rsidR="00BB020F">
        <w:rPr>
          <w:lang w:val="en-US"/>
        </w:rPr>
        <w:t>. Similarly, the</w:t>
      </w:r>
      <w:r w:rsidRPr="0063047F">
        <w:rPr>
          <w:lang w:val="en-US"/>
        </w:rPr>
        <w:t xml:space="preserve"> UE </w:t>
      </w:r>
      <w:r w:rsidR="00BB020F">
        <w:rPr>
          <w:lang w:val="en-US"/>
        </w:rPr>
        <w:t>should use the same transmit beam for the PUSCH transmission as it used for the transmission of the indicated SRS resource.</w:t>
      </w:r>
      <w:r w:rsidRPr="0063047F">
        <w:rPr>
          <w:lang w:val="en-US"/>
        </w:rPr>
        <w:t xml:space="preserve">. </w:t>
      </w:r>
      <w:r w:rsidR="00BB020F">
        <w:rPr>
          <w:lang w:val="en-US"/>
        </w:rPr>
        <w:t xml:space="preserve">Thus, one could argue that beam indication is in-built in PUSCH transmission methods. </w:t>
      </w:r>
      <w:r w:rsidR="005036F0">
        <w:rPr>
          <w:lang w:val="en-US"/>
        </w:rPr>
        <w:t xml:space="preserve">However, </w:t>
      </w:r>
      <w:r w:rsidR="00BB020F">
        <w:rPr>
          <w:lang w:val="en-US"/>
        </w:rPr>
        <w:t xml:space="preserve">UEs are expected to have a TX/RX beam correspondence to support deriving TX beam(s) </w:t>
      </w:r>
      <w:bookmarkStart w:id="4" w:name="_GoBack"/>
      <w:bookmarkEnd w:id="4"/>
      <w:r w:rsidR="00BB020F">
        <w:rPr>
          <w:lang w:val="en-US"/>
        </w:rPr>
        <w:t>from DL RSs – otherwise the system overhead and complexity would be</w:t>
      </w:r>
      <w:r w:rsidR="007278D3">
        <w:rPr>
          <w:lang w:val="en-US"/>
        </w:rPr>
        <w:t xml:space="preserve"> </w:t>
      </w:r>
      <w:r w:rsidR="00996819">
        <w:rPr>
          <w:lang w:val="en-US"/>
        </w:rPr>
        <w:t xml:space="preserve">very high due to separate UL TX beam search and training. </w:t>
      </w:r>
    </w:p>
    <w:p w14:paraId="3B920195" w14:textId="77777777" w:rsidR="00996819" w:rsidRPr="00D10F6F" w:rsidRDefault="00996819" w:rsidP="0063047F">
      <w:pPr>
        <w:rPr>
          <w:b/>
          <w:i/>
          <w:lang w:val="en-US"/>
        </w:rPr>
      </w:pPr>
      <w:r w:rsidRPr="00EA5324">
        <w:rPr>
          <w:b/>
          <w:i/>
          <w:lang w:val="en-US"/>
        </w:rPr>
        <w:t>Observation: TX/RX beam correspondence should be the baseline at UE at above 6 GHz.</w:t>
      </w:r>
    </w:p>
    <w:p w14:paraId="6B538678" w14:textId="1EEB31E7" w:rsidR="005036F0" w:rsidRDefault="00996819" w:rsidP="0063047F">
      <w:pPr>
        <w:rPr>
          <w:lang w:val="en-US"/>
        </w:rPr>
      </w:pPr>
      <w:r>
        <w:rPr>
          <w:lang w:val="en-US"/>
        </w:rPr>
        <w:t xml:space="preserve">It is seen </w:t>
      </w:r>
      <w:r w:rsidR="00D10F6F">
        <w:rPr>
          <w:lang w:val="en-US"/>
        </w:rPr>
        <w:t>desirable</w:t>
      </w:r>
      <w:r>
        <w:rPr>
          <w:lang w:val="en-US"/>
        </w:rPr>
        <w:t xml:space="preserve"> </w:t>
      </w:r>
      <w:r w:rsidR="005036F0">
        <w:rPr>
          <w:lang w:val="en-US"/>
        </w:rPr>
        <w:t>to be able to schedule PUSCH without prior SRS resource transmissions</w:t>
      </w:r>
      <w:r w:rsidR="00D10F6F">
        <w:rPr>
          <w:lang w:val="en-US"/>
        </w:rPr>
        <w:t>,</w:t>
      </w:r>
      <w:r w:rsidR="005036F0">
        <w:rPr>
          <w:lang w:val="en-US"/>
        </w:rPr>
        <w:t xml:space="preserve"> e.g. </w:t>
      </w:r>
      <w:r w:rsidR="00CD3472">
        <w:rPr>
          <w:lang w:val="en-US"/>
        </w:rPr>
        <w:t>for PUSCH transmissions after random access procedure and to minimize overhead caused by SRS transmissions. gNB is able to determine uplink channel e.g. from uplink DMRS and thus SRSs wouldn’t be needed</w:t>
      </w:r>
      <w:r>
        <w:rPr>
          <w:lang w:val="en-US"/>
        </w:rPr>
        <w:t xml:space="preserve"> for uplink CSI acquisition either</w:t>
      </w:r>
      <w:r w:rsidR="00CD3472">
        <w:rPr>
          <w:lang w:val="en-US"/>
        </w:rPr>
        <w:t>.</w:t>
      </w:r>
      <w:r w:rsidR="00E966BD">
        <w:rPr>
          <w:lang w:val="en-US"/>
        </w:rPr>
        <w:t xml:space="preserve"> It’s noted that PUSCH scheduled using DCI format 0_0 doesn’t provide SRI(s) as format 0_1. But, there are also no rules how the UE determines the TX beam when scheduled PUSCH using DCI format 0_0.</w:t>
      </w:r>
    </w:p>
    <w:p w14:paraId="7E5AA586" w14:textId="77777777" w:rsidR="00E46055" w:rsidRPr="00CD3472" w:rsidRDefault="00CD3472" w:rsidP="0063047F">
      <w:pPr>
        <w:rPr>
          <w:b/>
          <w:i/>
          <w:lang w:val="en-US"/>
        </w:rPr>
      </w:pPr>
      <w:r>
        <w:rPr>
          <w:b/>
          <w:i/>
          <w:lang w:val="en-US"/>
        </w:rPr>
        <w:t xml:space="preserve">Observation: PUSCH should be able to be scheduled without prior SRS transmissions. </w:t>
      </w:r>
    </w:p>
    <w:p w14:paraId="768CF04D" w14:textId="3FE61ED8" w:rsidR="00E46055" w:rsidRPr="00E46055" w:rsidRDefault="00E46055" w:rsidP="0063047F">
      <w:pPr>
        <w:rPr>
          <w:b/>
          <w:i/>
          <w:lang w:val="en-US"/>
        </w:rPr>
      </w:pPr>
      <w:r>
        <w:rPr>
          <w:b/>
          <w:i/>
          <w:lang w:val="en-US"/>
        </w:rPr>
        <w:t>Observation: It’s not currently specified how the UE determines the transmit beam for the PUSCH before the SRS resources are configured</w:t>
      </w:r>
      <w:r w:rsidR="00E966BD">
        <w:rPr>
          <w:b/>
          <w:i/>
          <w:lang w:val="en-US"/>
        </w:rPr>
        <w:t xml:space="preserve"> </w:t>
      </w:r>
      <w:r w:rsidR="00B54961">
        <w:rPr>
          <w:b/>
          <w:i/>
          <w:lang w:val="en-US"/>
        </w:rPr>
        <w:t>when scheduled either using DCI format 0_0 or 0_1</w:t>
      </w:r>
      <w:r>
        <w:rPr>
          <w:b/>
          <w:i/>
          <w:lang w:val="en-US"/>
        </w:rPr>
        <w:t>.</w:t>
      </w:r>
    </w:p>
    <w:p w14:paraId="4A18AB96" w14:textId="77777777" w:rsidR="0063047F" w:rsidRDefault="00B17E5A" w:rsidP="00B17E5A">
      <w:pPr>
        <w:rPr>
          <w:lang w:val="en-US"/>
        </w:rPr>
      </w:pPr>
      <w:r>
        <w:rPr>
          <w:lang w:val="en-US"/>
        </w:rPr>
        <w:t xml:space="preserve">One of the solutions could be that </w:t>
      </w:r>
      <w:r w:rsidR="0063047F" w:rsidRPr="0063047F">
        <w:rPr>
          <w:lang w:val="en-US"/>
        </w:rPr>
        <w:t xml:space="preserve">before SRS is configured for codebook-based or non-codebook-based UL, UE may transmit PUSCH </w:t>
      </w:r>
      <w:r>
        <w:rPr>
          <w:lang w:val="en-US"/>
        </w:rPr>
        <w:t>similarly</w:t>
      </w:r>
      <w:r w:rsidR="0063047F" w:rsidRPr="0063047F">
        <w:rPr>
          <w:lang w:val="en-US"/>
        </w:rPr>
        <w:t xml:space="preserve"> as </w:t>
      </w:r>
      <w:r>
        <w:rPr>
          <w:lang w:val="en-US"/>
        </w:rPr>
        <w:t xml:space="preserve">it transmitted </w:t>
      </w:r>
      <w:r w:rsidR="0093731D">
        <w:rPr>
          <w:lang w:val="en-US"/>
        </w:rPr>
        <w:t>Msg</w:t>
      </w:r>
      <w:r w:rsidR="0063047F" w:rsidRPr="0063047F">
        <w:rPr>
          <w:lang w:val="en-US"/>
        </w:rPr>
        <w:t>3 PUSCH.</w:t>
      </w:r>
      <w:r>
        <w:rPr>
          <w:lang w:val="en-US"/>
        </w:rPr>
        <w:t xml:space="preserve"> However, that beam may get out-dated and the UE should be able to adjust the transmit beam (gNB to adjust RX beam as well). </w:t>
      </w:r>
      <w:r w:rsidR="003A5BDB">
        <w:rPr>
          <w:lang w:val="en-US"/>
        </w:rPr>
        <w:t xml:space="preserve">But, until UE is configured with any information regarding UL transmit beam selection the UE should use the same TX beam as it used for Msg3 PUSCH. </w:t>
      </w:r>
    </w:p>
    <w:p w14:paraId="2F7B7C06" w14:textId="77777777" w:rsidR="0093731D" w:rsidRDefault="0093731D" w:rsidP="00B17E5A">
      <w:pPr>
        <w:rPr>
          <w:b/>
          <w:i/>
          <w:lang w:val="en-US"/>
        </w:rPr>
      </w:pPr>
      <w:r>
        <w:rPr>
          <w:b/>
          <w:i/>
          <w:lang w:val="en-US"/>
        </w:rPr>
        <w:t xml:space="preserve">Observation: Using the same TX beam for PUSCH as used for Msg3 PUSCH until SRS resource(s) are configured is not seen as complete solution since the TX beam may get out-dated. </w:t>
      </w:r>
    </w:p>
    <w:p w14:paraId="2F51C68D" w14:textId="05ABC53F" w:rsidR="003A5BDB" w:rsidRDefault="003A5BDB" w:rsidP="00B17E5A">
      <w:pPr>
        <w:rPr>
          <w:b/>
          <w:lang w:val="en-US"/>
        </w:rPr>
      </w:pPr>
      <w:r>
        <w:rPr>
          <w:b/>
          <w:i/>
          <w:lang w:val="en-US"/>
        </w:rPr>
        <w:t xml:space="preserve">Proposal: UE should use the same TX beam </w:t>
      </w:r>
      <w:r w:rsidR="00D10F6F">
        <w:rPr>
          <w:b/>
          <w:i/>
          <w:lang w:val="en-US"/>
        </w:rPr>
        <w:t xml:space="preserve">for PUSCH </w:t>
      </w:r>
      <w:r>
        <w:rPr>
          <w:b/>
          <w:i/>
          <w:lang w:val="en-US"/>
        </w:rPr>
        <w:t>as it used for Msg3 PUSCH until configured QCL reference RS for PUSCH DMRS.</w:t>
      </w:r>
    </w:p>
    <w:p w14:paraId="6F3AD6ED" w14:textId="77777777" w:rsidR="003A5BDB" w:rsidRDefault="00CD3472" w:rsidP="006A4374">
      <w:r>
        <w:rPr>
          <w:lang w:val="en-US"/>
        </w:rPr>
        <w:t xml:space="preserve">Another </w:t>
      </w:r>
      <w:r w:rsidR="00A2034B">
        <w:rPr>
          <w:lang w:val="en-US"/>
        </w:rPr>
        <w:t xml:space="preserve">potential </w:t>
      </w:r>
      <w:r>
        <w:rPr>
          <w:lang w:val="en-US"/>
        </w:rPr>
        <w:t>solution discussed in [</w:t>
      </w:r>
      <w:r w:rsidR="00A2034B">
        <w:rPr>
          <w:lang w:val="en-US"/>
        </w:rPr>
        <w:t xml:space="preserve">3] would be that </w:t>
      </w:r>
      <w:r w:rsidR="00A2034B">
        <w:t>i</w:t>
      </w:r>
      <w:r w:rsidR="00A2034B" w:rsidRPr="00DC51DE">
        <w:t xml:space="preserve">f SRS not configured, </w:t>
      </w:r>
      <w:r w:rsidR="00A2034B">
        <w:t xml:space="preserve">UE assumes </w:t>
      </w:r>
      <w:r w:rsidR="00A2034B" w:rsidRPr="00DC51DE">
        <w:t xml:space="preserve">spatial relation to </w:t>
      </w:r>
      <w:r w:rsidR="00A2034B">
        <w:t xml:space="preserve">the </w:t>
      </w:r>
      <w:r w:rsidR="00A2034B" w:rsidRPr="00DC51DE">
        <w:t xml:space="preserve">DL RS provided by </w:t>
      </w:r>
      <w:r w:rsidR="00A2034B">
        <w:t xml:space="preserve">the </w:t>
      </w:r>
      <w:r w:rsidR="00A2034B" w:rsidRPr="00DC51DE">
        <w:t>TCI state used for PDCCH QCL</w:t>
      </w:r>
      <w:r w:rsidR="00A2034B">
        <w:t xml:space="preserve"> indication</w:t>
      </w:r>
      <w:r w:rsidR="00A2034B" w:rsidRPr="00DC51DE">
        <w:t xml:space="preserve"> (</w:t>
      </w:r>
      <w:r w:rsidR="00A2034B">
        <w:t xml:space="preserve">i.e., the PDCCH carrying the </w:t>
      </w:r>
      <w:r w:rsidR="00A2034B" w:rsidRPr="00DC51DE">
        <w:t>DCI that schedules PUSCH)</w:t>
      </w:r>
      <w:r w:rsidR="00A2034B">
        <w:t xml:space="preserve">. That would be relatively simple and straightforward solution. Each CORESET is associated with the search space configuration indicating the monitoring pattern for the PDCCH reception meaning that the used transmit beam for the PDCCH follows certain time domain pattern depending on the CORESET and search space configurations. Thus, it </w:t>
      </w:r>
      <w:r w:rsidR="00A2034B">
        <w:lastRenderedPageBreak/>
        <w:t xml:space="preserve">may be argued that if the PUSCH transmit beam would be determined from the </w:t>
      </w:r>
      <w:r w:rsidR="003A5BDB">
        <w:t xml:space="preserve">scheduling </w:t>
      </w:r>
      <w:r w:rsidR="00A2034B">
        <w:t xml:space="preserve">PDCCH transmit beam </w:t>
      </w:r>
      <w:r w:rsidR="003A5BDB">
        <w:t xml:space="preserve">there is some scheduling flexibility limitation for the gNB in terms of which RX beam to use at certain time slot. </w:t>
      </w:r>
    </w:p>
    <w:p w14:paraId="3F543BC8" w14:textId="77777777" w:rsidR="003A5BDB" w:rsidRPr="003A5BDB" w:rsidRDefault="003A5BDB" w:rsidP="006A4374">
      <w:pPr>
        <w:rPr>
          <w:b/>
          <w:i/>
          <w:lang w:val="en-US"/>
        </w:rPr>
      </w:pPr>
      <w:r>
        <w:rPr>
          <w:b/>
          <w:i/>
          <w:lang w:val="en-US"/>
        </w:rPr>
        <w:t xml:space="preserve">Observation: Solution where </w:t>
      </w:r>
      <w:r w:rsidRPr="003A5BDB">
        <w:rPr>
          <w:b/>
          <w:i/>
          <w:lang w:val="en-US"/>
        </w:rPr>
        <w:t xml:space="preserve">UE assumes spatial relation </w:t>
      </w:r>
      <w:r>
        <w:rPr>
          <w:b/>
          <w:i/>
          <w:lang w:val="en-US"/>
        </w:rPr>
        <w:t xml:space="preserve">of PUSCH DMRS </w:t>
      </w:r>
      <w:r w:rsidRPr="003A5BDB">
        <w:rPr>
          <w:b/>
          <w:i/>
          <w:lang w:val="en-US"/>
        </w:rPr>
        <w:t>to the DL RS provided by the TCI state used for PDCCH QCL indication</w:t>
      </w:r>
      <w:r>
        <w:rPr>
          <w:b/>
          <w:i/>
          <w:lang w:val="en-US"/>
        </w:rPr>
        <w:t xml:space="preserve"> (</w:t>
      </w:r>
      <w:r w:rsidRPr="003A5BDB">
        <w:rPr>
          <w:b/>
          <w:i/>
          <w:lang w:val="en-US"/>
        </w:rPr>
        <w:t>i.e., the PDCCH carrying the DCI that schedules PUSCH</w:t>
      </w:r>
      <w:r>
        <w:rPr>
          <w:b/>
          <w:i/>
          <w:lang w:val="en-US"/>
        </w:rPr>
        <w:t xml:space="preserve">) is simple and straightforward but limits gNB scheduling flexibility. </w:t>
      </w:r>
    </w:p>
    <w:p w14:paraId="1D8640E6" w14:textId="65BFBA75" w:rsidR="006A4374" w:rsidRDefault="00A614C6" w:rsidP="006A4374">
      <w:pPr>
        <w:rPr>
          <w:lang w:val="en-US"/>
        </w:rPr>
      </w:pPr>
      <w:r>
        <w:rPr>
          <w:lang w:val="en-US"/>
        </w:rPr>
        <w:t>As discussed, it’s expected that</w:t>
      </w:r>
      <w:r w:rsidR="0093731D">
        <w:rPr>
          <w:lang w:val="en-US"/>
        </w:rPr>
        <w:t xml:space="preserve"> the UE supports TX/RX beam correspondence</w:t>
      </w:r>
      <w:r>
        <w:rPr>
          <w:lang w:val="en-US"/>
        </w:rPr>
        <w:t xml:space="preserve"> and thus</w:t>
      </w:r>
      <w:r w:rsidR="0093731D">
        <w:rPr>
          <w:lang w:val="en-US"/>
        </w:rPr>
        <w:t xml:space="preserve"> UL TX beam</w:t>
      </w:r>
      <w:r>
        <w:rPr>
          <w:lang w:val="en-US"/>
        </w:rPr>
        <w:t>(s)</w:t>
      </w:r>
      <w:r w:rsidR="0093731D">
        <w:rPr>
          <w:lang w:val="en-US"/>
        </w:rPr>
        <w:t xml:space="preserve"> </w:t>
      </w:r>
      <w:r w:rsidR="00476A96">
        <w:rPr>
          <w:lang w:val="en-US"/>
        </w:rPr>
        <w:t>can be</w:t>
      </w:r>
      <w:r w:rsidR="0093731D">
        <w:rPr>
          <w:lang w:val="en-US"/>
        </w:rPr>
        <w:t xml:space="preserve"> determined from downlink RS</w:t>
      </w:r>
      <w:r>
        <w:rPr>
          <w:lang w:val="en-US"/>
        </w:rPr>
        <w:t>s</w:t>
      </w:r>
      <w:r w:rsidR="0093731D">
        <w:rPr>
          <w:lang w:val="en-US"/>
        </w:rPr>
        <w:t xml:space="preserve">. </w:t>
      </w:r>
      <w:r w:rsidR="003442B3">
        <w:rPr>
          <w:lang w:val="en-US"/>
        </w:rPr>
        <w:t>Thus, it make</w:t>
      </w:r>
      <w:r w:rsidR="006A4374">
        <w:rPr>
          <w:lang w:val="en-US"/>
        </w:rPr>
        <w:t>s</w:t>
      </w:r>
      <w:r w:rsidR="003442B3">
        <w:rPr>
          <w:lang w:val="en-US"/>
        </w:rPr>
        <w:t xml:space="preserve"> sense to support beam indication for PUSCH that is based on configuring the downlink RS as </w:t>
      </w:r>
      <w:r>
        <w:rPr>
          <w:lang w:val="en-US"/>
        </w:rPr>
        <w:t xml:space="preserve">spatial </w:t>
      </w:r>
      <w:r w:rsidR="003442B3">
        <w:rPr>
          <w:lang w:val="en-US"/>
        </w:rPr>
        <w:t>QCL reference for the PUSCH DRMS.</w:t>
      </w:r>
      <w:r w:rsidR="0032061E">
        <w:rPr>
          <w:lang w:val="en-US"/>
        </w:rPr>
        <w:t xml:space="preserve"> Given that UE will be configured with TCI table for QCL reference RS indication for different DL signals like PDCCH DRMS and PDSCH DMRS, the TCI table could also be used for configuring PUSCH DMRS QCL assumption. </w:t>
      </w:r>
      <w:r w:rsidR="006A4374">
        <w:rPr>
          <w:lang w:val="en-US"/>
        </w:rPr>
        <w:t>QCL reference RSs would be updated over time based on measurement results and thus situation that used transmit beam get out-dated could be avoided with the TCI framework applied also for the PUSCH. Configuration of TCI states for PUSCH and activation of the states to be signalled in DCI could follow the principles agreed</w:t>
      </w:r>
      <w:r w:rsidR="00711A43">
        <w:rPr>
          <w:lang w:val="en-US"/>
        </w:rPr>
        <w:t xml:space="preserve"> for the PDSCH beam indication. </w:t>
      </w:r>
    </w:p>
    <w:p w14:paraId="332AC4D9" w14:textId="5E495083" w:rsidR="00476A96" w:rsidRDefault="00127098" w:rsidP="006A4374">
      <w:pPr>
        <w:rPr>
          <w:lang w:eastAsia="x-none"/>
        </w:rPr>
      </w:pPr>
      <w:r>
        <w:rPr>
          <w:lang w:eastAsia="x-none"/>
        </w:rPr>
        <w:t>Corresponding</w:t>
      </w:r>
      <w:r w:rsidR="00476A96">
        <w:rPr>
          <w:lang w:eastAsia="x-none"/>
        </w:rPr>
        <w:t xml:space="preserve">ly, the logic would go so that the UE is configured a TCI table with one or multiple TCI states. There could be states that are for PUSCH only or for both PDSCH and PUSCH. Similar to PDSCH, there could be a parameter, </w:t>
      </w:r>
      <w:r w:rsidR="00476A96">
        <w:rPr>
          <w:i/>
          <w:lang w:eastAsia="x-none"/>
        </w:rPr>
        <w:t>tci-PresentInDCI_PUSCH</w:t>
      </w:r>
      <w:r w:rsidR="00476A96">
        <w:rPr>
          <w:lang w:eastAsia="x-none"/>
        </w:rPr>
        <w:t>, to control whether TCI state index is given in the UL grant to determine QCL assumptions for the PUSCH DMRS.</w:t>
      </w:r>
      <w:r w:rsidR="00476A96" w:rsidRPr="00476A96">
        <w:rPr>
          <w:i/>
          <w:lang w:eastAsia="x-none"/>
        </w:rPr>
        <w:t xml:space="preserve"> </w:t>
      </w:r>
      <w:r w:rsidR="00476A96">
        <w:rPr>
          <w:i/>
          <w:lang w:eastAsia="x-none"/>
        </w:rPr>
        <w:t xml:space="preserve">tci-PresentInDCI_PUSCH </w:t>
      </w:r>
      <w:r w:rsidR="00476A96">
        <w:rPr>
          <w:lang w:eastAsia="x-none"/>
        </w:rPr>
        <w:t xml:space="preserve">could be defined per CORESET. If the </w:t>
      </w:r>
      <w:r w:rsidR="00476A96">
        <w:rPr>
          <w:i/>
          <w:lang w:eastAsia="x-none"/>
        </w:rPr>
        <w:t xml:space="preserve">tci-PresentInDCI_PUSCH </w:t>
      </w:r>
      <w:r w:rsidR="00476A96">
        <w:rPr>
          <w:lang w:eastAsia="x-none"/>
        </w:rPr>
        <w:t xml:space="preserve">is ‘disabled’ the UE determines </w:t>
      </w:r>
      <w:r w:rsidR="00476A96" w:rsidRPr="00476A96">
        <w:rPr>
          <w:lang w:eastAsia="x-none"/>
        </w:rPr>
        <w:t>spatial relation of PUSCH DMRS to the DL RS provided by the TCI state used for PDCCH QCL indicatio</w:t>
      </w:r>
      <w:r w:rsidR="00476A96">
        <w:rPr>
          <w:lang w:eastAsia="x-none"/>
        </w:rPr>
        <w:t xml:space="preserve">n scheduling the PUSCH. Otherwise the UL grant provides TCI state index based on which the UE determines spatial relation of PUSCH DRMS. The source RS can be SS/PBCH block, CSI-RS or SRS. </w:t>
      </w:r>
    </w:p>
    <w:p w14:paraId="12DDC560" w14:textId="32394958" w:rsidR="00476A96" w:rsidRPr="00476A96" w:rsidRDefault="00476A96" w:rsidP="006A4374">
      <w:pPr>
        <w:rPr>
          <w:lang w:eastAsia="x-none"/>
        </w:rPr>
      </w:pPr>
      <w:r>
        <w:rPr>
          <w:b/>
          <w:i/>
          <w:lang w:val="en-US"/>
        </w:rPr>
        <w:t>Proposal: Reuse TCI framework for PUSCH beam indication and adopt the principles agreed for the PDSCH beam indication.</w:t>
      </w:r>
    </w:p>
    <w:p w14:paraId="26246286" w14:textId="77777777"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p>
    <w:p w14:paraId="5CE47962" w14:textId="3A739CDD" w:rsidR="0004189A" w:rsidRDefault="00D50246" w:rsidP="0004189A">
      <w:r>
        <w:t xml:space="preserve">This contribution discussed about beam indication for </w:t>
      </w:r>
      <w:r w:rsidR="008C3536">
        <w:t>NR-PUSCH</w:t>
      </w:r>
      <w:r>
        <w:t>. Based on discussion the following proposals and observations were made:</w:t>
      </w:r>
    </w:p>
    <w:p w14:paraId="4411821D" w14:textId="77777777" w:rsidR="00EA5324" w:rsidRPr="00D10F6F" w:rsidRDefault="00EA5324" w:rsidP="00EA5324">
      <w:pPr>
        <w:rPr>
          <w:b/>
          <w:i/>
          <w:lang w:val="en-US"/>
        </w:rPr>
      </w:pPr>
      <w:r>
        <w:rPr>
          <w:b/>
          <w:i/>
          <w:lang w:val="en-US"/>
        </w:rPr>
        <w:t>Observation: TX/RX beam correspondence should be the baseline at UE at above 6 GHz.</w:t>
      </w:r>
    </w:p>
    <w:p w14:paraId="6EB96062" w14:textId="77777777" w:rsidR="00EA5324" w:rsidRPr="00CD3472" w:rsidRDefault="00EA5324" w:rsidP="00EA5324">
      <w:pPr>
        <w:rPr>
          <w:b/>
          <w:i/>
          <w:lang w:val="en-US"/>
        </w:rPr>
      </w:pPr>
      <w:r>
        <w:rPr>
          <w:b/>
          <w:i/>
          <w:lang w:val="en-US"/>
        </w:rPr>
        <w:t xml:space="preserve">Observation: PUSCH should be able to be scheduled without prior SRS transmissions. </w:t>
      </w:r>
    </w:p>
    <w:p w14:paraId="58B3853D" w14:textId="0055AE3E" w:rsidR="00EA5324" w:rsidRPr="00E46055" w:rsidRDefault="00EA5324" w:rsidP="00EA5324">
      <w:pPr>
        <w:rPr>
          <w:b/>
          <w:i/>
          <w:lang w:val="en-US"/>
        </w:rPr>
      </w:pPr>
      <w:r>
        <w:rPr>
          <w:b/>
          <w:i/>
          <w:lang w:val="en-US"/>
        </w:rPr>
        <w:t>Observation: It’s not currently specified how the UE determines the transmit beam for the PUSCH before the SRS resources are configured when scheduled either using DCI format 0_0 or 0_1.</w:t>
      </w:r>
    </w:p>
    <w:p w14:paraId="7A0B55E4" w14:textId="77777777" w:rsidR="00EA5324" w:rsidRDefault="00EA5324" w:rsidP="00EA5324">
      <w:pPr>
        <w:rPr>
          <w:b/>
          <w:i/>
          <w:lang w:val="en-US"/>
        </w:rPr>
      </w:pPr>
      <w:r>
        <w:rPr>
          <w:b/>
          <w:i/>
          <w:lang w:val="en-US"/>
        </w:rPr>
        <w:t xml:space="preserve">Observation: Using the same TX beam for PUSCH as used for Msg3 PUSCH until SRS resource(s) are configured is not seen as complete solution since the TX beam may get out-dated. </w:t>
      </w:r>
    </w:p>
    <w:p w14:paraId="1FEAF8C7" w14:textId="77777777" w:rsidR="00EA5324" w:rsidRDefault="00EA5324" w:rsidP="00EA5324">
      <w:pPr>
        <w:rPr>
          <w:b/>
          <w:lang w:val="en-US"/>
        </w:rPr>
      </w:pPr>
      <w:r>
        <w:rPr>
          <w:b/>
          <w:i/>
          <w:lang w:val="en-US"/>
        </w:rPr>
        <w:t>Proposal: UE should use the same TX beam as it used for Msg3 PUSCH until configured QCL reference RS for PUSCH DMRS.</w:t>
      </w:r>
    </w:p>
    <w:p w14:paraId="1456A1F8" w14:textId="77777777" w:rsidR="00EA5324" w:rsidRPr="003A5BDB" w:rsidRDefault="00EA5324" w:rsidP="00EA5324">
      <w:pPr>
        <w:rPr>
          <w:b/>
          <w:i/>
          <w:lang w:val="en-US"/>
        </w:rPr>
      </w:pPr>
      <w:r>
        <w:rPr>
          <w:b/>
          <w:i/>
          <w:lang w:val="en-US"/>
        </w:rPr>
        <w:t xml:space="preserve">Observation: Solution where </w:t>
      </w:r>
      <w:r w:rsidRPr="003A5BDB">
        <w:rPr>
          <w:b/>
          <w:i/>
          <w:lang w:val="en-US"/>
        </w:rPr>
        <w:t xml:space="preserve">UE assumes spatial relation </w:t>
      </w:r>
      <w:r>
        <w:rPr>
          <w:b/>
          <w:i/>
          <w:lang w:val="en-US"/>
        </w:rPr>
        <w:t xml:space="preserve">of PUSCH DMRS </w:t>
      </w:r>
      <w:r w:rsidRPr="003A5BDB">
        <w:rPr>
          <w:b/>
          <w:i/>
          <w:lang w:val="en-US"/>
        </w:rPr>
        <w:t>to the DL RS provided by the TCI state used for PDCCH QCL indication</w:t>
      </w:r>
      <w:r>
        <w:rPr>
          <w:b/>
          <w:i/>
          <w:lang w:val="en-US"/>
        </w:rPr>
        <w:t xml:space="preserve"> (</w:t>
      </w:r>
      <w:r w:rsidRPr="003A5BDB">
        <w:rPr>
          <w:b/>
          <w:i/>
          <w:lang w:val="en-US"/>
        </w:rPr>
        <w:t>i.e., the PDCCH carrying the DCI that schedules PUSCH</w:t>
      </w:r>
      <w:r>
        <w:rPr>
          <w:b/>
          <w:i/>
          <w:lang w:val="en-US"/>
        </w:rPr>
        <w:t xml:space="preserve">) is simple and straightforward but limits gNB scheduling flexibility. </w:t>
      </w:r>
    </w:p>
    <w:p w14:paraId="6EB3076D" w14:textId="77777777" w:rsidR="00711A43" w:rsidRDefault="00711A43" w:rsidP="00842911">
      <w:pPr>
        <w:rPr>
          <w:b/>
          <w:i/>
          <w:lang w:val="en-US"/>
        </w:rPr>
      </w:pPr>
      <w:r>
        <w:rPr>
          <w:b/>
          <w:i/>
          <w:lang w:val="en-US"/>
        </w:rPr>
        <w:t>Proposal: Reuse TCI framework for PUSCH beam indication and adopt the principles agreed for the PDSCH beam indication.</w:t>
      </w:r>
    </w:p>
    <w:p w14:paraId="6530C3CD" w14:textId="77777777" w:rsidR="0034111C" w:rsidRPr="00A51522" w:rsidRDefault="0034111C">
      <w:pPr>
        <w:pStyle w:val="Heading1"/>
      </w:pPr>
      <w:r w:rsidRPr="00A51522">
        <w:t>References</w:t>
      </w:r>
      <w:r w:rsidR="00A2459D" w:rsidRPr="00A51522">
        <w:t xml:space="preserve"> </w:t>
      </w:r>
    </w:p>
    <w:p w14:paraId="1AD47C32"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64AD5324" w14:textId="77777777" w:rsidR="00E966A0" w:rsidRDefault="00A12B8F" w:rsidP="00E966A0">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85B8922" w14:textId="77777777" w:rsidR="00CD3472" w:rsidRPr="00CD3472" w:rsidRDefault="00CD3472" w:rsidP="00DE12AD">
      <w:pPr>
        <w:numPr>
          <w:ilvl w:val="0"/>
          <w:numId w:val="1"/>
        </w:numPr>
        <w:rPr>
          <w:sz w:val="18"/>
        </w:rPr>
      </w:pPr>
      <w:r>
        <w:rPr>
          <w:sz w:val="18"/>
        </w:rPr>
        <w:t>R1-1800751</w:t>
      </w:r>
      <w:r w:rsidR="00DE12AD">
        <w:rPr>
          <w:sz w:val="18"/>
        </w:rPr>
        <w:t xml:space="preserve">, </w:t>
      </w:r>
      <w:r w:rsidR="00DE12AD" w:rsidRPr="00DE12AD">
        <w:rPr>
          <w:i/>
          <w:sz w:val="18"/>
        </w:rPr>
        <w:t>“Feature lead summary 3 of beam measurement and reporting</w:t>
      </w:r>
      <w:r w:rsidR="00DE12AD">
        <w:rPr>
          <w:sz w:val="18"/>
        </w:rPr>
        <w:t>”, Ericsson</w:t>
      </w:r>
    </w:p>
    <w:p w14:paraId="1AA8BD43" w14:textId="77777777" w:rsidR="00E966A0" w:rsidRDefault="00E966A0" w:rsidP="00E966A0">
      <w:pPr>
        <w:pStyle w:val="Heading1"/>
      </w:pPr>
      <w:r>
        <w:lastRenderedPageBreak/>
        <w:t>Appendix</w:t>
      </w:r>
    </w:p>
    <w:p w14:paraId="567179FF" w14:textId="77777777" w:rsidR="00E966A0" w:rsidRDefault="00E966A0" w:rsidP="00E966A0">
      <w:pPr>
        <w:rPr>
          <w:sz w:val="18"/>
        </w:rPr>
      </w:pPr>
    </w:p>
    <w:sectPr w:rsidR="00E966A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AB0EA" w14:textId="77777777" w:rsidR="00CA7936" w:rsidRDefault="00CA7936">
      <w:r>
        <w:separator/>
      </w:r>
    </w:p>
  </w:endnote>
  <w:endnote w:type="continuationSeparator" w:id="0">
    <w:p w14:paraId="0BE71EC0" w14:textId="77777777" w:rsidR="00CA7936" w:rsidRDefault="00CA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7C916" w14:textId="77777777" w:rsidR="00CA7936" w:rsidRDefault="00CA7936">
      <w:r>
        <w:separator/>
      </w:r>
    </w:p>
  </w:footnote>
  <w:footnote w:type="continuationSeparator" w:id="0">
    <w:p w14:paraId="4F67DBE0" w14:textId="77777777" w:rsidR="00CA7936" w:rsidRDefault="00CA7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75"/>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4AEF"/>
    <w:rsid w:val="00026C65"/>
    <w:rsid w:val="00027755"/>
    <w:rsid w:val="00030048"/>
    <w:rsid w:val="0003072D"/>
    <w:rsid w:val="000314CD"/>
    <w:rsid w:val="000317D2"/>
    <w:rsid w:val="00033544"/>
    <w:rsid w:val="0003479E"/>
    <w:rsid w:val="00035691"/>
    <w:rsid w:val="000405C7"/>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707CA"/>
    <w:rsid w:val="0007205E"/>
    <w:rsid w:val="00072BBA"/>
    <w:rsid w:val="00073C7B"/>
    <w:rsid w:val="0007407C"/>
    <w:rsid w:val="000747F0"/>
    <w:rsid w:val="00075FDA"/>
    <w:rsid w:val="00076386"/>
    <w:rsid w:val="00076D82"/>
    <w:rsid w:val="00081EC2"/>
    <w:rsid w:val="00083800"/>
    <w:rsid w:val="00084A65"/>
    <w:rsid w:val="000906D7"/>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A79"/>
    <w:rsid w:val="000F15B2"/>
    <w:rsid w:val="000F19DE"/>
    <w:rsid w:val="000F2E1F"/>
    <w:rsid w:val="000F37B0"/>
    <w:rsid w:val="000F4595"/>
    <w:rsid w:val="000F4CB2"/>
    <w:rsid w:val="000F568D"/>
    <w:rsid w:val="000F74B5"/>
    <w:rsid w:val="000F77A6"/>
    <w:rsid w:val="00100486"/>
    <w:rsid w:val="00101C4F"/>
    <w:rsid w:val="00102C9F"/>
    <w:rsid w:val="00105EFC"/>
    <w:rsid w:val="001068D2"/>
    <w:rsid w:val="001103BD"/>
    <w:rsid w:val="00111208"/>
    <w:rsid w:val="00111808"/>
    <w:rsid w:val="0011339F"/>
    <w:rsid w:val="00114E96"/>
    <w:rsid w:val="001204DD"/>
    <w:rsid w:val="00122839"/>
    <w:rsid w:val="001237AC"/>
    <w:rsid w:val="00124E12"/>
    <w:rsid w:val="0012673D"/>
    <w:rsid w:val="001269B8"/>
    <w:rsid w:val="0012709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8D"/>
    <w:rsid w:val="001976AA"/>
    <w:rsid w:val="001A08B4"/>
    <w:rsid w:val="001A15C6"/>
    <w:rsid w:val="001A5E19"/>
    <w:rsid w:val="001B01FA"/>
    <w:rsid w:val="001B0832"/>
    <w:rsid w:val="001B18A7"/>
    <w:rsid w:val="001B36FC"/>
    <w:rsid w:val="001B41ED"/>
    <w:rsid w:val="001B4607"/>
    <w:rsid w:val="001B7ABC"/>
    <w:rsid w:val="001B7E0C"/>
    <w:rsid w:val="001C0674"/>
    <w:rsid w:val="001C226F"/>
    <w:rsid w:val="001C4669"/>
    <w:rsid w:val="001C66AC"/>
    <w:rsid w:val="001C6754"/>
    <w:rsid w:val="001C68F2"/>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162"/>
    <w:rsid w:val="0020535A"/>
    <w:rsid w:val="00206955"/>
    <w:rsid w:val="00210309"/>
    <w:rsid w:val="00212FB8"/>
    <w:rsid w:val="00213184"/>
    <w:rsid w:val="00213709"/>
    <w:rsid w:val="002149AF"/>
    <w:rsid w:val="00214A86"/>
    <w:rsid w:val="00215AAA"/>
    <w:rsid w:val="002177E5"/>
    <w:rsid w:val="00217CDF"/>
    <w:rsid w:val="00221985"/>
    <w:rsid w:val="00221EC5"/>
    <w:rsid w:val="00222A7A"/>
    <w:rsid w:val="00224A2C"/>
    <w:rsid w:val="002251A1"/>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163F"/>
    <w:rsid w:val="002A2413"/>
    <w:rsid w:val="002A2F5E"/>
    <w:rsid w:val="002A352A"/>
    <w:rsid w:val="002A607D"/>
    <w:rsid w:val="002A6BC0"/>
    <w:rsid w:val="002B0F01"/>
    <w:rsid w:val="002B132E"/>
    <w:rsid w:val="002B2813"/>
    <w:rsid w:val="002B2D29"/>
    <w:rsid w:val="002C02C8"/>
    <w:rsid w:val="002C1EEA"/>
    <w:rsid w:val="002C3EAA"/>
    <w:rsid w:val="002C6034"/>
    <w:rsid w:val="002C635B"/>
    <w:rsid w:val="002C7CFF"/>
    <w:rsid w:val="002D0BC6"/>
    <w:rsid w:val="002D17C5"/>
    <w:rsid w:val="002D193F"/>
    <w:rsid w:val="002D365F"/>
    <w:rsid w:val="002D6113"/>
    <w:rsid w:val="002D6A22"/>
    <w:rsid w:val="002D7C86"/>
    <w:rsid w:val="002E00D5"/>
    <w:rsid w:val="002E0692"/>
    <w:rsid w:val="002E1D74"/>
    <w:rsid w:val="002E2943"/>
    <w:rsid w:val="002E2CF1"/>
    <w:rsid w:val="002E34AF"/>
    <w:rsid w:val="002E408D"/>
    <w:rsid w:val="002E4AAC"/>
    <w:rsid w:val="002E53DE"/>
    <w:rsid w:val="002E563B"/>
    <w:rsid w:val="002E62D2"/>
    <w:rsid w:val="002E6B21"/>
    <w:rsid w:val="002E6D6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5D7A"/>
    <w:rsid w:val="00326145"/>
    <w:rsid w:val="00327163"/>
    <w:rsid w:val="00327305"/>
    <w:rsid w:val="00327531"/>
    <w:rsid w:val="00330187"/>
    <w:rsid w:val="00331C77"/>
    <w:rsid w:val="00331F96"/>
    <w:rsid w:val="00332B55"/>
    <w:rsid w:val="00335EA8"/>
    <w:rsid w:val="003363DD"/>
    <w:rsid w:val="00336FB7"/>
    <w:rsid w:val="00340361"/>
    <w:rsid w:val="00340795"/>
    <w:rsid w:val="0034111C"/>
    <w:rsid w:val="00341E60"/>
    <w:rsid w:val="0034217F"/>
    <w:rsid w:val="00343954"/>
    <w:rsid w:val="003442B3"/>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92E"/>
    <w:rsid w:val="00393E44"/>
    <w:rsid w:val="00394C23"/>
    <w:rsid w:val="00397AB6"/>
    <w:rsid w:val="00397ACA"/>
    <w:rsid w:val="003A0DA6"/>
    <w:rsid w:val="003A10C3"/>
    <w:rsid w:val="003A419A"/>
    <w:rsid w:val="003A597F"/>
    <w:rsid w:val="003A5BDB"/>
    <w:rsid w:val="003A71A8"/>
    <w:rsid w:val="003B00CA"/>
    <w:rsid w:val="003B030B"/>
    <w:rsid w:val="003B0432"/>
    <w:rsid w:val="003B0821"/>
    <w:rsid w:val="003B0BE9"/>
    <w:rsid w:val="003B1EF0"/>
    <w:rsid w:val="003B2E9B"/>
    <w:rsid w:val="003B2F8D"/>
    <w:rsid w:val="003B3DD0"/>
    <w:rsid w:val="003B4FAA"/>
    <w:rsid w:val="003B547A"/>
    <w:rsid w:val="003B75B9"/>
    <w:rsid w:val="003B77E4"/>
    <w:rsid w:val="003B7AF2"/>
    <w:rsid w:val="003C1A18"/>
    <w:rsid w:val="003C5C41"/>
    <w:rsid w:val="003C7461"/>
    <w:rsid w:val="003D0788"/>
    <w:rsid w:val="003D132A"/>
    <w:rsid w:val="003D1517"/>
    <w:rsid w:val="003D1CCF"/>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76FF"/>
    <w:rsid w:val="004241C5"/>
    <w:rsid w:val="00424FA7"/>
    <w:rsid w:val="00426A87"/>
    <w:rsid w:val="004309D8"/>
    <w:rsid w:val="004313D1"/>
    <w:rsid w:val="00432110"/>
    <w:rsid w:val="00433EBE"/>
    <w:rsid w:val="00434406"/>
    <w:rsid w:val="00440EED"/>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60F8"/>
    <w:rsid w:val="00476A96"/>
    <w:rsid w:val="004772EE"/>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36F0"/>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0A93"/>
    <w:rsid w:val="005518ED"/>
    <w:rsid w:val="00551AD3"/>
    <w:rsid w:val="00552093"/>
    <w:rsid w:val="00554E4B"/>
    <w:rsid w:val="00555F67"/>
    <w:rsid w:val="005606A4"/>
    <w:rsid w:val="005607B8"/>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80793"/>
    <w:rsid w:val="00581470"/>
    <w:rsid w:val="00582087"/>
    <w:rsid w:val="005831DD"/>
    <w:rsid w:val="00583F5A"/>
    <w:rsid w:val="00584320"/>
    <w:rsid w:val="00587229"/>
    <w:rsid w:val="00587503"/>
    <w:rsid w:val="00590E8D"/>
    <w:rsid w:val="00591511"/>
    <w:rsid w:val="0059331A"/>
    <w:rsid w:val="00594937"/>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1BD8"/>
    <w:rsid w:val="005C263C"/>
    <w:rsid w:val="005C2679"/>
    <w:rsid w:val="005C50E4"/>
    <w:rsid w:val="005C6358"/>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5879"/>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65D8"/>
    <w:rsid w:val="006567AC"/>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374"/>
    <w:rsid w:val="006A4856"/>
    <w:rsid w:val="006A564B"/>
    <w:rsid w:val="006B1545"/>
    <w:rsid w:val="006B2BCA"/>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278D3"/>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3136"/>
    <w:rsid w:val="007E3D39"/>
    <w:rsid w:val="007E6114"/>
    <w:rsid w:val="007E79C5"/>
    <w:rsid w:val="007F2635"/>
    <w:rsid w:val="007F43BC"/>
    <w:rsid w:val="007F4740"/>
    <w:rsid w:val="008006C6"/>
    <w:rsid w:val="0080153E"/>
    <w:rsid w:val="0080742D"/>
    <w:rsid w:val="0081151E"/>
    <w:rsid w:val="00812498"/>
    <w:rsid w:val="008127E6"/>
    <w:rsid w:val="0081336E"/>
    <w:rsid w:val="00813928"/>
    <w:rsid w:val="00815B1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350F"/>
    <w:rsid w:val="00834358"/>
    <w:rsid w:val="008346BD"/>
    <w:rsid w:val="00834F58"/>
    <w:rsid w:val="00835AC4"/>
    <w:rsid w:val="00835E2C"/>
    <w:rsid w:val="00836B7A"/>
    <w:rsid w:val="008409AA"/>
    <w:rsid w:val="00840E0E"/>
    <w:rsid w:val="00840FB8"/>
    <w:rsid w:val="00842819"/>
    <w:rsid w:val="00842911"/>
    <w:rsid w:val="00843A7A"/>
    <w:rsid w:val="008447F5"/>
    <w:rsid w:val="00845FC7"/>
    <w:rsid w:val="00846292"/>
    <w:rsid w:val="008506E1"/>
    <w:rsid w:val="008515EE"/>
    <w:rsid w:val="008528D3"/>
    <w:rsid w:val="00854553"/>
    <w:rsid w:val="008545E6"/>
    <w:rsid w:val="008551AC"/>
    <w:rsid w:val="008555CE"/>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86E4C"/>
    <w:rsid w:val="00887724"/>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3536"/>
    <w:rsid w:val="008C603A"/>
    <w:rsid w:val="008C71C8"/>
    <w:rsid w:val="008D167D"/>
    <w:rsid w:val="008D4B58"/>
    <w:rsid w:val="008D4B8A"/>
    <w:rsid w:val="008D7377"/>
    <w:rsid w:val="008D7D7B"/>
    <w:rsid w:val="008E043B"/>
    <w:rsid w:val="008E0F52"/>
    <w:rsid w:val="008E2316"/>
    <w:rsid w:val="008E34BE"/>
    <w:rsid w:val="008E42F4"/>
    <w:rsid w:val="008E5657"/>
    <w:rsid w:val="008E5E51"/>
    <w:rsid w:val="008F00DB"/>
    <w:rsid w:val="008F1264"/>
    <w:rsid w:val="008F1726"/>
    <w:rsid w:val="008F47C6"/>
    <w:rsid w:val="009006A2"/>
    <w:rsid w:val="0090102B"/>
    <w:rsid w:val="00901326"/>
    <w:rsid w:val="00901448"/>
    <w:rsid w:val="00903545"/>
    <w:rsid w:val="009041E0"/>
    <w:rsid w:val="00905C47"/>
    <w:rsid w:val="00906379"/>
    <w:rsid w:val="009101EA"/>
    <w:rsid w:val="00910291"/>
    <w:rsid w:val="009106FC"/>
    <w:rsid w:val="009118BB"/>
    <w:rsid w:val="00913AC1"/>
    <w:rsid w:val="0091553C"/>
    <w:rsid w:val="00915B81"/>
    <w:rsid w:val="00915D6B"/>
    <w:rsid w:val="009160DF"/>
    <w:rsid w:val="009162C7"/>
    <w:rsid w:val="0091651A"/>
    <w:rsid w:val="00916EC2"/>
    <w:rsid w:val="009211F5"/>
    <w:rsid w:val="009213BD"/>
    <w:rsid w:val="00924627"/>
    <w:rsid w:val="009250A8"/>
    <w:rsid w:val="00925BE6"/>
    <w:rsid w:val="00925F86"/>
    <w:rsid w:val="00926F61"/>
    <w:rsid w:val="00930884"/>
    <w:rsid w:val="0093123D"/>
    <w:rsid w:val="00933040"/>
    <w:rsid w:val="009330E9"/>
    <w:rsid w:val="00933A46"/>
    <w:rsid w:val="0093574F"/>
    <w:rsid w:val="00935D15"/>
    <w:rsid w:val="0093731D"/>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FE9"/>
    <w:rsid w:val="0095481C"/>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226"/>
    <w:rsid w:val="00990C0E"/>
    <w:rsid w:val="00990D75"/>
    <w:rsid w:val="00991093"/>
    <w:rsid w:val="0099163B"/>
    <w:rsid w:val="00992343"/>
    <w:rsid w:val="0099493B"/>
    <w:rsid w:val="00996306"/>
    <w:rsid w:val="00996744"/>
    <w:rsid w:val="00996819"/>
    <w:rsid w:val="00997CF4"/>
    <w:rsid w:val="009A1118"/>
    <w:rsid w:val="009A1169"/>
    <w:rsid w:val="009A2417"/>
    <w:rsid w:val="009A2853"/>
    <w:rsid w:val="009A3789"/>
    <w:rsid w:val="009A6919"/>
    <w:rsid w:val="009A6AC7"/>
    <w:rsid w:val="009B0408"/>
    <w:rsid w:val="009B0843"/>
    <w:rsid w:val="009B1E47"/>
    <w:rsid w:val="009B2CED"/>
    <w:rsid w:val="009B41CB"/>
    <w:rsid w:val="009B4983"/>
    <w:rsid w:val="009B7A72"/>
    <w:rsid w:val="009B7BB8"/>
    <w:rsid w:val="009C126A"/>
    <w:rsid w:val="009C171B"/>
    <w:rsid w:val="009C1D4C"/>
    <w:rsid w:val="009C2DD2"/>
    <w:rsid w:val="009C441F"/>
    <w:rsid w:val="009C4A07"/>
    <w:rsid w:val="009C4B8E"/>
    <w:rsid w:val="009C51D5"/>
    <w:rsid w:val="009C599A"/>
    <w:rsid w:val="009C5CDE"/>
    <w:rsid w:val="009C650E"/>
    <w:rsid w:val="009C70DB"/>
    <w:rsid w:val="009D1195"/>
    <w:rsid w:val="009D19BC"/>
    <w:rsid w:val="009D2348"/>
    <w:rsid w:val="009D2F0C"/>
    <w:rsid w:val="009D3578"/>
    <w:rsid w:val="009D3A5F"/>
    <w:rsid w:val="009D5193"/>
    <w:rsid w:val="009D5C32"/>
    <w:rsid w:val="009D6472"/>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594C"/>
    <w:rsid w:val="00A5765D"/>
    <w:rsid w:val="00A607CB"/>
    <w:rsid w:val="00A614C6"/>
    <w:rsid w:val="00A61A1E"/>
    <w:rsid w:val="00A6351F"/>
    <w:rsid w:val="00A65A70"/>
    <w:rsid w:val="00A66F36"/>
    <w:rsid w:val="00A676D9"/>
    <w:rsid w:val="00A67EFC"/>
    <w:rsid w:val="00A7031E"/>
    <w:rsid w:val="00A71140"/>
    <w:rsid w:val="00A74692"/>
    <w:rsid w:val="00A74ADA"/>
    <w:rsid w:val="00A7618B"/>
    <w:rsid w:val="00A7640B"/>
    <w:rsid w:val="00A76652"/>
    <w:rsid w:val="00A7778B"/>
    <w:rsid w:val="00A77C29"/>
    <w:rsid w:val="00A803BC"/>
    <w:rsid w:val="00A80969"/>
    <w:rsid w:val="00A83B4F"/>
    <w:rsid w:val="00A86EA7"/>
    <w:rsid w:val="00A875CB"/>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DD8"/>
    <w:rsid w:val="00AC1E55"/>
    <w:rsid w:val="00AC3CD1"/>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1775"/>
    <w:rsid w:val="00B1302D"/>
    <w:rsid w:val="00B1513F"/>
    <w:rsid w:val="00B1647F"/>
    <w:rsid w:val="00B1746F"/>
    <w:rsid w:val="00B17E5A"/>
    <w:rsid w:val="00B20725"/>
    <w:rsid w:val="00B2175F"/>
    <w:rsid w:val="00B245DA"/>
    <w:rsid w:val="00B2628E"/>
    <w:rsid w:val="00B266B0"/>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5CE1"/>
    <w:rsid w:val="00B46A75"/>
    <w:rsid w:val="00B472FF"/>
    <w:rsid w:val="00B500CD"/>
    <w:rsid w:val="00B505A9"/>
    <w:rsid w:val="00B51709"/>
    <w:rsid w:val="00B51FF6"/>
    <w:rsid w:val="00B5239C"/>
    <w:rsid w:val="00B52BFB"/>
    <w:rsid w:val="00B53893"/>
    <w:rsid w:val="00B548C2"/>
    <w:rsid w:val="00B54961"/>
    <w:rsid w:val="00B55428"/>
    <w:rsid w:val="00B570BF"/>
    <w:rsid w:val="00B63337"/>
    <w:rsid w:val="00B6369F"/>
    <w:rsid w:val="00B639D7"/>
    <w:rsid w:val="00B63F29"/>
    <w:rsid w:val="00B64898"/>
    <w:rsid w:val="00B66B9C"/>
    <w:rsid w:val="00B67805"/>
    <w:rsid w:val="00B70138"/>
    <w:rsid w:val="00B714F0"/>
    <w:rsid w:val="00B72452"/>
    <w:rsid w:val="00B7267A"/>
    <w:rsid w:val="00B726FF"/>
    <w:rsid w:val="00B72AA4"/>
    <w:rsid w:val="00B7550E"/>
    <w:rsid w:val="00B76BCD"/>
    <w:rsid w:val="00B76EE9"/>
    <w:rsid w:val="00B77880"/>
    <w:rsid w:val="00B80D90"/>
    <w:rsid w:val="00B82613"/>
    <w:rsid w:val="00B828B5"/>
    <w:rsid w:val="00B84E9C"/>
    <w:rsid w:val="00B85522"/>
    <w:rsid w:val="00B85771"/>
    <w:rsid w:val="00B90E2A"/>
    <w:rsid w:val="00B90F2A"/>
    <w:rsid w:val="00B9198D"/>
    <w:rsid w:val="00B93008"/>
    <w:rsid w:val="00B9406D"/>
    <w:rsid w:val="00B94BA7"/>
    <w:rsid w:val="00B94E0E"/>
    <w:rsid w:val="00B962F3"/>
    <w:rsid w:val="00B97CA3"/>
    <w:rsid w:val="00BA01A5"/>
    <w:rsid w:val="00BA1AB0"/>
    <w:rsid w:val="00BA76A9"/>
    <w:rsid w:val="00BB020F"/>
    <w:rsid w:val="00BB3E2B"/>
    <w:rsid w:val="00BB5D1C"/>
    <w:rsid w:val="00BB6552"/>
    <w:rsid w:val="00BB6B9B"/>
    <w:rsid w:val="00BB754F"/>
    <w:rsid w:val="00BB7733"/>
    <w:rsid w:val="00BC07D4"/>
    <w:rsid w:val="00BC0A5D"/>
    <w:rsid w:val="00BC0BE3"/>
    <w:rsid w:val="00BC1AD9"/>
    <w:rsid w:val="00BC32E7"/>
    <w:rsid w:val="00BC58B9"/>
    <w:rsid w:val="00BD3E68"/>
    <w:rsid w:val="00BD4223"/>
    <w:rsid w:val="00BD598A"/>
    <w:rsid w:val="00BD75B4"/>
    <w:rsid w:val="00BD7D14"/>
    <w:rsid w:val="00BE02B4"/>
    <w:rsid w:val="00BE32D5"/>
    <w:rsid w:val="00BE631E"/>
    <w:rsid w:val="00BE7F26"/>
    <w:rsid w:val="00BF0CCF"/>
    <w:rsid w:val="00BF0FC5"/>
    <w:rsid w:val="00BF10BC"/>
    <w:rsid w:val="00BF21AC"/>
    <w:rsid w:val="00BF2E53"/>
    <w:rsid w:val="00BF3669"/>
    <w:rsid w:val="00BF3C0D"/>
    <w:rsid w:val="00BF7A64"/>
    <w:rsid w:val="00C011A3"/>
    <w:rsid w:val="00C03229"/>
    <w:rsid w:val="00C03309"/>
    <w:rsid w:val="00C045E0"/>
    <w:rsid w:val="00C072FE"/>
    <w:rsid w:val="00C12E39"/>
    <w:rsid w:val="00C14164"/>
    <w:rsid w:val="00C14851"/>
    <w:rsid w:val="00C15D8E"/>
    <w:rsid w:val="00C16F3A"/>
    <w:rsid w:val="00C17012"/>
    <w:rsid w:val="00C178FB"/>
    <w:rsid w:val="00C257B7"/>
    <w:rsid w:val="00C272E8"/>
    <w:rsid w:val="00C30E1B"/>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2659"/>
    <w:rsid w:val="00C933E7"/>
    <w:rsid w:val="00C93462"/>
    <w:rsid w:val="00C94384"/>
    <w:rsid w:val="00C94A34"/>
    <w:rsid w:val="00C94C2B"/>
    <w:rsid w:val="00C96F79"/>
    <w:rsid w:val="00C97CF9"/>
    <w:rsid w:val="00CA17DD"/>
    <w:rsid w:val="00CA1863"/>
    <w:rsid w:val="00CA391D"/>
    <w:rsid w:val="00CA3ACD"/>
    <w:rsid w:val="00CA4F8B"/>
    <w:rsid w:val="00CA5295"/>
    <w:rsid w:val="00CA7936"/>
    <w:rsid w:val="00CB09DA"/>
    <w:rsid w:val="00CB0BD9"/>
    <w:rsid w:val="00CB0DE7"/>
    <w:rsid w:val="00CB19E0"/>
    <w:rsid w:val="00CB1CAC"/>
    <w:rsid w:val="00CB1DE8"/>
    <w:rsid w:val="00CB1E3B"/>
    <w:rsid w:val="00CB1F1D"/>
    <w:rsid w:val="00CB26B5"/>
    <w:rsid w:val="00CB3FE3"/>
    <w:rsid w:val="00CB71F8"/>
    <w:rsid w:val="00CC26DB"/>
    <w:rsid w:val="00CC2B70"/>
    <w:rsid w:val="00CC3DAA"/>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518B"/>
    <w:rsid w:val="00D060FF"/>
    <w:rsid w:val="00D064E8"/>
    <w:rsid w:val="00D06572"/>
    <w:rsid w:val="00D065CD"/>
    <w:rsid w:val="00D10F6F"/>
    <w:rsid w:val="00D12325"/>
    <w:rsid w:val="00D14487"/>
    <w:rsid w:val="00D15E7E"/>
    <w:rsid w:val="00D20016"/>
    <w:rsid w:val="00D2132B"/>
    <w:rsid w:val="00D2279F"/>
    <w:rsid w:val="00D22AF1"/>
    <w:rsid w:val="00D22E93"/>
    <w:rsid w:val="00D242DA"/>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64"/>
    <w:rsid w:val="00D50C12"/>
    <w:rsid w:val="00D51A77"/>
    <w:rsid w:val="00D52498"/>
    <w:rsid w:val="00D52529"/>
    <w:rsid w:val="00D52EEA"/>
    <w:rsid w:val="00D53830"/>
    <w:rsid w:val="00D55889"/>
    <w:rsid w:val="00D55D32"/>
    <w:rsid w:val="00D57AF0"/>
    <w:rsid w:val="00D57D27"/>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1C81"/>
    <w:rsid w:val="00DC3A9D"/>
    <w:rsid w:val="00DC4EC1"/>
    <w:rsid w:val="00DC51EB"/>
    <w:rsid w:val="00DC6C1E"/>
    <w:rsid w:val="00DC7951"/>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C9"/>
    <w:rsid w:val="00E37BE5"/>
    <w:rsid w:val="00E418A7"/>
    <w:rsid w:val="00E41A27"/>
    <w:rsid w:val="00E44B66"/>
    <w:rsid w:val="00E44EDD"/>
    <w:rsid w:val="00E46055"/>
    <w:rsid w:val="00E4608B"/>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060E"/>
    <w:rsid w:val="00E817E0"/>
    <w:rsid w:val="00E82EE4"/>
    <w:rsid w:val="00E831E7"/>
    <w:rsid w:val="00E84116"/>
    <w:rsid w:val="00E843B5"/>
    <w:rsid w:val="00E84A3B"/>
    <w:rsid w:val="00E85307"/>
    <w:rsid w:val="00E907E4"/>
    <w:rsid w:val="00E90A24"/>
    <w:rsid w:val="00E90C34"/>
    <w:rsid w:val="00E919AC"/>
    <w:rsid w:val="00E92A42"/>
    <w:rsid w:val="00E940E9"/>
    <w:rsid w:val="00E946A6"/>
    <w:rsid w:val="00E947E4"/>
    <w:rsid w:val="00E9542F"/>
    <w:rsid w:val="00E966A0"/>
    <w:rsid w:val="00E966BD"/>
    <w:rsid w:val="00E96A29"/>
    <w:rsid w:val="00E96FE6"/>
    <w:rsid w:val="00EA1D43"/>
    <w:rsid w:val="00EA4DA1"/>
    <w:rsid w:val="00EA4EC9"/>
    <w:rsid w:val="00EA5324"/>
    <w:rsid w:val="00EA5E0F"/>
    <w:rsid w:val="00EA6FE4"/>
    <w:rsid w:val="00EA748A"/>
    <w:rsid w:val="00EA7B1F"/>
    <w:rsid w:val="00EA7F4C"/>
    <w:rsid w:val="00EB00B8"/>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17D"/>
    <w:rsid w:val="00F33DC8"/>
    <w:rsid w:val="00F33FE6"/>
    <w:rsid w:val="00F34444"/>
    <w:rsid w:val="00F415C3"/>
    <w:rsid w:val="00F4275C"/>
    <w:rsid w:val="00F44A01"/>
    <w:rsid w:val="00F52339"/>
    <w:rsid w:val="00F5277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3177"/>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95E"/>
    <w:rsid w:val="00FA1727"/>
    <w:rsid w:val="00FA413A"/>
    <w:rsid w:val="00FA4144"/>
    <w:rsid w:val="00FA4751"/>
    <w:rsid w:val="00FA4DDF"/>
    <w:rsid w:val="00FA5E71"/>
    <w:rsid w:val="00FA6E7F"/>
    <w:rsid w:val="00FA7114"/>
    <w:rsid w:val="00FB2379"/>
    <w:rsid w:val="00FB4B8A"/>
    <w:rsid w:val="00FB4BC5"/>
    <w:rsid w:val="00FB5127"/>
    <w:rsid w:val="00FB5152"/>
    <w:rsid w:val="00FB680E"/>
    <w:rsid w:val="00FB6A5E"/>
    <w:rsid w:val="00FC0065"/>
    <w:rsid w:val="00FC0A07"/>
    <w:rsid w:val="00FC0B6E"/>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overflowPunct/>
      <w:autoSpaceDE/>
      <w:autoSpaceDN/>
      <w:adjustRightInd/>
      <w:spacing w:after="240"/>
      <w:jc w:val="both"/>
      <w:textAlignment w:val="auto"/>
    </w:pPr>
    <w:rPr>
      <w:rFonts w:ascii="Calibri" w:hAnsi="Calibri"/>
      <w:kern w:val="2"/>
      <w:sz w:val="24"/>
      <w:lang w:val="fi-FI"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5AIRPNAIUNRU-1830940522-2750</_dlc_DocId>
    <_dlc_DocIdUrl xmlns="71c5aaf6-e6ce-465b-b873-5148d2a4c105">
      <Url>https://nokia.sharepoint.com/sites/c5g/5gradio/_layouts/15/DocIdRedir.aspx?ID=5AIRPNAIUNRU-1830940522-2750</Url>
      <Description>5AIRPNAIUNRU-1830940522-2750</Description>
    </_dlc_DocIdUrl>
  </documentManagement>
</p:properties>
</file>

<file path=customXml/itemProps1.xml><?xml version="1.0" encoding="utf-8"?>
<ds:datastoreItem xmlns:ds="http://schemas.openxmlformats.org/officeDocument/2006/customXml" ds:itemID="{2B3E98A5-2BE0-4C11-B1F8-BE8D4860CC6C}">
  <ds:schemaRefs>
    <ds:schemaRef ds:uri="http://schemas.openxmlformats.org/officeDocument/2006/bibliography"/>
  </ds:schemaRefs>
</ds:datastoreItem>
</file>

<file path=customXml/itemProps2.xml><?xml version="1.0" encoding="utf-8"?>
<ds:datastoreItem xmlns:ds="http://schemas.openxmlformats.org/officeDocument/2006/customXml" ds:itemID="{B1A12253-4E47-43AC-9B18-E8AEF2AAE484}"/>
</file>

<file path=customXml/itemProps3.xml><?xml version="1.0" encoding="utf-8"?>
<ds:datastoreItem xmlns:ds="http://schemas.openxmlformats.org/officeDocument/2006/customXml" ds:itemID="{6D2A8A06-F73A-432A-B4B2-58ED9DF6558F}"/>
</file>

<file path=customXml/itemProps4.xml><?xml version="1.0" encoding="utf-8"?>
<ds:datastoreItem xmlns:ds="http://schemas.openxmlformats.org/officeDocument/2006/customXml" ds:itemID="{10C598F4-3144-4A41-B580-4CB1D9B67A3E}"/>
</file>

<file path=customXml/itemProps5.xml><?xml version="1.0" encoding="utf-8"?>
<ds:datastoreItem xmlns:ds="http://schemas.openxmlformats.org/officeDocument/2006/customXml" ds:itemID="{E834EF3E-97A3-49E9-B3BF-69F494B7D5A6}"/>
</file>

<file path=docProps/app.xml><?xml version="1.0" encoding="utf-8"?>
<Properties xmlns="http://schemas.openxmlformats.org/officeDocument/2006/extended-properties" xmlns:vt="http://schemas.openxmlformats.org/officeDocument/2006/docPropsVTypes">
  <Template>Normal.dotm</Template>
  <TotalTime>0</TotalTime>
  <Pages>3</Pages>
  <Words>814</Words>
  <Characters>6599</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2018-02-16T12:41:00Z</dcterms:created>
  <dcterms:modified xsi:type="dcterms:W3CDTF">2018-02-16T12:41:00Z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d3b280a1-a630-4f22-988f-912ec6a998a1</vt:lpwstr>
  </property>
</Properties>
</file>