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7F59D9DF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A627FD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043119">
        <w:rPr>
          <w:rFonts w:ascii="Arial" w:hAnsi="Arial" w:cs="Arial"/>
          <w:b/>
          <w:bCs/>
          <w:sz w:val="22"/>
          <w:szCs w:val="22"/>
          <w:lang w:val="en-AU"/>
        </w:rPr>
        <w:t>19753</w:t>
      </w:r>
    </w:p>
    <w:p w14:paraId="47832D48" w14:textId="14DD594E" w:rsidR="00AA147A" w:rsidRPr="000F158A" w:rsidRDefault="00A627FD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A627FD">
        <w:rPr>
          <w:rFonts w:ascii="Arial" w:hAnsi="Arial" w:cs="Arial"/>
          <w:b/>
          <w:bCs/>
          <w:sz w:val="22"/>
          <w:szCs w:val="22"/>
          <w:lang w:val="en-AU"/>
        </w:rPr>
        <w:t>Reno, USA, November 27</w:t>
      </w:r>
      <w:r w:rsidRPr="00EE1883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Pr="00A627FD">
        <w:rPr>
          <w:rFonts w:ascii="Arial" w:hAnsi="Arial" w:cs="Arial"/>
          <w:b/>
          <w:bCs/>
          <w:sz w:val="22"/>
          <w:szCs w:val="22"/>
          <w:lang w:val="en-AU"/>
        </w:rPr>
        <w:t xml:space="preserve"> – December 1</w:t>
      </w:r>
      <w:r w:rsidRPr="00EE1883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st</w:t>
      </w:r>
      <w:r w:rsidRPr="00A627FD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>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25BF2A5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495A05">
        <w:rPr>
          <w:rFonts w:ascii="Arial" w:hAnsi="Arial" w:cs="Arial"/>
          <w:b/>
          <w:bCs/>
          <w:lang w:val="en-AU"/>
        </w:rPr>
        <w:t>7.1</w:t>
      </w:r>
      <w:r w:rsidR="00A539E3">
        <w:rPr>
          <w:rFonts w:ascii="Arial" w:hAnsi="Arial" w:cs="Arial"/>
          <w:b/>
          <w:bCs/>
          <w:lang w:val="en-AU"/>
        </w:rPr>
        <w:t>.3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676296F6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A627FD">
        <w:rPr>
          <w:rFonts w:ascii="Arial" w:hAnsi="Arial" w:cs="Arial"/>
          <w:b/>
          <w:bCs/>
          <w:lang w:val="en-AU"/>
        </w:rPr>
        <w:t>O</w:t>
      </w:r>
      <w:r w:rsidR="00495A05" w:rsidRPr="00495A05">
        <w:rPr>
          <w:rFonts w:ascii="Arial" w:hAnsi="Arial" w:cs="Arial"/>
          <w:b/>
          <w:bCs/>
          <w:lang w:val="en-AU"/>
        </w:rPr>
        <w:t>n NR paging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555F88EB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A general agreement on </w:t>
      </w:r>
      <w:r w:rsidRPr="004C42C9">
        <w:rPr>
          <w:bCs/>
          <w:sz w:val="22"/>
          <w:szCs w:val="22"/>
          <w:lang w:val="en-AU" w:eastAsia="en-AU"/>
        </w:rPr>
        <w:t xml:space="preserve">beam sweeping overhead for paging transmission </w:t>
      </w:r>
      <w:r>
        <w:rPr>
          <w:bCs/>
          <w:sz w:val="22"/>
          <w:szCs w:val="22"/>
          <w:lang w:val="en-AU" w:eastAsia="en-AU"/>
        </w:rPr>
        <w:t xml:space="preserve">was made in RAN1#90 as below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_Ref494187510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  <w:r w:rsidR="00DA5DAD"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290FD509" w14:textId="77777777" w:rsidR="004C42C9" w:rsidRP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4C42C9" w:rsidRPr="004C42C9" w14:paraId="2A3544C4" w14:textId="77777777" w:rsidTr="006612EE">
        <w:tc>
          <w:tcPr>
            <w:tcW w:w="9307" w:type="dxa"/>
            <w:shd w:val="clear" w:color="auto" w:fill="auto"/>
          </w:tcPr>
          <w:p w14:paraId="539C6307" w14:textId="77777777" w:rsidR="004C42C9" w:rsidRPr="004C42C9" w:rsidRDefault="004C42C9" w:rsidP="006612EE">
            <w:pPr>
              <w:rPr>
                <w:rFonts w:eastAsia="MS Mincho"/>
                <w:b/>
                <w:sz w:val="22"/>
                <w:szCs w:val="22"/>
                <w:highlight w:val="yellow"/>
                <w:u w:val="single"/>
                <w:lang w:eastAsia="ja-JP"/>
              </w:rPr>
            </w:pPr>
            <w:r w:rsidRPr="004C42C9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318FE58D" w14:textId="77777777" w:rsidR="004C42C9" w:rsidRPr="004C42C9" w:rsidRDefault="004C42C9" w:rsidP="00E323C1">
            <w:pPr>
              <w:numPr>
                <w:ilvl w:val="0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>Paging mechanism should be decided for Rel-15, where the issue of beam sweeping overhead for paging transmission should be considered, especially for high frequency band with up to 64 SS</w:t>
            </w:r>
            <w:r w:rsidRPr="004C42C9">
              <w:rPr>
                <w:rFonts w:eastAsia="MS Mincho" w:hint="eastAsia"/>
                <w:sz w:val="22"/>
                <w:szCs w:val="22"/>
                <w:lang w:eastAsia="ja-JP"/>
              </w:rPr>
              <w:t>-</w:t>
            </w:r>
            <w:r w:rsidRPr="004C42C9">
              <w:rPr>
                <w:rFonts w:eastAsia="MS Mincho"/>
                <w:sz w:val="22"/>
                <w:szCs w:val="22"/>
                <w:lang w:eastAsia="ja-JP"/>
              </w:rPr>
              <w:t>block beam</w:t>
            </w:r>
            <w:r w:rsidRPr="004C42C9">
              <w:rPr>
                <w:rFonts w:eastAsia="MS Mincho" w:hint="eastAsia"/>
                <w:sz w:val="22"/>
                <w:szCs w:val="22"/>
                <w:lang w:eastAsia="ja-JP"/>
              </w:rPr>
              <w:t>s</w:t>
            </w:r>
          </w:p>
          <w:p w14:paraId="78661C2C" w14:textId="77777777" w:rsidR="004C42C9" w:rsidRPr="004C42C9" w:rsidRDefault="004C42C9" w:rsidP="00E323C1">
            <w:pPr>
              <w:numPr>
                <w:ilvl w:val="1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>E.g., paging occasion design with beam sweeping</w:t>
            </w:r>
          </w:p>
          <w:p w14:paraId="0053CEE8" w14:textId="77777777" w:rsidR="004C42C9" w:rsidRPr="004C42C9" w:rsidRDefault="004C42C9" w:rsidP="00E323C1">
            <w:pPr>
              <w:numPr>
                <w:ilvl w:val="1"/>
                <w:numId w:val="3"/>
              </w:num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 xml:space="preserve">E.g., techniques to reducing the paging sweeping beams </w:t>
            </w:r>
          </w:p>
        </w:tc>
      </w:tr>
    </w:tbl>
    <w:p w14:paraId="5F6C8964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p w14:paraId="61DFBA56" w14:textId="563FA49C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Further, it was agreed to down select among the following options in </w:t>
      </w:r>
      <w:r w:rsidRPr="004C42C9">
        <w:rPr>
          <w:bCs/>
          <w:sz w:val="22"/>
          <w:szCs w:val="22"/>
          <w:lang w:val="en-AU" w:eastAsia="en-AU"/>
        </w:rPr>
        <w:t>RA</w:t>
      </w:r>
      <w:r>
        <w:rPr>
          <w:bCs/>
          <w:sz w:val="22"/>
          <w:szCs w:val="22"/>
          <w:lang w:val="en-AU" w:eastAsia="en-AU"/>
        </w:rPr>
        <w:t xml:space="preserve">N1 NR Ad Hoc #3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_Ref494187610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[2]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</w:p>
    <w:p w14:paraId="2D093B96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4C42C9" w:rsidRPr="004C42C9" w14:paraId="0FBE9384" w14:textId="77777777" w:rsidTr="006612EE">
        <w:tc>
          <w:tcPr>
            <w:tcW w:w="9307" w:type="dxa"/>
            <w:shd w:val="clear" w:color="auto" w:fill="auto"/>
          </w:tcPr>
          <w:p w14:paraId="17277D36" w14:textId="196B5401" w:rsidR="004C42C9" w:rsidRPr="004C42C9" w:rsidRDefault="004C42C9" w:rsidP="004C42C9">
            <w:pPr>
              <w:rPr>
                <w:sz w:val="22"/>
                <w:szCs w:val="22"/>
                <w:lang w:eastAsia="x-none"/>
              </w:rPr>
            </w:pPr>
            <w:r w:rsidRPr="004C42C9">
              <w:rPr>
                <w:rFonts w:eastAsia="MS Mincho"/>
                <w:sz w:val="22"/>
                <w:szCs w:val="22"/>
                <w:lang w:eastAsia="ja-JP"/>
              </w:rPr>
              <w:t xml:space="preserve"> </w:t>
            </w:r>
            <w:r w:rsidRPr="004C42C9">
              <w:rPr>
                <w:sz w:val="22"/>
                <w:szCs w:val="22"/>
                <w:highlight w:val="green"/>
                <w:lang w:eastAsia="x-none"/>
              </w:rPr>
              <w:t xml:space="preserve"> Agreements:</w:t>
            </w:r>
          </w:p>
          <w:p w14:paraId="60FB4EC4" w14:textId="77777777" w:rsidR="004C42C9" w:rsidRPr="004C42C9" w:rsidRDefault="004C42C9" w:rsidP="00E323C1">
            <w:pPr>
              <w:numPr>
                <w:ilvl w:val="0"/>
                <w:numId w:val="4"/>
              </w:numPr>
              <w:tabs>
                <w:tab w:val="left" w:pos="72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For paging, RAN1 to down-select from the following options</w:t>
            </w:r>
          </w:p>
          <w:p w14:paraId="2409A05A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1: Paging DCI followed by Paging Message</w:t>
            </w:r>
          </w:p>
          <w:p w14:paraId="20596CCC" w14:textId="77777777" w:rsidR="004C42C9" w:rsidRPr="004C42C9" w:rsidRDefault="004C42C9" w:rsidP="00E323C1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Note: These do not imply that they are consecutive</w:t>
            </w:r>
          </w:p>
          <w:p w14:paraId="21AF8842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2: Paging group indicator triggering UE feedback and Paging DCI followed by Paging Message</w:t>
            </w:r>
          </w:p>
          <w:p w14:paraId="660AFDA7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>Option 3: Paging group indicator and Paging DCI followed by Paging Message</w:t>
            </w:r>
          </w:p>
          <w:p w14:paraId="4EB1D9EA" w14:textId="77777777" w:rsidR="004C42C9" w:rsidRPr="004C42C9" w:rsidRDefault="004C42C9" w:rsidP="00E323C1">
            <w:pPr>
              <w:numPr>
                <w:ilvl w:val="0"/>
                <w:numId w:val="5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 xml:space="preserve">Option 4: Paging DCI indicates use of Option 1 or 2. </w:t>
            </w:r>
          </w:p>
          <w:p w14:paraId="1801D594" w14:textId="77777777" w:rsidR="004C42C9" w:rsidRPr="004C42C9" w:rsidRDefault="004C42C9" w:rsidP="00E323C1">
            <w:pPr>
              <w:numPr>
                <w:ilvl w:val="0"/>
                <w:numId w:val="6"/>
              </w:numPr>
              <w:tabs>
                <w:tab w:val="left" w:pos="1440"/>
              </w:tabs>
              <w:rPr>
                <w:sz w:val="22"/>
                <w:szCs w:val="22"/>
                <w:lang w:eastAsia="x-none"/>
              </w:rPr>
            </w:pPr>
            <w:r w:rsidRPr="004C42C9">
              <w:rPr>
                <w:sz w:val="22"/>
                <w:szCs w:val="22"/>
                <w:lang w:eastAsia="x-none"/>
              </w:rPr>
              <w:t xml:space="preserve">RAN1 to send LS to RAN2 on whether Paging DCI and Paging Message can be in the same or different POs, including the above options. LS to be drafted in </w:t>
            </w:r>
            <w:r w:rsidRPr="004C42C9">
              <w:rPr>
                <w:b/>
                <w:sz w:val="22"/>
                <w:szCs w:val="22"/>
                <w:lang w:eastAsia="x-none"/>
              </w:rPr>
              <w:t xml:space="preserve">R1-1716912, </w:t>
            </w:r>
            <w:r w:rsidRPr="004C42C9">
              <w:rPr>
                <w:sz w:val="22"/>
                <w:szCs w:val="22"/>
                <w:lang w:eastAsia="x-none"/>
              </w:rPr>
              <w:t xml:space="preserve">which is agreed in </w:t>
            </w:r>
            <w:r w:rsidRPr="004C42C9">
              <w:rPr>
                <w:sz w:val="22"/>
                <w:szCs w:val="22"/>
                <w:highlight w:val="green"/>
                <w:lang w:eastAsia="x-none"/>
              </w:rPr>
              <w:t>R1-1716918</w:t>
            </w:r>
          </w:p>
          <w:p w14:paraId="34287934" w14:textId="1D2DD758" w:rsidR="004C42C9" w:rsidRPr="004C42C9" w:rsidRDefault="004C42C9" w:rsidP="004C42C9">
            <w:pPr>
              <w:tabs>
                <w:tab w:val="left" w:pos="1340"/>
              </w:tabs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629ADA93" w14:textId="77777777" w:rsidR="004C42C9" w:rsidRDefault="004C42C9" w:rsidP="00BD7709">
      <w:pPr>
        <w:jc w:val="both"/>
        <w:rPr>
          <w:bCs/>
          <w:sz w:val="22"/>
          <w:szCs w:val="22"/>
          <w:lang w:val="en-AU" w:eastAsia="en-AU"/>
        </w:rPr>
      </w:pPr>
    </w:p>
    <w:p w14:paraId="74589680" w14:textId="4686AFD5" w:rsidR="00485A9A" w:rsidRDefault="004C42C9" w:rsidP="00BD7709">
      <w:pPr>
        <w:jc w:val="both"/>
      </w:pPr>
      <w:r>
        <w:rPr>
          <w:bCs/>
          <w:sz w:val="22"/>
          <w:szCs w:val="22"/>
          <w:lang w:val="en-AU" w:eastAsia="en-AU"/>
        </w:rPr>
        <w:t>In th</w:t>
      </w:r>
      <w:r w:rsidR="0041059B">
        <w:rPr>
          <w:bCs/>
          <w:sz w:val="22"/>
          <w:szCs w:val="22"/>
          <w:lang w:val="en-AU" w:eastAsia="en-AU"/>
        </w:rPr>
        <w:t>e last RAN1#90b meeting it was agreed that a</w:t>
      </w:r>
      <w:r w:rsidR="0041059B" w:rsidRPr="0041059B">
        <w:rPr>
          <w:bCs/>
          <w:sz w:val="22"/>
          <w:szCs w:val="22"/>
          <w:lang w:val="en-AU" w:eastAsia="en-AU"/>
        </w:rPr>
        <w:t xml:space="preserve">t least Option 1 </w:t>
      </w:r>
      <w:r w:rsidR="0041059B">
        <w:rPr>
          <w:bCs/>
          <w:sz w:val="22"/>
          <w:szCs w:val="22"/>
          <w:lang w:val="en-AU" w:eastAsia="en-AU"/>
        </w:rPr>
        <w:t>above</w:t>
      </w:r>
      <w:r w:rsidR="0041059B" w:rsidRPr="0041059B">
        <w:rPr>
          <w:bCs/>
          <w:sz w:val="22"/>
          <w:szCs w:val="22"/>
          <w:lang w:val="en-AU" w:eastAsia="en-AU"/>
        </w:rPr>
        <w:t xml:space="preserve"> is supported</w:t>
      </w:r>
      <w:r w:rsidR="00636E64">
        <w:rPr>
          <w:bCs/>
          <w:sz w:val="22"/>
          <w:szCs w:val="22"/>
          <w:lang w:val="en-AU" w:eastAsia="en-AU"/>
        </w:rPr>
        <w:t xml:space="preserve"> </w:t>
      </w:r>
      <w:r w:rsidR="00636E64">
        <w:rPr>
          <w:bCs/>
          <w:sz w:val="22"/>
          <w:szCs w:val="22"/>
          <w:lang w:val="en-AU" w:eastAsia="en-AU"/>
        </w:rPr>
        <w:fldChar w:fldCharType="begin"/>
      </w:r>
      <w:r w:rsidR="00636E64">
        <w:rPr>
          <w:bCs/>
          <w:sz w:val="22"/>
          <w:szCs w:val="22"/>
          <w:lang w:val="en-AU" w:eastAsia="en-AU"/>
        </w:rPr>
        <w:instrText xml:space="preserve"> REF _Ref498352346 \r \h </w:instrText>
      </w:r>
      <w:r w:rsidR="00636E64">
        <w:rPr>
          <w:bCs/>
          <w:sz w:val="22"/>
          <w:szCs w:val="22"/>
          <w:lang w:val="en-AU" w:eastAsia="en-AU"/>
        </w:rPr>
      </w:r>
      <w:r w:rsidR="00636E64"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[4]</w:t>
      </w:r>
      <w:r w:rsidR="00636E64">
        <w:rPr>
          <w:bCs/>
          <w:sz w:val="22"/>
          <w:szCs w:val="22"/>
          <w:lang w:val="en-AU" w:eastAsia="en-AU"/>
        </w:rPr>
        <w:fldChar w:fldCharType="end"/>
      </w:r>
      <w:r w:rsidR="0041059B">
        <w:rPr>
          <w:bCs/>
          <w:sz w:val="22"/>
          <w:szCs w:val="22"/>
          <w:lang w:val="en-AU" w:eastAsia="en-AU"/>
        </w:rPr>
        <w:t xml:space="preserve">. However, for the purpose of overhead </w:t>
      </w:r>
      <w:r w:rsidR="00765E01">
        <w:rPr>
          <w:bCs/>
          <w:sz w:val="22"/>
          <w:szCs w:val="22"/>
          <w:lang w:val="en-AU" w:eastAsia="en-AU"/>
        </w:rPr>
        <w:t xml:space="preserve">and power </w:t>
      </w:r>
      <w:r w:rsidR="0041059B">
        <w:rPr>
          <w:bCs/>
          <w:sz w:val="22"/>
          <w:szCs w:val="22"/>
          <w:lang w:val="en-AU" w:eastAsia="en-AU"/>
        </w:rPr>
        <w:t>reduction, other options are still need to be considered in R15. In this</w:t>
      </w:r>
      <w:r>
        <w:rPr>
          <w:bCs/>
          <w:sz w:val="22"/>
          <w:szCs w:val="22"/>
          <w:lang w:val="en-AU" w:eastAsia="en-AU"/>
        </w:rPr>
        <w:t xml:space="preserve"> contribution, we discuss about overhead </w:t>
      </w:r>
      <w:r w:rsidR="00765E01">
        <w:rPr>
          <w:bCs/>
          <w:sz w:val="22"/>
          <w:szCs w:val="22"/>
          <w:lang w:val="en-AU" w:eastAsia="en-AU"/>
        </w:rPr>
        <w:t xml:space="preserve">and power </w:t>
      </w:r>
      <w:r>
        <w:rPr>
          <w:bCs/>
          <w:sz w:val="22"/>
          <w:szCs w:val="22"/>
          <w:lang w:val="en-AU" w:eastAsia="en-AU"/>
        </w:rPr>
        <w:t xml:space="preserve">reduction </w:t>
      </w:r>
      <w:r w:rsidR="0041059B">
        <w:rPr>
          <w:bCs/>
          <w:sz w:val="22"/>
          <w:szCs w:val="22"/>
          <w:lang w:val="en-AU" w:eastAsia="en-AU"/>
        </w:rPr>
        <w:t>in R15</w:t>
      </w:r>
      <w:r>
        <w:rPr>
          <w:bCs/>
          <w:sz w:val="22"/>
          <w:szCs w:val="22"/>
          <w:lang w:val="en-AU" w:eastAsia="en-AU"/>
        </w:rPr>
        <w:t xml:space="preserve">.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0DDD1FD" w14:textId="30154DF8" w:rsidR="00AB2EFA" w:rsidRDefault="009F52D8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If we apply</w:t>
      </w:r>
      <w:r w:rsidR="00713935">
        <w:rPr>
          <w:bCs/>
          <w:sz w:val="22"/>
          <w:szCs w:val="22"/>
          <w:lang w:val="en-AU" w:eastAsia="en-AU"/>
        </w:rPr>
        <w:t xml:space="preserve"> O</w:t>
      </w:r>
      <w:r w:rsidR="0041059B">
        <w:rPr>
          <w:bCs/>
          <w:sz w:val="22"/>
          <w:szCs w:val="22"/>
          <w:lang w:val="en-AU" w:eastAsia="en-AU"/>
        </w:rPr>
        <w:t xml:space="preserve">ption 1 in </w:t>
      </w:r>
      <w:r>
        <w:rPr>
          <w:bCs/>
          <w:sz w:val="22"/>
          <w:szCs w:val="22"/>
          <w:lang w:val="en-AU" w:eastAsia="en-AU"/>
        </w:rPr>
        <w:t>NR multi-beam operation</w:t>
      </w:r>
      <w:r w:rsidRPr="009F52D8">
        <w:rPr>
          <w:bCs/>
          <w:sz w:val="22"/>
          <w:szCs w:val="22"/>
          <w:lang w:val="en-AU" w:eastAsia="en-AU"/>
        </w:rPr>
        <w:t xml:space="preserve">, the paging message </w:t>
      </w:r>
      <w:r>
        <w:rPr>
          <w:bCs/>
          <w:sz w:val="22"/>
          <w:szCs w:val="22"/>
          <w:lang w:val="en-AU" w:eastAsia="en-AU"/>
        </w:rPr>
        <w:t xml:space="preserve">needs to be </w:t>
      </w:r>
      <w:r w:rsidR="00F51465">
        <w:rPr>
          <w:bCs/>
          <w:sz w:val="22"/>
          <w:szCs w:val="22"/>
          <w:lang w:val="en-AU" w:eastAsia="en-AU"/>
        </w:rPr>
        <w:t>swept</w:t>
      </w:r>
      <w:r w:rsidRPr="009F52D8">
        <w:rPr>
          <w:bCs/>
          <w:sz w:val="22"/>
          <w:szCs w:val="22"/>
          <w:lang w:val="en-AU" w:eastAsia="en-AU"/>
        </w:rPr>
        <w:t xml:space="preserve"> on every beam</w:t>
      </w:r>
      <w:r w:rsidR="0004325B">
        <w:rPr>
          <w:bCs/>
          <w:sz w:val="22"/>
          <w:szCs w:val="22"/>
          <w:lang w:val="en-AU" w:eastAsia="en-AU"/>
        </w:rPr>
        <w:t xml:space="preserve">, potentially up </w:t>
      </w:r>
      <w:r w:rsidRPr="009F52D8">
        <w:rPr>
          <w:bCs/>
          <w:sz w:val="22"/>
          <w:szCs w:val="22"/>
          <w:lang w:val="en-AU" w:eastAsia="en-AU"/>
        </w:rPr>
        <w:t>64 beams</w:t>
      </w:r>
      <w:r w:rsidR="0004325B">
        <w:rPr>
          <w:bCs/>
          <w:sz w:val="22"/>
          <w:szCs w:val="22"/>
          <w:lang w:val="en-AU" w:eastAsia="en-AU"/>
        </w:rPr>
        <w:t xml:space="preserve">, and </w:t>
      </w:r>
      <w:r w:rsidRPr="009F52D8">
        <w:rPr>
          <w:bCs/>
          <w:sz w:val="22"/>
          <w:szCs w:val="22"/>
          <w:lang w:val="en-AU" w:eastAsia="en-AU"/>
        </w:rPr>
        <w:t>across multiple TRPs of m</w:t>
      </w:r>
      <w:r w:rsidR="00441F22">
        <w:rPr>
          <w:bCs/>
          <w:sz w:val="22"/>
          <w:szCs w:val="22"/>
          <w:lang w:val="en-AU" w:eastAsia="en-AU"/>
        </w:rPr>
        <w:t xml:space="preserve">ultiple cells by all gNBs in the so called </w:t>
      </w:r>
      <w:r w:rsidRPr="009F52D8">
        <w:rPr>
          <w:bCs/>
          <w:sz w:val="22"/>
          <w:szCs w:val="22"/>
          <w:lang w:val="en-AU" w:eastAsia="en-AU"/>
        </w:rPr>
        <w:t>tracking area.</w:t>
      </w:r>
      <w:r w:rsidR="00441F22">
        <w:rPr>
          <w:bCs/>
          <w:sz w:val="22"/>
          <w:szCs w:val="22"/>
          <w:lang w:val="en-AU" w:eastAsia="en-AU"/>
        </w:rPr>
        <w:t xml:space="preserve">  </w:t>
      </w:r>
      <w:r w:rsidR="00AB2EFA">
        <w:rPr>
          <w:bCs/>
          <w:sz w:val="22"/>
          <w:szCs w:val="22"/>
          <w:lang w:val="en-AU" w:eastAsia="en-AU"/>
        </w:rPr>
        <w:t>Although this option can be the baseline, it may consume</w:t>
      </w:r>
      <w:r w:rsidR="00DD191E">
        <w:rPr>
          <w:bCs/>
          <w:sz w:val="22"/>
          <w:szCs w:val="22"/>
          <w:lang w:val="en-AU" w:eastAsia="en-AU"/>
        </w:rPr>
        <w:t xml:space="preserve"> </w:t>
      </w:r>
      <w:r w:rsidR="00AB2EFA">
        <w:rPr>
          <w:bCs/>
          <w:sz w:val="22"/>
          <w:szCs w:val="22"/>
          <w:lang w:val="en-AU" w:eastAsia="en-AU"/>
        </w:rPr>
        <w:t xml:space="preserve">significant radio resources in multi-beam operation </w:t>
      </w:r>
      <w:r w:rsidR="006E3837">
        <w:rPr>
          <w:bCs/>
          <w:sz w:val="22"/>
          <w:szCs w:val="22"/>
          <w:lang w:val="en-AU" w:eastAsia="en-AU"/>
        </w:rPr>
        <w:t>in NR as both the paging DCI and the message are sent in every beam</w:t>
      </w:r>
      <w:r w:rsidR="002C6E8F">
        <w:rPr>
          <w:bCs/>
          <w:sz w:val="22"/>
          <w:szCs w:val="22"/>
          <w:lang w:val="en-AU" w:eastAsia="en-AU"/>
        </w:rPr>
        <w:t xml:space="preserve"> of every TRP of </w:t>
      </w:r>
      <w:proofErr w:type="spellStart"/>
      <w:r w:rsidR="002C6E8F">
        <w:rPr>
          <w:bCs/>
          <w:sz w:val="22"/>
          <w:szCs w:val="22"/>
          <w:lang w:val="en-AU" w:eastAsia="en-AU"/>
        </w:rPr>
        <w:t>gNB</w:t>
      </w:r>
      <w:r w:rsidR="005D2A33">
        <w:rPr>
          <w:bCs/>
          <w:sz w:val="22"/>
          <w:szCs w:val="22"/>
          <w:lang w:val="en-AU" w:eastAsia="en-AU"/>
        </w:rPr>
        <w:t>s</w:t>
      </w:r>
      <w:proofErr w:type="spellEnd"/>
      <w:r w:rsidR="002C6E8F">
        <w:rPr>
          <w:bCs/>
          <w:sz w:val="22"/>
          <w:szCs w:val="22"/>
          <w:lang w:val="en-AU" w:eastAsia="en-AU"/>
        </w:rPr>
        <w:t xml:space="preserve"> within a defined tracking area</w:t>
      </w:r>
      <w:r w:rsidR="006E3837">
        <w:rPr>
          <w:bCs/>
          <w:sz w:val="22"/>
          <w:szCs w:val="22"/>
          <w:lang w:val="en-AU" w:eastAsia="en-AU"/>
        </w:rPr>
        <w:t xml:space="preserve">. </w:t>
      </w:r>
      <w:r w:rsidR="00504333">
        <w:rPr>
          <w:bCs/>
          <w:sz w:val="22"/>
          <w:szCs w:val="22"/>
          <w:lang w:val="en-AU" w:eastAsia="en-AU"/>
        </w:rPr>
        <w:t xml:space="preserve">Therefore </w:t>
      </w:r>
      <w:r w:rsidR="002C6E8F">
        <w:rPr>
          <w:bCs/>
          <w:sz w:val="22"/>
          <w:szCs w:val="22"/>
          <w:lang w:val="en-AU" w:eastAsia="en-AU"/>
        </w:rPr>
        <w:t xml:space="preserve">framework for introducing </w:t>
      </w:r>
      <w:r w:rsidR="00504333">
        <w:rPr>
          <w:bCs/>
          <w:sz w:val="22"/>
          <w:szCs w:val="22"/>
          <w:lang w:val="en-AU" w:eastAsia="en-AU"/>
        </w:rPr>
        <w:t>techniques</w:t>
      </w:r>
      <w:r w:rsidR="00F51465">
        <w:rPr>
          <w:bCs/>
          <w:sz w:val="22"/>
          <w:szCs w:val="22"/>
          <w:lang w:val="en-AU" w:eastAsia="en-AU"/>
        </w:rPr>
        <w:t xml:space="preserve"> </w:t>
      </w:r>
      <w:r w:rsidR="002C6E8F">
        <w:rPr>
          <w:bCs/>
          <w:sz w:val="22"/>
          <w:szCs w:val="22"/>
          <w:lang w:val="en-AU" w:eastAsia="en-AU"/>
        </w:rPr>
        <w:t>in</w:t>
      </w:r>
      <w:r w:rsidR="00F51465" w:rsidRPr="00F51465">
        <w:rPr>
          <w:bCs/>
          <w:sz w:val="22"/>
          <w:szCs w:val="22"/>
          <w:lang w:val="en-AU" w:eastAsia="en-AU"/>
        </w:rPr>
        <w:t xml:space="preserve"> reducing the paging </w:t>
      </w:r>
      <w:r w:rsidR="00504333">
        <w:rPr>
          <w:bCs/>
          <w:sz w:val="22"/>
          <w:szCs w:val="22"/>
          <w:lang w:val="en-AU" w:eastAsia="en-AU"/>
        </w:rPr>
        <w:t>overhead need to be considered</w:t>
      </w:r>
      <w:r w:rsidR="002C6E8F">
        <w:rPr>
          <w:bCs/>
          <w:sz w:val="22"/>
          <w:szCs w:val="22"/>
          <w:lang w:val="en-AU" w:eastAsia="en-AU"/>
        </w:rPr>
        <w:t xml:space="preserve"> for the future releases</w:t>
      </w:r>
      <w:r w:rsidR="00504333">
        <w:rPr>
          <w:bCs/>
          <w:sz w:val="22"/>
          <w:szCs w:val="22"/>
          <w:lang w:val="en-AU" w:eastAsia="en-AU"/>
        </w:rPr>
        <w:t xml:space="preserve">. </w:t>
      </w:r>
    </w:p>
    <w:p w14:paraId="45E0CDC6" w14:textId="5F718B03" w:rsidR="00504333" w:rsidRDefault="00AB2EFA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According to RAN1#88</w:t>
      </w:r>
      <w:r w:rsidR="00051075">
        <w:rPr>
          <w:bCs/>
          <w:sz w:val="22"/>
          <w:szCs w:val="22"/>
          <w:lang w:val="en-AU" w:eastAsia="en-AU"/>
        </w:rPr>
        <w:fldChar w:fldCharType="begin"/>
      </w:r>
      <w:r w:rsidR="00051075">
        <w:rPr>
          <w:bCs/>
          <w:sz w:val="22"/>
          <w:szCs w:val="22"/>
          <w:lang w:val="en-AU" w:eastAsia="en-AU"/>
        </w:rPr>
        <w:instrText xml:space="preserve"> REF _Ref494191619 \r \h </w:instrText>
      </w:r>
      <w:r w:rsidR="00051075">
        <w:rPr>
          <w:bCs/>
          <w:sz w:val="22"/>
          <w:szCs w:val="22"/>
          <w:lang w:val="en-AU" w:eastAsia="en-AU"/>
        </w:rPr>
      </w:r>
      <w:r w:rsidR="00051075"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[3]</w:t>
      </w:r>
      <w:r w:rsidR="00051075"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, </w:t>
      </w:r>
      <w:r w:rsidRPr="00AB2EFA">
        <w:rPr>
          <w:bCs/>
          <w:sz w:val="22"/>
          <w:szCs w:val="22"/>
          <w:lang w:val="en-AU" w:eastAsia="en-AU"/>
        </w:rPr>
        <w:t>UE beam</w:t>
      </w:r>
      <w:r>
        <w:rPr>
          <w:bCs/>
          <w:sz w:val="22"/>
          <w:szCs w:val="22"/>
          <w:lang w:val="en-AU" w:eastAsia="en-AU"/>
        </w:rPr>
        <w:t xml:space="preserve"> reporting </w:t>
      </w:r>
      <w:r w:rsidRPr="00AB2EFA">
        <w:rPr>
          <w:bCs/>
          <w:sz w:val="22"/>
          <w:szCs w:val="22"/>
          <w:lang w:val="en-AU" w:eastAsia="en-AU"/>
        </w:rPr>
        <w:t>is FFS</w:t>
      </w:r>
      <w:r>
        <w:rPr>
          <w:bCs/>
          <w:sz w:val="22"/>
          <w:szCs w:val="22"/>
          <w:lang w:val="en-AU" w:eastAsia="en-AU"/>
        </w:rPr>
        <w:t xml:space="preserve">. </w:t>
      </w:r>
      <w:r w:rsidR="00FA744B">
        <w:rPr>
          <w:bCs/>
          <w:sz w:val="22"/>
          <w:szCs w:val="22"/>
          <w:lang w:val="en-AU" w:eastAsia="en-AU"/>
        </w:rPr>
        <w:t>UE b</w:t>
      </w:r>
      <w:r>
        <w:rPr>
          <w:bCs/>
          <w:sz w:val="22"/>
          <w:szCs w:val="22"/>
          <w:lang w:val="en-AU" w:eastAsia="en-AU"/>
        </w:rPr>
        <w:t xml:space="preserve">eam reporting can </w:t>
      </w:r>
      <w:r w:rsidR="00602510">
        <w:rPr>
          <w:bCs/>
          <w:sz w:val="22"/>
          <w:szCs w:val="22"/>
          <w:lang w:val="en-AU" w:eastAsia="en-AU"/>
        </w:rPr>
        <w:t xml:space="preserve">be useful </w:t>
      </w:r>
      <w:r w:rsidR="00FD3B9D">
        <w:rPr>
          <w:bCs/>
          <w:sz w:val="22"/>
          <w:szCs w:val="22"/>
          <w:lang w:val="en-AU" w:eastAsia="en-AU"/>
        </w:rPr>
        <w:t xml:space="preserve">for </w:t>
      </w:r>
      <w:r w:rsidR="003B6888">
        <w:rPr>
          <w:bCs/>
          <w:sz w:val="22"/>
          <w:szCs w:val="22"/>
          <w:lang w:val="en-AU" w:eastAsia="en-AU"/>
        </w:rPr>
        <w:t>targeted paging</w:t>
      </w:r>
      <w:r w:rsidR="00602510">
        <w:rPr>
          <w:bCs/>
          <w:sz w:val="22"/>
          <w:szCs w:val="22"/>
          <w:lang w:val="en-AU" w:eastAsia="en-AU"/>
        </w:rPr>
        <w:t>.</w:t>
      </w:r>
      <w:r w:rsidR="00504333">
        <w:rPr>
          <w:bCs/>
          <w:sz w:val="22"/>
          <w:szCs w:val="22"/>
          <w:lang w:val="en-AU" w:eastAsia="en-AU"/>
        </w:rPr>
        <w:t xml:space="preserve"> </w:t>
      </w:r>
      <w:r w:rsidR="006E3837">
        <w:rPr>
          <w:bCs/>
          <w:sz w:val="22"/>
          <w:szCs w:val="22"/>
          <w:lang w:val="en-AU" w:eastAsia="en-AU"/>
        </w:rPr>
        <w:t xml:space="preserve">If a UE is allowed to report the candidate beam(s) for paging, then paging message </w:t>
      </w:r>
      <w:r w:rsidR="002C6E8F">
        <w:rPr>
          <w:bCs/>
          <w:sz w:val="22"/>
          <w:szCs w:val="22"/>
          <w:lang w:val="en-AU" w:eastAsia="en-AU"/>
        </w:rPr>
        <w:t xml:space="preserve">(even paging DCI) </w:t>
      </w:r>
      <w:r w:rsidR="006E3837">
        <w:rPr>
          <w:bCs/>
          <w:sz w:val="22"/>
          <w:szCs w:val="22"/>
          <w:lang w:val="en-AU" w:eastAsia="en-AU"/>
        </w:rPr>
        <w:t>can be sent only on that/those beam(s), reducing the overhead</w:t>
      </w:r>
      <w:r w:rsidR="00B03C32">
        <w:rPr>
          <w:bCs/>
          <w:sz w:val="22"/>
          <w:szCs w:val="22"/>
          <w:lang w:val="en-AU" w:eastAsia="en-AU"/>
        </w:rPr>
        <w:t xml:space="preserve"> and eliminating</w:t>
      </w:r>
      <w:r w:rsidR="002C6E8F">
        <w:rPr>
          <w:bCs/>
          <w:sz w:val="22"/>
          <w:szCs w:val="22"/>
          <w:lang w:val="en-AU" w:eastAsia="en-AU"/>
        </w:rPr>
        <w:t xml:space="preserve"> unnecessary </w:t>
      </w:r>
      <w:r w:rsidR="002C6E8F">
        <w:rPr>
          <w:bCs/>
          <w:sz w:val="22"/>
          <w:szCs w:val="22"/>
          <w:lang w:val="en-AU" w:eastAsia="en-AU"/>
        </w:rPr>
        <w:lastRenderedPageBreak/>
        <w:t>interference</w:t>
      </w:r>
      <w:r w:rsidR="006E3837">
        <w:rPr>
          <w:bCs/>
          <w:sz w:val="22"/>
          <w:szCs w:val="22"/>
          <w:lang w:val="en-AU" w:eastAsia="en-AU"/>
        </w:rPr>
        <w:t xml:space="preserve">. The UE reporting can be done autonomous or based on </w:t>
      </w:r>
      <w:r w:rsidR="00636E64">
        <w:rPr>
          <w:bCs/>
          <w:sz w:val="22"/>
          <w:szCs w:val="22"/>
          <w:lang w:val="en-AU" w:eastAsia="en-AU"/>
        </w:rPr>
        <w:t xml:space="preserve">a </w:t>
      </w:r>
      <w:r w:rsidR="006E3837">
        <w:rPr>
          <w:bCs/>
          <w:sz w:val="22"/>
          <w:szCs w:val="22"/>
          <w:lang w:val="en-AU" w:eastAsia="en-AU"/>
        </w:rPr>
        <w:t>trigger</w:t>
      </w:r>
      <w:r w:rsidR="00CC0442">
        <w:rPr>
          <w:bCs/>
          <w:sz w:val="22"/>
          <w:szCs w:val="22"/>
          <w:lang w:val="en-AU" w:eastAsia="en-AU"/>
        </w:rPr>
        <w:t>/indicator</w:t>
      </w:r>
      <w:r w:rsidR="006E3837">
        <w:rPr>
          <w:bCs/>
          <w:sz w:val="22"/>
          <w:szCs w:val="22"/>
          <w:lang w:val="en-AU" w:eastAsia="en-AU"/>
        </w:rPr>
        <w:t xml:space="preserve"> received from the network. </w:t>
      </w:r>
    </w:p>
    <w:p w14:paraId="71124728" w14:textId="302B1DF7" w:rsidR="00E4391B" w:rsidRDefault="006E3837" w:rsidP="00E4391B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According to the LS response received from RAN2</w:t>
      </w:r>
      <w:r w:rsidR="00636E64">
        <w:rPr>
          <w:bCs/>
          <w:sz w:val="22"/>
          <w:szCs w:val="22"/>
          <w:lang w:val="en-AU" w:eastAsia="en-AU"/>
        </w:rPr>
        <w:t xml:space="preserve"> </w:t>
      </w:r>
      <w:r w:rsidR="00636E64">
        <w:rPr>
          <w:bCs/>
          <w:sz w:val="22"/>
          <w:szCs w:val="22"/>
          <w:lang w:val="en-AU" w:eastAsia="en-AU"/>
        </w:rPr>
        <w:fldChar w:fldCharType="begin"/>
      </w:r>
      <w:r w:rsidR="00636E64">
        <w:rPr>
          <w:bCs/>
          <w:sz w:val="22"/>
          <w:szCs w:val="22"/>
          <w:lang w:val="en-AU" w:eastAsia="en-AU"/>
        </w:rPr>
        <w:instrText xml:space="preserve"> REF _Ref498352435 \r \h </w:instrText>
      </w:r>
      <w:r w:rsidR="00636E64">
        <w:rPr>
          <w:bCs/>
          <w:sz w:val="22"/>
          <w:szCs w:val="22"/>
          <w:lang w:val="en-AU" w:eastAsia="en-AU"/>
        </w:rPr>
      </w:r>
      <w:r w:rsidR="00636E64"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[5]</w:t>
      </w:r>
      <w:r w:rsidR="00636E64"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, </w:t>
      </w:r>
      <w:r w:rsidR="00636E64">
        <w:rPr>
          <w:bCs/>
          <w:sz w:val="22"/>
          <w:szCs w:val="22"/>
          <w:lang w:val="en-AU" w:eastAsia="en-AU"/>
        </w:rPr>
        <w:t>RAN2 provide</w:t>
      </w:r>
      <w:r w:rsidR="001E075A">
        <w:rPr>
          <w:bCs/>
          <w:sz w:val="22"/>
          <w:szCs w:val="22"/>
          <w:lang w:val="en-AU" w:eastAsia="en-AU"/>
        </w:rPr>
        <w:t>s</w:t>
      </w:r>
      <w:bookmarkStart w:id="0" w:name="_GoBack"/>
      <w:bookmarkEnd w:id="0"/>
      <w:r w:rsidR="00636E64">
        <w:rPr>
          <w:bCs/>
          <w:sz w:val="22"/>
          <w:szCs w:val="22"/>
          <w:lang w:val="en-AU" w:eastAsia="en-AU"/>
        </w:rPr>
        <w:t xml:space="preserve"> RAN1 the flexibility to design whether </w:t>
      </w:r>
      <w:r w:rsidR="00DD191E">
        <w:rPr>
          <w:bCs/>
          <w:sz w:val="22"/>
          <w:szCs w:val="22"/>
          <w:lang w:val="en-AU" w:eastAsia="en-AU"/>
        </w:rPr>
        <w:t xml:space="preserve">the </w:t>
      </w:r>
      <w:r w:rsidR="00636E64">
        <w:rPr>
          <w:bCs/>
          <w:sz w:val="22"/>
          <w:szCs w:val="22"/>
          <w:lang w:val="en-AU" w:eastAsia="en-AU"/>
        </w:rPr>
        <w:t>p</w:t>
      </w:r>
      <w:r w:rsidR="00636E64" w:rsidRPr="00636E64">
        <w:rPr>
          <w:bCs/>
          <w:sz w:val="22"/>
          <w:szCs w:val="22"/>
          <w:lang w:val="en-AU" w:eastAsia="en-AU"/>
        </w:rPr>
        <w:t>aging DCI and P</w:t>
      </w:r>
      <w:r w:rsidR="00636E64">
        <w:rPr>
          <w:bCs/>
          <w:sz w:val="22"/>
          <w:szCs w:val="22"/>
          <w:lang w:val="en-AU" w:eastAsia="en-AU"/>
        </w:rPr>
        <w:t xml:space="preserve">aging Message are sent in the same or </w:t>
      </w:r>
      <w:r w:rsidR="00DD191E">
        <w:rPr>
          <w:bCs/>
          <w:sz w:val="22"/>
          <w:szCs w:val="22"/>
          <w:lang w:val="en-AU" w:eastAsia="en-AU"/>
        </w:rPr>
        <w:t xml:space="preserve">in </w:t>
      </w:r>
      <w:r w:rsidR="00636E64">
        <w:rPr>
          <w:bCs/>
          <w:sz w:val="22"/>
          <w:szCs w:val="22"/>
          <w:lang w:val="en-AU" w:eastAsia="en-AU"/>
        </w:rPr>
        <w:t>different paging o</w:t>
      </w:r>
      <w:r w:rsidR="00636E64" w:rsidRPr="00636E64">
        <w:rPr>
          <w:bCs/>
          <w:sz w:val="22"/>
          <w:szCs w:val="22"/>
          <w:lang w:val="en-AU" w:eastAsia="en-AU"/>
        </w:rPr>
        <w:t>ccasion</w:t>
      </w:r>
      <w:r w:rsidR="00636E64">
        <w:rPr>
          <w:bCs/>
          <w:sz w:val="22"/>
          <w:szCs w:val="22"/>
          <w:lang w:val="en-AU" w:eastAsia="en-AU"/>
        </w:rPr>
        <w:t xml:space="preserve"> (PO). </w:t>
      </w:r>
      <w:r w:rsidR="00E20296">
        <w:rPr>
          <w:bCs/>
          <w:sz w:val="22"/>
          <w:szCs w:val="22"/>
          <w:lang w:val="en-AU" w:eastAsia="en-AU"/>
        </w:rPr>
        <w:t xml:space="preserve">Separating paging DCI and message </w:t>
      </w:r>
      <w:r w:rsidR="00E4391B">
        <w:rPr>
          <w:bCs/>
          <w:sz w:val="22"/>
          <w:szCs w:val="22"/>
          <w:lang w:val="en-AU" w:eastAsia="en-AU"/>
        </w:rPr>
        <w:t xml:space="preserve">may allow for introducing </w:t>
      </w:r>
      <w:r w:rsidR="00E20296">
        <w:rPr>
          <w:bCs/>
          <w:sz w:val="22"/>
          <w:szCs w:val="22"/>
          <w:lang w:val="en-AU" w:eastAsia="en-AU"/>
        </w:rPr>
        <w:t xml:space="preserve">additional functionality, for example, a </w:t>
      </w:r>
      <w:r w:rsidR="00CC0442">
        <w:rPr>
          <w:bCs/>
          <w:sz w:val="22"/>
          <w:szCs w:val="22"/>
          <w:lang w:val="en-AU" w:eastAsia="en-AU"/>
        </w:rPr>
        <w:t xml:space="preserve">paging group </w:t>
      </w:r>
      <w:r w:rsidR="00E4391B">
        <w:rPr>
          <w:bCs/>
          <w:sz w:val="22"/>
          <w:szCs w:val="22"/>
          <w:lang w:val="en-AU" w:eastAsia="en-AU"/>
        </w:rPr>
        <w:t>indicator</w:t>
      </w:r>
      <w:r w:rsidR="00E20296">
        <w:rPr>
          <w:bCs/>
          <w:sz w:val="22"/>
          <w:szCs w:val="22"/>
          <w:lang w:val="en-AU" w:eastAsia="en-AU"/>
        </w:rPr>
        <w:t xml:space="preserve"> </w:t>
      </w:r>
      <w:r w:rsidR="00E4391B">
        <w:rPr>
          <w:bCs/>
          <w:sz w:val="22"/>
          <w:szCs w:val="22"/>
          <w:lang w:val="en-AU" w:eastAsia="en-AU"/>
        </w:rPr>
        <w:t xml:space="preserve">for finer </w:t>
      </w:r>
      <w:r w:rsidR="00DD191E">
        <w:rPr>
          <w:bCs/>
          <w:sz w:val="22"/>
          <w:szCs w:val="22"/>
          <w:lang w:val="en-AU" w:eastAsia="en-AU"/>
        </w:rPr>
        <w:t xml:space="preserve">paging </w:t>
      </w:r>
      <w:r w:rsidR="00E4391B">
        <w:rPr>
          <w:bCs/>
          <w:sz w:val="22"/>
          <w:szCs w:val="22"/>
          <w:lang w:val="en-AU" w:eastAsia="en-AU"/>
        </w:rPr>
        <w:t xml:space="preserve">granularity and/or </w:t>
      </w:r>
      <w:r w:rsidR="00FD3A8C">
        <w:rPr>
          <w:bCs/>
          <w:sz w:val="22"/>
          <w:szCs w:val="22"/>
          <w:lang w:val="en-AU" w:eastAsia="en-AU"/>
        </w:rPr>
        <w:t xml:space="preserve">for triggering </w:t>
      </w:r>
      <w:r w:rsidR="00E4391B">
        <w:rPr>
          <w:bCs/>
          <w:sz w:val="22"/>
          <w:szCs w:val="22"/>
          <w:lang w:val="en-AU" w:eastAsia="en-AU"/>
        </w:rPr>
        <w:t>UE feedback</w:t>
      </w:r>
      <w:r w:rsidR="00DD191E">
        <w:rPr>
          <w:bCs/>
          <w:sz w:val="22"/>
          <w:szCs w:val="22"/>
          <w:lang w:val="en-AU" w:eastAsia="en-AU"/>
        </w:rPr>
        <w:t>/beam reporting</w:t>
      </w:r>
      <w:r w:rsidR="00E4391B">
        <w:rPr>
          <w:bCs/>
          <w:sz w:val="22"/>
          <w:szCs w:val="22"/>
          <w:lang w:val="en-AU" w:eastAsia="en-AU"/>
        </w:rPr>
        <w:t xml:space="preserve"> before the paging message is transmitted</w:t>
      </w:r>
      <w:r w:rsidR="00E20296">
        <w:rPr>
          <w:bCs/>
          <w:sz w:val="22"/>
          <w:szCs w:val="22"/>
          <w:lang w:val="en-AU" w:eastAsia="en-AU"/>
        </w:rPr>
        <w:t>.</w:t>
      </w:r>
      <w:r w:rsidR="005616C9">
        <w:rPr>
          <w:bCs/>
          <w:sz w:val="22"/>
          <w:szCs w:val="22"/>
          <w:lang w:val="en-AU" w:eastAsia="en-AU"/>
        </w:rPr>
        <w:t xml:space="preserve"> </w:t>
      </w:r>
      <w:r w:rsidR="00E4391B">
        <w:rPr>
          <w:bCs/>
          <w:sz w:val="22"/>
          <w:szCs w:val="22"/>
          <w:lang w:val="en-AU" w:eastAsia="en-AU"/>
        </w:rPr>
        <w:t>UE feedback</w:t>
      </w:r>
      <w:r w:rsidR="00CC0442">
        <w:rPr>
          <w:bCs/>
          <w:sz w:val="22"/>
          <w:szCs w:val="22"/>
          <w:lang w:val="en-AU" w:eastAsia="en-AU"/>
        </w:rPr>
        <w:t>/beam reporting</w:t>
      </w:r>
      <w:r w:rsidR="00E4391B">
        <w:rPr>
          <w:bCs/>
          <w:sz w:val="22"/>
          <w:szCs w:val="22"/>
          <w:lang w:val="en-AU" w:eastAsia="en-AU"/>
        </w:rPr>
        <w:t xml:space="preserve"> may require a new PRACH like signal </w:t>
      </w:r>
      <w:r w:rsidR="00CC0442">
        <w:rPr>
          <w:bCs/>
          <w:sz w:val="22"/>
          <w:szCs w:val="22"/>
          <w:lang w:val="en-AU" w:eastAsia="en-AU"/>
        </w:rPr>
        <w:t xml:space="preserve">whereas paging group indicator may require </w:t>
      </w:r>
      <w:r w:rsidR="00CC0442" w:rsidRPr="00CC0442">
        <w:rPr>
          <w:bCs/>
          <w:sz w:val="22"/>
          <w:szCs w:val="22"/>
          <w:lang w:val="en-AU" w:eastAsia="en-AU"/>
        </w:rPr>
        <w:t>a new channel</w:t>
      </w:r>
      <w:r w:rsidR="00CC0442">
        <w:rPr>
          <w:bCs/>
          <w:sz w:val="22"/>
          <w:szCs w:val="22"/>
          <w:lang w:val="en-AU" w:eastAsia="en-AU"/>
        </w:rPr>
        <w:t xml:space="preserve"> or an enhanced paging DCI</w:t>
      </w:r>
      <w:r w:rsidR="00E20296">
        <w:rPr>
          <w:bCs/>
          <w:sz w:val="22"/>
          <w:szCs w:val="22"/>
          <w:lang w:val="en-AU" w:eastAsia="en-AU"/>
        </w:rPr>
        <w:t xml:space="preserve"> </w:t>
      </w:r>
      <w:r w:rsidR="00E20296">
        <w:rPr>
          <w:bCs/>
          <w:sz w:val="22"/>
          <w:szCs w:val="22"/>
          <w:lang w:val="en-AU" w:eastAsia="en-AU"/>
        </w:rPr>
        <w:fldChar w:fldCharType="begin"/>
      </w:r>
      <w:r w:rsidR="00E20296">
        <w:rPr>
          <w:bCs/>
          <w:sz w:val="22"/>
          <w:szCs w:val="22"/>
          <w:lang w:val="en-AU" w:eastAsia="en-AU"/>
        </w:rPr>
        <w:instrText xml:space="preserve"> REF _Ref498353133 \r \h </w:instrText>
      </w:r>
      <w:r w:rsidR="00E20296">
        <w:rPr>
          <w:bCs/>
          <w:sz w:val="22"/>
          <w:szCs w:val="22"/>
          <w:lang w:val="en-AU" w:eastAsia="en-AU"/>
        </w:rPr>
      </w:r>
      <w:r w:rsidR="00E20296"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[6]</w:t>
      </w:r>
      <w:r w:rsidR="00E20296">
        <w:rPr>
          <w:bCs/>
          <w:sz w:val="22"/>
          <w:szCs w:val="22"/>
          <w:lang w:val="en-AU" w:eastAsia="en-AU"/>
        </w:rPr>
        <w:fldChar w:fldCharType="end"/>
      </w:r>
      <w:r w:rsidR="00CC0442">
        <w:rPr>
          <w:bCs/>
          <w:sz w:val="22"/>
          <w:szCs w:val="22"/>
          <w:lang w:val="en-AU" w:eastAsia="en-AU"/>
        </w:rPr>
        <w:t>.</w:t>
      </w:r>
    </w:p>
    <w:p w14:paraId="3FF8099C" w14:textId="6DDDA0FA" w:rsidR="00AF6121" w:rsidRDefault="00BD7709" w:rsidP="00BD770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 w:rsidR="003B6888">
        <w:rPr>
          <w:b/>
          <w:bCs/>
          <w:i/>
          <w:sz w:val="22"/>
          <w:szCs w:val="22"/>
          <w:lang w:val="en-AU" w:eastAsia="en-AU"/>
        </w:rPr>
        <w:t xml:space="preserve"> </w:t>
      </w:r>
      <w:r w:rsidR="005616C9" w:rsidRPr="005616C9">
        <w:rPr>
          <w:b/>
          <w:bCs/>
          <w:i/>
          <w:sz w:val="22"/>
          <w:szCs w:val="22"/>
          <w:lang w:val="en-AU" w:eastAsia="en-AU"/>
        </w:rPr>
        <w:t>RAN1 can consider the design of paging group indicator in R15.</w:t>
      </w:r>
      <w:r w:rsidR="00BE2479">
        <w:rPr>
          <w:b/>
          <w:bCs/>
          <w:i/>
          <w:sz w:val="22"/>
          <w:szCs w:val="22"/>
          <w:lang w:val="en-AU" w:eastAsia="en-AU"/>
        </w:rPr>
        <w:t xml:space="preserve"> Paging group indicator can be used for finer paging granularity and/or </w:t>
      </w:r>
      <w:r w:rsidR="00911E48">
        <w:rPr>
          <w:b/>
          <w:bCs/>
          <w:i/>
          <w:sz w:val="22"/>
          <w:szCs w:val="22"/>
          <w:lang w:val="en-AU" w:eastAsia="en-AU"/>
        </w:rPr>
        <w:t xml:space="preserve">for triggering </w:t>
      </w:r>
      <w:r w:rsidR="00BE2479">
        <w:rPr>
          <w:b/>
          <w:bCs/>
          <w:i/>
          <w:sz w:val="22"/>
          <w:szCs w:val="22"/>
          <w:lang w:val="en-AU" w:eastAsia="en-AU"/>
        </w:rPr>
        <w:t xml:space="preserve">UE feedback/beam reporting. </w:t>
      </w:r>
    </w:p>
    <w:p w14:paraId="26557B2B" w14:textId="39C1B11D" w:rsidR="00765E01" w:rsidRDefault="00765E01" w:rsidP="00765E01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As outlined </w:t>
      </w:r>
      <w:r w:rsidR="0020482C">
        <w:rPr>
          <w:bCs/>
          <w:sz w:val="22"/>
          <w:szCs w:val="22"/>
          <w:lang w:val="en-AU" w:eastAsia="en-AU"/>
        </w:rPr>
        <w:t xml:space="preserve">in </w:t>
      </w:r>
      <w:r>
        <w:rPr>
          <w:bCs/>
          <w:sz w:val="22"/>
          <w:szCs w:val="22"/>
          <w:lang w:val="en-AU" w:eastAsia="en-AU"/>
        </w:rPr>
        <w:t xml:space="preserve">the LS from </w:t>
      </w:r>
      <w:r w:rsidRPr="00765E01">
        <w:rPr>
          <w:bCs/>
          <w:sz w:val="22"/>
          <w:szCs w:val="22"/>
          <w:lang w:val="en-AU" w:eastAsia="en-AU"/>
        </w:rPr>
        <w:t>RAN2</w:t>
      </w:r>
      <w:r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_Ref498352435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 w:rsidR="00A36C65">
        <w:rPr>
          <w:bCs/>
          <w:sz w:val="22"/>
          <w:szCs w:val="22"/>
          <w:lang w:val="en-AU" w:eastAsia="en-AU"/>
        </w:rPr>
        <w:t>[5]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, </w:t>
      </w:r>
      <w:r w:rsidRPr="00765E01">
        <w:rPr>
          <w:bCs/>
          <w:sz w:val="22"/>
          <w:szCs w:val="22"/>
          <w:lang w:val="en-AU" w:eastAsia="en-AU"/>
        </w:rPr>
        <w:t xml:space="preserve">paging design should </w:t>
      </w:r>
      <w:r>
        <w:rPr>
          <w:bCs/>
          <w:sz w:val="22"/>
          <w:szCs w:val="22"/>
          <w:lang w:val="en-AU" w:eastAsia="en-AU"/>
        </w:rPr>
        <w:t xml:space="preserve">also </w:t>
      </w:r>
      <w:r w:rsidRPr="00765E01">
        <w:rPr>
          <w:bCs/>
          <w:sz w:val="22"/>
          <w:szCs w:val="22"/>
          <w:lang w:val="en-AU" w:eastAsia="en-AU"/>
        </w:rPr>
        <w:t>consider UE power consumption</w:t>
      </w:r>
      <w:r>
        <w:rPr>
          <w:bCs/>
          <w:sz w:val="22"/>
          <w:szCs w:val="22"/>
          <w:lang w:val="en-AU" w:eastAsia="en-AU"/>
        </w:rPr>
        <w:t xml:space="preserve">. </w:t>
      </w:r>
      <w:r w:rsidR="0020482C">
        <w:rPr>
          <w:bCs/>
          <w:sz w:val="22"/>
          <w:szCs w:val="22"/>
          <w:lang w:val="en-AU" w:eastAsia="en-AU"/>
        </w:rPr>
        <w:t xml:space="preserve">Enhancements to LTE paging could be useful for reducing the UE power consumption. </w:t>
      </w:r>
      <w:r w:rsidR="001254F9">
        <w:rPr>
          <w:bCs/>
          <w:sz w:val="22"/>
          <w:szCs w:val="22"/>
          <w:lang w:val="en-AU" w:eastAsia="en-AU"/>
        </w:rPr>
        <w:t xml:space="preserve">For example, </w:t>
      </w:r>
      <w:r w:rsidR="0020482C">
        <w:rPr>
          <w:bCs/>
          <w:sz w:val="22"/>
          <w:szCs w:val="22"/>
          <w:lang w:val="en-AU" w:eastAsia="en-AU"/>
        </w:rPr>
        <w:t xml:space="preserve">NR </w:t>
      </w:r>
      <w:r w:rsidR="001254F9">
        <w:rPr>
          <w:bCs/>
          <w:sz w:val="22"/>
          <w:szCs w:val="22"/>
          <w:lang w:val="en-AU" w:eastAsia="en-AU"/>
        </w:rPr>
        <w:t>shall strive to</w:t>
      </w:r>
      <w:r w:rsidR="0020482C">
        <w:rPr>
          <w:bCs/>
          <w:sz w:val="22"/>
          <w:szCs w:val="22"/>
          <w:lang w:val="en-AU" w:eastAsia="en-AU"/>
        </w:rPr>
        <w:t xml:space="preserve"> minimise unnecessary decoding of paging messages and thus saving UE processing power. Further</w:t>
      </w:r>
      <w:r w:rsidR="00D92AC6">
        <w:rPr>
          <w:bCs/>
          <w:sz w:val="22"/>
          <w:szCs w:val="22"/>
          <w:lang w:val="en-AU" w:eastAsia="en-AU"/>
        </w:rPr>
        <w:t>,</w:t>
      </w:r>
      <w:r w:rsidR="0020482C">
        <w:rPr>
          <w:bCs/>
          <w:sz w:val="22"/>
          <w:szCs w:val="22"/>
          <w:lang w:val="en-AU" w:eastAsia="en-AU"/>
        </w:rPr>
        <w:t xml:space="preserve"> solutions to minimise UE ON time for synchronisation and processing of </w:t>
      </w:r>
      <w:r w:rsidR="0020482C" w:rsidRPr="0020482C">
        <w:rPr>
          <w:bCs/>
          <w:sz w:val="22"/>
          <w:szCs w:val="22"/>
          <w:lang w:val="en-AU" w:eastAsia="en-AU"/>
        </w:rPr>
        <w:t>associated paging channels</w:t>
      </w:r>
      <w:r w:rsidR="0020482C">
        <w:rPr>
          <w:bCs/>
          <w:sz w:val="22"/>
          <w:szCs w:val="22"/>
          <w:lang w:val="en-AU" w:eastAsia="en-AU"/>
        </w:rPr>
        <w:t xml:space="preserve"> </w:t>
      </w:r>
      <w:r w:rsidR="001254F9">
        <w:rPr>
          <w:bCs/>
          <w:sz w:val="22"/>
          <w:szCs w:val="22"/>
          <w:lang w:val="en-AU" w:eastAsia="en-AU"/>
        </w:rPr>
        <w:t>can</w:t>
      </w:r>
      <w:r w:rsidR="0020482C">
        <w:rPr>
          <w:bCs/>
          <w:sz w:val="22"/>
          <w:szCs w:val="22"/>
          <w:lang w:val="en-AU" w:eastAsia="en-AU"/>
        </w:rPr>
        <w:t xml:space="preserve"> be considered</w:t>
      </w:r>
      <w:r w:rsidR="0020482C" w:rsidRPr="0020482C">
        <w:rPr>
          <w:bCs/>
          <w:sz w:val="22"/>
          <w:szCs w:val="22"/>
          <w:lang w:val="en-AU" w:eastAsia="en-AU"/>
        </w:rPr>
        <w:t>.</w:t>
      </w:r>
      <w:r w:rsidR="001254F9">
        <w:rPr>
          <w:bCs/>
          <w:sz w:val="22"/>
          <w:szCs w:val="22"/>
          <w:lang w:val="en-AU" w:eastAsia="en-AU"/>
        </w:rPr>
        <w:t xml:space="preserve"> However, the paging design for UE power saving must not significantly compromise the network flexibility </w:t>
      </w:r>
      <w:r w:rsidR="001254F9" w:rsidRPr="001254F9">
        <w:rPr>
          <w:bCs/>
          <w:sz w:val="22"/>
          <w:szCs w:val="22"/>
          <w:lang w:val="en-AU" w:eastAsia="en-AU"/>
        </w:rPr>
        <w:t>and/or performance/capacity.</w:t>
      </w:r>
    </w:p>
    <w:p w14:paraId="5293EB90" w14:textId="56B4842B" w:rsidR="0020482C" w:rsidRDefault="001254F9" w:rsidP="0020482C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Proposal 2</w:t>
      </w:r>
      <w:r w:rsidR="0020482C" w:rsidRPr="00BD7709">
        <w:rPr>
          <w:b/>
          <w:bCs/>
          <w:i/>
          <w:sz w:val="22"/>
          <w:szCs w:val="22"/>
          <w:lang w:val="en-AU" w:eastAsia="en-AU"/>
        </w:rPr>
        <w:t>:</w:t>
      </w:r>
      <w:r w:rsidR="0020482C">
        <w:rPr>
          <w:b/>
          <w:bCs/>
          <w:i/>
          <w:sz w:val="22"/>
          <w:szCs w:val="22"/>
          <w:lang w:val="en-AU" w:eastAsia="en-AU"/>
        </w:rPr>
        <w:t xml:space="preserve"> </w:t>
      </w:r>
      <w:r>
        <w:rPr>
          <w:b/>
          <w:bCs/>
          <w:i/>
          <w:sz w:val="22"/>
          <w:szCs w:val="22"/>
          <w:lang w:val="en-AU" w:eastAsia="en-AU"/>
        </w:rPr>
        <w:t xml:space="preserve">For NR paging design, strive to </w:t>
      </w:r>
      <w:r w:rsidRPr="001254F9">
        <w:rPr>
          <w:b/>
          <w:bCs/>
          <w:i/>
          <w:sz w:val="22"/>
          <w:szCs w:val="22"/>
          <w:lang w:val="en-AU" w:eastAsia="en-AU"/>
        </w:rPr>
        <w:t xml:space="preserve">achieve </w:t>
      </w:r>
      <w:r w:rsidR="00D92AC6"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1254F9">
        <w:rPr>
          <w:b/>
          <w:bCs/>
          <w:i/>
          <w:sz w:val="22"/>
          <w:szCs w:val="22"/>
          <w:lang w:val="en-AU" w:eastAsia="en-AU"/>
        </w:rPr>
        <w:t xml:space="preserve">good trade-off among the UE battery consumption, </w:t>
      </w:r>
      <w:r>
        <w:rPr>
          <w:b/>
          <w:bCs/>
          <w:i/>
          <w:sz w:val="22"/>
          <w:szCs w:val="22"/>
          <w:lang w:val="en-AU" w:eastAsia="en-AU"/>
        </w:rPr>
        <w:t xml:space="preserve">network flexibility, </w:t>
      </w:r>
      <w:r w:rsidRPr="001254F9">
        <w:rPr>
          <w:b/>
          <w:bCs/>
          <w:i/>
          <w:sz w:val="22"/>
          <w:szCs w:val="22"/>
          <w:lang w:val="en-AU" w:eastAsia="en-AU"/>
        </w:rPr>
        <w:t>and/or performance/capacity</w:t>
      </w:r>
      <w:r w:rsidR="0020482C"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2E34455B" w14:textId="77777777" w:rsidR="00765E01" w:rsidRDefault="00765E01" w:rsidP="00BD770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64EF07A" w14:textId="189E73C4" w:rsidR="00BD7709" w:rsidRPr="00D63DAD" w:rsidRDefault="00BD7709" w:rsidP="00BD7709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CD5DA3">
        <w:rPr>
          <w:bCs w:val="0"/>
        </w:rPr>
        <w:t>overhead reduction</w:t>
      </w:r>
      <w:r w:rsidR="00602510">
        <w:rPr>
          <w:bCs w:val="0"/>
        </w:rPr>
        <w:t xml:space="preserve"> and targeted paging and propose the following</w:t>
      </w:r>
      <w:r>
        <w:t>:</w:t>
      </w:r>
    </w:p>
    <w:p w14:paraId="38A05C00" w14:textId="77777777" w:rsidR="00911E48" w:rsidRDefault="00911E48" w:rsidP="00911E48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>
        <w:rPr>
          <w:b/>
          <w:bCs/>
          <w:i/>
          <w:sz w:val="22"/>
          <w:szCs w:val="22"/>
          <w:lang w:val="en-AU" w:eastAsia="en-AU"/>
        </w:rPr>
        <w:t xml:space="preserve"> </w:t>
      </w:r>
      <w:r w:rsidRPr="005616C9">
        <w:rPr>
          <w:b/>
          <w:bCs/>
          <w:i/>
          <w:sz w:val="22"/>
          <w:szCs w:val="22"/>
          <w:lang w:val="en-AU" w:eastAsia="en-AU"/>
        </w:rPr>
        <w:t>RAN1 can consider the design of paging group indicator in R15.</w:t>
      </w:r>
      <w:r>
        <w:rPr>
          <w:b/>
          <w:bCs/>
          <w:i/>
          <w:sz w:val="22"/>
          <w:szCs w:val="22"/>
          <w:lang w:val="en-AU" w:eastAsia="en-AU"/>
        </w:rPr>
        <w:t xml:space="preserve"> Paging group indicator can be used for finer paging granularity and/or for triggering UE feedback/beam reporting. </w:t>
      </w:r>
    </w:p>
    <w:p w14:paraId="57CEC7F6" w14:textId="663F4F45" w:rsidR="001254F9" w:rsidRDefault="001254F9" w:rsidP="001254F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Proposal 2</w:t>
      </w:r>
      <w:r w:rsidRPr="00BD7709">
        <w:rPr>
          <w:b/>
          <w:bCs/>
          <w:i/>
          <w:sz w:val="22"/>
          <w:szCs w:val="22"/>
          <w:lang w:val="en-AU" w:eastAsia="en-AU"/>
        </w:rPr>
        <w:t>:</w:t>
      </w:r>
      <w:r>
        <w:rPr>
          <w:b/>
          <w:bCs/>
          <w:i/>
          <w:sz w:val="22"/>
          <w:szCs w:val="22"/>
          <w:lang w:val="en-AU" w:eastAsia="en-AU"/>
        </w:rPr>
        <w:t xml:space="preserve"> For NR paging design, strive to </w:t>
      </w:r>
      <w:r w:rsidRPr="001254F9">
        <w:rPr>
          <w:b/>
          <w:bCs/>
          <w:i/>
          <w:sz w:val="22"/>
          <w:szCs w:val="22"/>
          <w:lang w:val="en-AU" w:eastAsia="en-AU"/>
        </w:rPr>
        <w:t xml:space="preserve">achieve </w:t>
      </w:r>
      <w:r w:rsidR="00D92AC6">
        <w:rPr>
          <w:b/>
          <w:bCs/>
          <w:i/>
          <w:sz w:val="22"/>
          <w:szCs w:val="22"/>
          <w:lang w:val="en-AU" w:eastAsia="en-AU"/>
        </w:rPr>
        <w:t xml:space="preserve">a </w:t>
      </w:r>
      <w:r w:rsidRPr="001254F9">
        <w:rPr>
          <w:b/>
          <w:bCs/>
          <w:i/>
          <w:sz w:val="22"/>
          <w:szCs w:val="22"/>
          <w:lang w:val="en-AU" w:eastAsia="en-AU"/>
        </w:rPr>
        <w:t xml:space="preserve">good trade-off among the UE </w:t>
      </w:r>
      <w:r>
        <w:rPr>
          <w:b/>
          <w:bCs/>
          <w:i/>
          <w:sz w:val="22"/>
          <w:szCs w:val="22"/>
          <w:lang w:val="en-AU" w:eastAsia="en-AU"/>
        </w:rPr>
        <w:t>power</w:t>
      </w:r>
      <w:r w:rsidRPr="001254F9">
        <w:rPr>
          <w:b/>
          <w:bCs/>
          <w:i/>
          <w:sz w:val="22"/>
          <w:szCs w:val="22"/>
          <w:lang w:val="en-AU" w:eastAsia="en-AU"/>
        </w:rPr>
        <w:t xml:space="preserve"> consumption, </w:t>
      </w:r>
      <w:r>
        <w:rPr>
          <w:b/>
          <w:bCs/>
          <w:i/>
          <w:sz w:val="22"/>
          <w:szCs w:val="22"/>
          <w:lang w:val="en-AU" w:eastAsia="en-AU"/>
        </w:rPr>
        <w:t xml:space="preserve">network flexibility, </w:t>
      </w:r>
      <w:r w:rsidRPr="001254F9">
        <w:rPr>
          <w:b/>
          <w:bCs/>
          <w:i/>
          <w:sz w:val="22"/>
          <w:szCs w:val="22"/>
          <w:lang w:val="en-AU" w:eastAsia="en-AU"/>
        </w:rPr>
        <w:t>and/or performance/capacity</w:t>
      </w:r>
      <w:r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01DCFDAB" w14:textId="77777777" w:rsidR="00602510" w:rsidRDefault="00602510" w:rsidP="00602510">
      <w:pPr>
        <w:spacing w:before="240" w:after="60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2AAFC0D6" w14:textId="53C430FE" w:rsidR="00EC5D7C" w:rsidRPr="00EC5D7C" w:rsidRDefault="00504333" w:rsidP="00E323C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1" w:name="_Ref494187510"/>
      <w:r>
        <w:rPr>
          <w:rFonts w:ascii="Times New Roman" w:hAnsi="Times New Roman"/>
        </w:rPr>
        <w:t>RAN1 Chairman’s Notes, RAN1#</w:t>
      </w:r>
      <w:r w:rsidR="00EC5D7C" w:rsidRPr="00EC5D7C">
        <w:rPr>
          <w:rFonts w:ascii="Times New Roman" w:hAnsi="Times New Roman"/>
        </w:rPr>
        <w:t>90, Prague, Czech Republic, 21</w:t>
      </w:r>
      <w:r w:rsidR="00EC5D7C" w:rsidRPr="00EC5D7C">
        <w:rPr>
          <w:rFonts w:ascii="Times New Roman" w:hAnsi="Times New Roman"/>
          <w:vertAlign w:val="superscript"/>
        </w:rPr>
        <w:t>st</w:t>
      </w:r>
      <w:r w:rsidR="00EC5D7C">
        <w:rPr>
          <w:rFonts w:ascii="Times New Roman" w:hAnsi="Times New Roman"/>
        </w:rPr>
        <w:t xml:space="preserve"> </w:t>
      </w:r>
      <w:r w:rsidR="00EC5D7C" w:rsidRPr="00EC5D7C">
        <w:rPr>
          <w:rFonts w:ascii="Times New Roman" w:hAnsi="Times New Roman"/>
        </w:rPr>
        <w:t xml:space="preserve"> – 25</w:t>
      </w:r>
      <w:r w:rsidR="00EC5D7C" w:rsidRPr="00EC5D7C">
        <w:rPr>
          <w:rFonts w:ascii="Times New Roman" w:hAnsi="Times New Roman"/>
          <w:vertAlign w:val="superscript"/>
        </w:rPr>
        <w:t>th</w:t>
      </w:r>
      <w:r w:rsidR="00EC5D7C">
        <w:rPr>
          <w:rFonts w:ascii="Times New Roman" w:hAnsi="Times New Roman"/>
        </w:rPr>
        <w:t xml:space="preserve"> </w:t>
      </w:r>
      <w:r w:rsidR="00EC5D7C" w:rsidRPr="00EC5D7C">
        <w:rPr>
          <w:rFonts w:ascii="Times New Roman" w:hAnsi="Times New Roman"/>
        </w:rPr>
        <w:t xml:space="preserve"> August 2017</w:t>
      </w:r>
      <w:bookmarkEnd w:id="1"/>
    </w:p>
    <w:p w14:paraId="41655D53" w14:textId="24F18136" w:rsidR="00BD7709" w:rsidRDefault="00EC5D7C" w:rsidP="00E323C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2" w:name="_Ref494187610"/>
      <w:r w:rsidRPr="00EC5D7C">
        <w:rPr>
          <w:rFonts w:ascii="Times New Roman" w:hAnsi="Times New Roman"/>
        </w:rPr>
        <w:t>RAN1 Chairman’s Notes, RAN1 NR Ad-Hoc#3, Nagoya, Japan, 18</w:t>
      </w:r>
      <w:r w:rsidRPr="00EC5D7C">
        <w:rPr>
          <w:rFonts w:ascii="Times New Roman" w:hAnsi="Times New Roman"/>
          <w:vertAlign w:val="superscript"/>
        </w:rPr>
        <w:t>th</w:t>
      </w:r>
      <w:r w:rsidRPr="00EC5D7C">
        <w:rPr>
          <w:rFonts w:ascii="Times New Roman" w:hAnsi="Times New Roman"/>
        </w:rPr>
        <w:t xml:space="preserve">  – 21</w:t>
      </w:r>
      <w:r w:rsidRPr="00EC5D7C">
        <w:rPr>
          <w:rFonts w:ascii="Times New Roman" w:hAnsi="Times New Roman"/>
          <w:vertAlign w:val="superscript"/>
        </w:rPr>
        <w:t>st</w:t>
      </w:r>
      <w:r w:rsidRPr="00EC5D7C">
        <w:rPr>
          <w:rFonts w:ascii="Times New Roman" w:hAnsi="Times New Roman"/>
        </w:rPr>
        <w:t xml:space="preserve">  September 2017</w:t>
      </w:r>
      <w:bookmarkEnd w:id="2"/>
    </w:p>
    <w:p w14:paraId="2B0A14E2" w14:textId="517F459E" w:rsidR="00504333" w:rsidRDefault="00504333" w:rsidP="00E323C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3" w:name="_Ref494191619"/>
      <w:r w:rsidRPr="00504333">
        <w:rPr>
          <w:rFonts w:ascii="Times New Roman" w:hAnsi="Times New Roman"/>
        </w:rPr>
        <w:t xml:space="preserve">RAN1 Chairman’s Notes, </w:t>
      </w:r>
      <w:r>
        <w:rPr>
          <w:rFonts w:ascii="Times New Roman" w:hAnsi="Times New Roman"/>
        </w:rPr>
        <w:t>RAN1#</w:t>
      </w:r>
      <w:r w:rsidRPr="00504333">
        <w:rPr>
          <w:rFonts w:ascii="Times New Roman" w:hAnsi="Times New Roman"/>
        </w:rPr>
        <w:t>88, Athens, Greece, 13</w:t>
      </w:r>
      <w:r w:rsidRPr="00504333">
        <w:rPr>
          <w:rFonts w:ascii="Times New Roman" w:hAnsi="Times New Roman"/>
          <w:vertAlign w:val="superscript"/>
        </w:rPr>
        <w:t>th</w:t>
      </w:r>
      <w:r w:rsidRPr="00504333">
        <w:rPr>
          <w:rFonts w:ascii="Times New Roman" w:hAnsi="Times New Roman"/>
        </w:rPr>
        <w:t xml:space="preserve">  – 17</w:t>
      </w:r>
      <w:r w:rsidRPr="00504333">
        <w:rPr>
          <w:rFonts w:ascii="Times New Roman" w:hAnsi="Times New Roman"/>
          <w:vertAlign w:val="superscript"/>
        </w:rPr>
        <w:t>th</w:t>
      </w:r>
      <w:r w:rsidRPr="00504333">
        <w:rPr>
          <w:rFonts w:ascii="Times New Roman" w:hAnsi="Times New Roman"/>
        </w:rPr>
        <w:t xml:space="preserve">  February 2017</w:t>
      </w:r>
      <w:bookmarkEnd w:id="3"/>
    </w:p>
    <w:p w14:paraId="3CEF35F3" w14:textId="02D4326F" w:rsidR="00872E6F" w:rsidRDefault="00872E6F" w:rsidP="00890A2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4" w:name="_Ref498352346"/>
      <w:r w:rsidRPr="00872E6F">
        <w:rPr>
          <w:rFonts w:ascii="Times New Roman" w:hAnsi="Times New Roman"/>
        </w:rPr>
        <w:t>RAN1 Chairman’s Notes, RAN1#90</w:t>
      </w:r>
      <w:r>
        <w:rPr>
          <w:rFonts w:ascii="Times New Roman" w:hAnsi="Times New Roman"/>
        </w:rPr>
        <w:t>b</w:t>
      </w:r>
      <w:r w:rsidRPr="00872E6F">
        <w:rPr>
          <w:rFonts w:ascii="Times New Roman" w:hAnsi="Times New Roman"/>
        </w:rPr>
        <w:t xml:space="preserve">, Prague, Czech Republic, </w:t>
      </w:r>
      <w:r>
        <w:rPr>
          <w:rFonts w:ascii="Times New Roman" w:hAnsi="Times New Roman"/>
        </w:rPr>
        <w:t>9</w:t>
      </w:r>
      <w:r w:rsidRPr="00872E6F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-13</w:t>
      </w:r>
      <w:r w:rsidRPr="00872E6F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October </w:t>
      </w:r>
      <w:r w:rsidRPr="00872E6F">
        <w:rPr>
          <w:rFonts w:ascii="Times New Roman" w:hAnsi="Times New Roman"/>
        </w:rPr>
        <w:t>2017</w:t>
      </w:r>
      <w:bookmarkEnd w:id="4"/>
    </w:p>
    <w:p w14:paraId="47DFF8AC" w14:textId="14C7D2A6" w:rsidR="00636E64" w:rsidRDefault="00636E64" w:rsidP="00636E6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5" w:name="_Ref498352435"/>
      <w:r w:rsidRPr="00636E64">
        <w:rPr>
          <w:rFonts w:ascii="Times New Roman" w:hAnsi="Times New Roman"/>
        </w:rPr>
        <w:t>R1-1719306</w:t>
      </w:r>
      <w:r>
        <w:rPr>
          <w:rFonts w:ascii="Times New Roman" w:hAnsi="Times New Roman"/>
        </w:rPr>
        <w:t xml:space="preserve">, </w:t>
      </w:r>
      <w:r w:rsidRPr="00636E64">
        <w:rPr>
          <w:rFonts w:ascii="Times New Roman" w:hAnsi="Times New Roman"/>
        </w:rPr>
        <w:t>Response LS on NR Paging Occasion</w:t>
      </w:r>
      <w:r>
        <w:rPr>
          <w:rFonts w:ascii="Times New Roman" w:hAnsi="Times New Roman"/>
        </w:rPr>
        <w:t>, LGE</w:t>
      </w:r>
      <w:bookmarkEnd w:id="5"/>
    </w:p>
    <w:p w14:paraId="450E42BA" w14:textId="49BD40F7" w:rsidR="00E4391B" w:rsidRPr="00872E6F" w:rsidRDefault="00E4391B" w:rsidP="00E4391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6" w:name="_Ref498353133"/>
      <w:r>
        <w:rPr>
          <w:rFonts w:ascii="Times New Roman" w:hAnsi="Times New Roman"/>
        </w:rPr>
        <w:t xml:space="preserve">R1-1718771, </w:t>
      </w:r>
      <w:r w:rsidRPr="00E4391B">
        <w:rPr>
          <w:rFonts w:ascii="Times New Roman" w:hAnsi="Times New Roman"/>
        </w:rPr>
        <w:t>Summary on Paging</w:t>
      </w:r>
      <w:r w:rsidRPr="00E4391B">
        <w:rPr>
          <w:rFonts w:ascii="Times New Roman" w:hAnsi="Times New Roman"/>
        </w:rPr>
        <w:tab/>
        <w:t>Huawei, HiSilicon</w:t>
      </w:r>
      <w:bookmarkEnd w:id="6"/>
    </w:p>
    <w:sectPr w:rsidR="00E4391B" w:rsidRPr="00872E6F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AF015" w14:textId="77777777" w:rsidR="005A0FB9" w:rsidRDefault="005A0FB9" w:rsidP="00537E71">
      <w:r>
        <w:separator/>
      </w:r>
    </w:p>
  </w:endnote>
  <w:endnote w:type="continuationSeparator" w:id="0">
    <w:p w14:paraId="399F2095" w14:textId="77777777" w:rsidR="005A0FB9" w:rsidRDefault="005A0FB9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43A7CAE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1E075A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02510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4AEF2" w14:textId="77777777" w:rsidR="005A0FB9" w:rsidRDefault="005A0FB9" w:rsidP="00537E71">
      <w:r>
        <w:separator/>
      </w:r>
    </w:p>
  </w:footnote>
  <w:footnote w:type="continuationSeparator" w:id="0">
    <w:p w14:paraId="2368C8CC" w14:textId="77777777" w:rsidR="005A0FB9" w:rsidRDefault="005A0FB9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0CA1"/>
    <w:rsid w:val="00012286"/>
    <w:rsid w:val="00012620"/>
    <w:rsid w:val="00017DF7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119"/>
    <w:rsid w:val="0004325B"/>
    <w:rsid w:val="00043263"/>
    <w:rsid w:val="000479BC"/>
    <w:rsid w:val="00051075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8677F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4F9"/>
    <w:rsid w:val="0012581A"/>
    <w:rsid w:val="001270DF"/>
    <w:rsid w:val="00134258"/>
    <w:rsid w:val="00135377"/>
    <w:rsid w:val="00135EEF"/>
    <w:rsid w:val="00136892"/>
    <w:rsid w:val="00136991"/>
    <w:rsid w:val="00141A0E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2D0B"/>
    <w:rsid w:val="001E02F6"/>
    <w:rsid w:val="001E075A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482C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0907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6E8F"/>
    <w:rsid w:val="002C76AC"/>
    <w:rsid w:val="002D1969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1913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59B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4333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6C9"/>
    <w:rsid w:val="00561931"/>
    <w:rsid w:val="005678B7"/>
    <w:rsid w:val="00574529"/>
    <w:rsid w:val="0057595B"/>
    <w:rsid w:val="00583A6D"/>
    <w:rsid w:val="00587632"/>
    <w:rsid w:val="005903BF"/>
    <w:rsid w:val="005953E6"/>
    <w:rsid w:val="005A0FB9"/>
    <w:rsid w:val="005A222E"/>
    <w:rsid w:val="005A3645"/>
    <w:rsid w:val="005B0DEC"/>
    <w:rsid w:val="005B41D7"/>
    <w:rsid w:val="005C28FA"/>
    <w:rsid w:val="005C35D9"/>
    <w:rsid w:val="005C62C8"/>
    <w:rsid w:val="005C7E01"/>
    <w:rsid w:val="005D2A33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36E64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3837"/>
    <w:rsid w:val="006E45AE"/>
    <w:rsid w:val="006E653E"/>
    <w:rsid w:val="006F6E8D"/>
    <w:rsid w:val="006F7FAB"/>
    <w:rsid w:val="00701D98"/>
    <w:rsid w:val="0071122E"/>
    <w:rsid w:val="0071277C"/>
    <w:rsid w:val="00713935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65E01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2E6F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1E4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56D5C"/>
    <w:rsid w:val="0096234D"/>
    <w:rsid w:val="009668DF"/>
    <w:rsid w:val="0096755B"/>
    <w:rsid w:val="00971CD8"/>
    <w:rsid w:val="00971CF9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C65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27FD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4E2A"/>
    <w:rsid w:val="00AA74A7"/>
    <w:rsid w:val="00AB2EFA"/>
    <w:rsid w:val="00AB4991"/>
    <w:rsid w:val="00AB7183"/>
    <w:rsid w:val="00AB7E56"/>
    <w:rsid w:val="00AB7FA7"/>
    <w:rsid w:val="00AC0F1E"/>
    <w:rsid w:val="00AD07CA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3C32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470B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479"/>
    <w:rsid w:val="00BE2867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66A0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0442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5553"/>
    <w:rsid w:val="00D66A93"/>
    <w:rsid w:val="00D82A50"/>
    <w:rsid w:val="00D92AC6"/>
    <w:rsid w:val="00DA1493"/>
    <w:rsid w:val="00DA2C94"/>
    <w:rsid w:val="00DA5423"/>
    <w:rsid w:val="00DA58EC"/>
    <w:rsid w:val="00DA5DAD"/>
    <w:rsid w:val="00DB1C87"/>
    <w:rsid w:val="00DB6140"/>
    <w:rsid w:val="00DC45E2"/>
    <w:rsid w:val="00DC56CC"/>
    <w:rsid w:val="00DC5C37"/>
    <w:rsid w:val="00DC7BC9"/>
    <w:rsid w:val="00DD191E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4B6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296"/>
    <w:rsid w:val="00E20C1F"/>
    <w:rsid w:val="00E22678"/>
    <w:rsid w:val="00E242F4"/>
    <w:rsid w:val="00E25072"/>
    <w:rsid w:val="00E26269"/>
    <w:rsid w:val="00E268A2"/>
    <w:rsid w:val="00E323C1"/>
    <w:rsid w:val="00E34024"/>
    <w:rsid w:val="00E3407C"/>
    <w:rsid w:val="00E35EF4"/>
    <w:rsid w:val="00E37176"/>
    <w:rsid w:val="00E424AA"/>
    <w:rsid w:val="00E42BCA"/>
    <w:rsid w:val="00E4391B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85D26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1883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0B41"/>
    <w:rsid w:val="00F3710E"/>
    <w:rsid w:val="00F37D37"/>
    <w:rsid w:val="00F44642"/>
    <w:rsid w:val="00F467E2"/>
    <w:rsid w:val="00F47401"/>
    <w:rsid w:val="00F51465"/>
    <w:rsid w:val="00F51A1C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A744B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3A8C"/>
    <w:rsid w:val="00FD3B9D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AF47-90D8-4F6D-B185-45E94521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50</cp:revision>
  <cp:lastPrinted>2017-11-16T22:53:00Z</cp:lastPrinted>
  <dcterms:created xsi:type="dcterms:W3CDTF">2017-09-25T22:54:00Z</dcterms:created>
  <dcterms:modified xsi:type="dcterms:W3CDTF">2017-11-16T23:04:00Z</dcterms:modified>
</cp:coreProperties>
</file>