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951BD" w14:textId="77777777" w:rsidR="00774438" w:rsidRDefault="00774438" w:rsidP="00033CCB">
      <w:pPr>
        <w:pStyle w:val="3GPPHeader"/>
        <w:spacing w:after="60"/>
        <w:rPr>
          <w:bCs/>
          <w:sz w:val="22"/>
        </w:rPr>
      </w:pPr>
    </w:p>
    <w:p w14:paraId="39AFAB79" w14:textId="6A371C66" w:rsidR="00033CCB" w:rsidRPr="00D376C5" w:rsidRDefault="00033CCB" w:rsidP="00033CCB">
      <w:pPr>
        <w:pStyle w:val="3GPPHeader"/>
        <w:spacing w:after="60"/>
        <w:rPr>
          <w:bCs/>
          <w:sz w:val="22"/>
        </w:rPr>
      </w:pPr>
      <w:bookmarkStart w:id="0" w:name="_GoBack"/>
      <w:bookmarkEnd w:id="0"/>
      <w:r w:rsidRPr="00D376C5">
        <w:rPr>
          <w:bCs/>
          <w:sz w:val="22"/>
        </w:rPr>
        <w:t xml:space="preserve">3GPP TSG RAN WG1 #90                  </w:t>
      </w:r>
      <w:r w:rsidR="00774438">
        <w:rPr>
          <w:bCs/>
          <w:sz w:val="22"/>
        </w:rPr>
        <w:t xml:space="preserve">                     </w:t>
      </w:r>
      <w:r w:rsidR="00774438">
        <w:rPr>
          <w:bCs/>
          <w:sz w:val="22"/>
        </w:rPr>
        <w:tab/>
        <w:t>R1-1714436</w:t>
      </w:r>
    </w:p>
    <w:p w14:paraId="51C3CE46" w14:textId="5B092DCB" w:rsidR="00E90E49" w:rsidRPr="00D376C5" w:rsidRDefault="00033CCB" w:rsidP="004C6405">
      <w:pPr>
        <w:pStyle w:val="3GPPHeader"/>
        <w:rPr>
          <w:sz w:val="22"/>
          <w:lang w:val="en-US"/>
        </w:rPr>
      </w:pPr>
      <w:r w:rsidRPr="00D376C5">
        <w:rPr>
          <w:bCs/>
          <w:sz w:val="22"/>
        </w:rPr>
        <w:t>Prague, Czech Republic, 21-25 August 2017</w:t>
      </w:r>
    </w:p>
    <w:p w14:paraId="606D9DC9" w14:textId="6D106472"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033CCB">
        <w:rPr>
          <w:sz w:val="22"/>
          <w:szCs w:val="22"/>
          <w:lang w:val="en-US"/>
        </w:rPr>
        <w:t>6</w:t>
      </w:r>
      <w:r w:rsidR="00BD0AF6" w:rsidRPr="0067626C">
        <w:rPr>
          <w:sz w:val="22"/>
          <w:szCs w:val="22"/>
          <w:lang w:val="en-US"/>
        </w:rPr>
        <w:t>.1.3.3.</w:t>
      </w:r>
      <w:r w:rsidR="00BD0AF6">
        <w:rPr>
          <w:sz w:val="22"/>
          <w:szCs w:val="22"/>
          <w:lang w:val="en-US"/>
        </w:rPr>
        <w:t>4.1</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1CA72DD3"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DE1BBA">
        <w:rPr>
          <w:sz w:val="22"/>
          <w:szCs w:val="22"/>
          <w:lang w:val="en-US"/>
        </w:rPr>
        <w:t>Code Block G</w:t>
      </w:r>
      <w:r w:rsidR="00BD0AF6">
        <w:rPr>
          <w:sz w:val="22"/>
          <w:szCs w:val="22"/>
          <w:lang w:val="en-US"/>
        </w:rPr>
        <w:t>roup Formation</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46F1C5CB" w14:textId="77777777" w:rsidR="003D77B0" w:rsidRDefault="003D77B0" w:rsidP="003D77B0">
      <w:pPr>
        <w:pStyle w:val="BodyText"/>
        <w:rPr>
          <w:rFonts w:cs="Arial"/>
        </w:rPr>
      </w:pPr>
      <w:r>
        <w:rPr>
          <w:rFonts w:cs="Arial"/>
        </w:rPr>
        <w:t>In RAN1#89</w:t>
      </w:r>
      <w:r w:rsidRPr="003F5094">
        <w:rPr>
          <w:rFonts w:cs="Arial"/>
        </w:rPr>
        <w:t>, the followin</w:t>
      </w:r>
      <w:r>
        <w:rPr>
          <w:rFonts w:cs="Arial"/>
        </w:rPr>
        <w:t xml:space="preserve">g agreements on code-block group (CBG) formation were reached </w:t>
      </w:r>
      <w:r>
        <w:rPr>
          <w:rFonts w:cs="Arial"/>
        </w:rPr>
        <w:fldChar w:fldCharType="begin"/>
      </w:r>
      <w:r>
        <w:rPr>
          <w:rFonts w:cs="Arial"/>
        </w:rPr>
        <w:instrText xml:space="preserve"> REF _Ref484605489 \r \h </w:instrText>
      </w:r>
      <w:r>
        <w:rPr>
          <w:rFonts w:cs="Arial"/>
        </w:rPr>
      </w:r>
      <w:r>
        <w:rPr>
          <w:rFonts w:cs="Arial"/>
        </w:rPr>
        <w:fldChar w:fldCharType="separate"/>
      </w:r>
      <w:r>
        <w:rPr>
          <w:rFonts w:cs="Arial"/>
        </w:rPr>
        <w:t>[2]</w:t>
      </w:r>
      <w:r>
        <w:rPr>
          <w:rFonts w:cs="Arial"/>
        </w:rPr>
        <w:fldChar w:fldCharType="end"/>
      </w:r>
      <w:r w:rsidRPr="003F5094">
        <w:rPr>
          <w:rFonts w:cs="Arial"/>
        </w:rPr>
        <w:t>:</w:t>
      </w:r>
    </w:p>
    <w:p w14:paraId="443DCC18" w14:textId="77777777" w:rsidR="003D77B0" w:rsidRPr="004630BF" w:rsidRDefault="003D77B0" w:rsidP="003D77B0">
      <w:pPr>
        <w:overflowPunct/>
        <w:autoSpaceDE/>
        <w:autoSpaceDN/>
        <w:adjustRightInd/>
        <w:spacing w:after="0"/>
        <w:ind w:left="567"/>
        <w:jc w:val="left"/>
        <w:textAlignment w:val="auto"/>
        <w:rPr>
          <w:rFonts w:eastAsia="MS Mincho" w:cs="Arial"/>
          <w:b/>
          <w:u w:val="single"/>
          <w:lang w:val="en-US" w:eastAsia="ja-JP"/>
        </w:rPr>
      </w:pPr>
      <w:r w:rsidRPr="004630BF">
        <w:rPr>
          <w:rFonts w:eastAsia="MS Mincho" w:cs="Arial"/>
          <w:b/>
          <w:highlight w:val="green"/>
          <w:u w:val="single"/>
          <w:lang w:val="en-US" w:eastAsia="ja-JP"/>
        </w:rPr>
        <w:t>Agreements:</w:t>
      </w:r>
    </w:p>
    <w:p w14:paraId="11CB9C46" w14:textId="77777777" w:rsidR="003D77B0" w:rsidRPr="004630BF" w:rsidRDefault="003D77B0" w:rsidP="003D77B0">
      <w:pPr>
        <w:numPr>
          <w:ilvl w:val="0"/>
          <w:numId w:val="32"/>
        </w:numPr>
        <w:tabs>
          <w:tab w:val="clear" w:pos="360"/>
          <w:tab w:val="num" w:pos="927"/>
        </w:tabs>
        <w:overflowPunct/>
        <w:autoSpaceDE/>
        <w:autoSpaceDN/>
        <w:adjustRightInd/>
        <w:spacing w:after="0"/>
        <w:ind w:left="927"/>
        <w:jc w:val="left"/>
        <w:textAlignment w:val="auto"/>
        <w:rPr>
          <w:rFonts w:eastAsia="MS Mincho" w:cs="Arial"/>
          <w:lang w:val="en-US" w:eastAsia="ja-JP"/>
        </w:rPr>
      </w:pPr>
      <w:r w:rsidRPr="004630BF">
        <w:rPr>
          <w:rFonts w:eastAsia="MS Mincho" w:cs="Arial"/>
          <w:lang w:val="en-US" w:eastAsia="ja-JP"/>
        </w:rPr>
        <w:t>For grouping CB(s) into CBG(s), following is adopted.</w:t>
      </w:r>
    </w:p>
    <w:p w14:paraId="4B36DDF4" w14:textId="77777777" w:rsidR="003D77B0" w:rsidRPr="004630BF" w:rsidRDefault="003D77B0" w:rsidP="003D77B0">
      <w:pPr>
        <w:numPr>
          <w:ilvl w:val="1"/>
          <w:numId w:val="32"/>
        </w:numPr>
        <w:tabs>
          <w:tab w:val="clear" w:pos="1080"/>
          <w:tab w:val="num" w:pos="1647"/>
        </w:tabs>
        <w:overflowPunct/>
        <w:autoSpaceDE/>
        <w:autoSpaceDN/>
        <w:adjustRightInd/>
        <w:spacing w:after="0"/>
        <w:ind w:left="1647"/>
        <w:jc w:val="left"/>
        <w:textAlignment w:val="auto"/>
        <w:rPr>
          <w:rFonts w:eastAsia="MS Mincho" w:cs="Arial"/>
          <w:lang w:val="en-US" w:eastAsia="ja-JP"/>
        </w:rPr>
      </w:pPr>
      <w:r w:rsidRPr="004630BF">
        <w:rPr>
          <w:rFonts w:eastAsia="MS Mincho" w:cs="Arial"/>
          <w:lang w:val="en-US" w:eastAsia="ja-JP"/>
        </w:rPr>
        <w:t>With indicated number of CBGs, the number of CBs in a CBG changes according to TBS.</w:t>
      </w:r>
    </w:p>
    <w:p w14:paraId="12EDC025" w14:textId="77777777" w:rsidR="003D77B0" w:rsidRPr="004630BF" w:rsidRDefault="003D77B0" w:rsidP="003D77B0">
      <w:pPr>
        <w:numPr>
          <w:ilvl w:val="2"/>
          <w:numId w:val="32"/>
        </w:numPr>
        <w:tabs>
          <w:tab w:val="clear" w:pos="1800"/>
          <w:tab w:val="num" w:pos="2367"/>
        </w:tabs>
        <w:overflowPunct/>
        <w:autoSpaceDE/>
        <w:autoSpaceDN/>
        <w:adjustRightInd/>
        <w:spacing w:after="0"/>
        <w:ind w:left="2367"/>
        <w:jc w:val="left"/>
        <w:textAlignment w:val="auto"/>
        <w:rPr>
          <w:rFonts w:eastAsia="MS Mincho" w:cs="Arial"/>
          <w:lang w:val="en-US" w:eastAsia="ja-JP"/>
        </w:rPr>
      </w:pPr>
      <w:r w:rsidRPr="004630BF">
        <w:rPr>
          <w:rFonts w:eastAsia="MS Mincho" w:cs="Arial"/>
          <w:lang w:val="en-US" w:eastAsia="ja-JP"/>
        </w:rPr>
        <w:t>FFS for the case of re-transmission or the case when the number of CBs is smaller than the indicated number of CBG</w:t>
      </w:r>
      <w:r w:rsidRPr="004630BF">
        <w:rPr>
          <w:rFonts w:eastAsia="Batang" w:cs="Arial"/>
          <w:lang w:eastAsia="en-US"/>
        </w:rPr>
        <w:t xml:space="preserve"> </w:t>
      </w:r>
    </w:p>
    <w:p w14:paraId="45F11180" w14:textId="77777777" w:rsidR="003D77B0" w:rsidRPr="004630BF" w:rsidRDefault="003D77B0" w:rsidP="003D77B0">
      <w:pPr>
        <w:numPr>
          <w:ilvl w:val="2"/>
          <w:numId w:val="32"/>
        </w:numPr>
        <w:tabs>
          <w:tab w:val="clear" w:pos="1800"/>
          <w:tab w:val="num" w:pos="2367"/>
        </w:tabs>
        <w:overflowPunct/>
        <w:autoSpaceDE/>
        <w:autoSpaceDN/>
        <w:adjustRightInd/>
        <w:spacing w:after="0"/>
        <w:ind w:left="2367"/>
        <w:jc w:val="left"/>
        <w:textAlignment w:val="auto"/>
        <w:rPr>
          <w:rFonts w:eastAsia="MS Mincho" w:cs="Arial"/>
          <w:lang w:val="en-US" w:eastAsia="ja-JP"/>
        </w:rPr>
      </w:pPr>
      <w:r w:rsidRPr="004630BF">
        <w:rPr>
          <w:rFonts w:eastAsia="MS Mincho" w:cs="Arial"/>
          <w:lang w:val="en-US" w:eastAsia="ja-JP"/>
        </w:rPr>
        <w:t>FFS “indicated” is realized by RRC, MAC, L1 signalling</w:t>
      </w:r>
    </w:p>
    <w:p w14:paraId="4C392EF8" w14:textId="77777777" w:rsidR="003D77B0" w:rsidRPr="0037130E" w:rsidRDefault="003D77B0" w:rsidP="003D77B0">
      <w:pPr>
        <w:ind w:left="567"/>
        <w:rPr>
          <w:rFonts w:eastAsia="MS Mincho"/>
          <w:b/>
          <w:u w:val="single"/>
          <w:lang w:val="en-US" w:eastAsia="ja-JP"/>
        </w:rPr>
      </w:pPr>
      <w:r w:rsidRPr="0037130E">
        <w:rPr>
          <w:rFonts w:eastAsia="MS Mincho" w:hint="eastAsia"/>
          <w:b/>
          <w:highlight w:val="green"/>
          <w:u w:val="single"/>
          <w:lang w:val="en-US" w:eastAsia="ja-JP"/>
        </w:rPr>
        <w:t>Agreements</w:t>
      </w:r>
      <w:r w:rsidRPr="0037130E">
        <w:rPr>
          <w:rFonts w:eastAsia="MS Mincho"/>
          <w:b/>
          <w:highlight w:val="green"/>
          <w:u w:val="single"/>
          <w:lang w:val="en-US" w:eastAsia="ja-JP"/>
        </w:rPr>
        <w:t>:</w:t>
      </w:r>
    </w:p>
    <w:p w14:paraId="48CBC745" w14:textId="77777777" w:rsidR="003D77B0" w:rsidRPr="0037130E" w:rsidRDefault="003D77B0" w:rsidP="003D77B0">
      <w:pPr>
        <w:numPr>
          <w:ilvl w:val="0"/>
          <w:numId w:val="33"/>
        </w:numPr>
        <w:tabs>
          <w:tab w:val="clear" w:pos="360"/>
          <w:tab w:val="num" w:pos="927"/>
        </w:tabs>
        <w:overflowPunct/>
        <w:autoSpaceDE/>
        <w:autoSpaceDN/>
        <w:adjustRightInd/>
        <w:spacing w:after="0"/>
        <w:ind w:left="927"/>
        <w:jc w:val="left"/>
        <w:textAlignment w:val="auto"/>
        <w:rPr>
          <w:rFonts w:eastAsia="MS Mincho"/>
          <w:lang w:val="en-US" w:eastAsia="ja-JP"/>
        </w:rPr>
      </w:pPr>
      <w:r w:rsidRPr="0037130E">
        <w:rPr>
          <w:rFonts w:eastAsia="MS Mincho" w:hint="eastAsia"/>
          <w:lang w:val="en-US" w:eastAsia="ja-JP"/>
        </w:rPr>
        <w:t>At least following is supported.</w:t>
      </w:r>
    </w:p>
    <w:p w14:paraId="4CA8807A" w14:textId="77777777" w:rsidR="003D77B0" w:rsidRPr="0037130E" w:rsidRDefault="003D77B0" w:rsidP="003D77B0">
      <w:pPr>
        <w:numPr>
          <w:ilvl w:val="1"/>
          <w:numId w:val="33"/>
        </w:numPr>
        <w:tabs>
          <w:tab w:val="clear" w:pos="1080"/>
          <w:tab w:val="num" w:pos="1647"/>
        </w:tabs>
        <w:overflowPunct/>
        <w:autoSpaceDE/>
        <w:autoSpaceDN/>
        <w:adjustRightInd/>
        <w:spacing w:after="0"/>
        <w:ind w:left="1647"/>
        <w:jc w:val="left"/>
        <w:textAlignment w:val="auto"/>
        <w:rPr>
          <w:rFonts w:eastAsia="MS Mincho"/>
          <w:lang w:val="en-US" w:eastAsia="ja-JP"/>
        </w:rPr>
      </w:pPr>
      <w:r w:rsidRPr="0037130E">
        <w:rPr>
          <w:rFonts w:eastAsia="MS Mincho"/>
          <w:lang w:val="en-US" w:eastAsia="ja-JP"/>
        </w:rPr>
        <w:t>For a given number of CBGs for a given TB, the number of CBs per CBG should be as uniform as possible.</w:t>
      </w:r>
    </w:p>
    <w:p w14:paraId="77559D10" w14:textId="77777777" w:rsidR="003D77B0" w:rsidRPr="0037130E" w:rsidRDefault="003D77B0" w:rsidP="003D77B0">
      <w:pPr>
        <w:numPr>
          <w:ilvl w:val="2"/>
          <w:numId w:val="33"/>
        </w:numPr>
        <w:tabs>
          <w:tab w:val="clear" w:pos="1800"/>
          <w:tab w:val="num" w:pos="2367"/>
        </w:tabs>
        <w:overflowPunct/>
        <w:autoSpaceDE/>
        <w:autoSpaceDN/>
        <w:adjustRightInd/>
        <w:spacing w:after="0"/>
        <w:ind w:left="2367"/>
        <w:jc w:val="left"/>
        <w:textAlignment w:val="auto"/>
        <w:rPr>
          <w:rFonts w:eastAsia="MS Mincho"/>
          <w:lang w:val="en-US" w:eastAsia="ja-JP"/>
        </w:rPr>
      </w:pPr>
      <w:r w:rsidRPr="0037130E">
        <w:rPr>
          <w:rFonts w:eastAsia="MS Mincho"/>
          <w:lang w:val="en-US" w:eastAsia="ja-JP"/>
        </w:rPr>
        <w:t>The difference of CB number per CBG between any two CBGs is either 0 or 1.</w:t>
      </w:r>
    </w:p>
    <w:p w14:paraId="2A77595D" w14:textId="77777777" w:rsidR="003D77B0" w:rsidRPr="0037130E" w:rsidRDefault="003D77B0" w:rsidP="003D77B0">
      <w:pPr>
        <w:numPr>
          <w:ilvl w:val="2"/>
          <w:numId w:val="33"/>
        </w:numPr>
        <w:tabs>
          <w:tab w:val="clear" w:pos="1800"/>
          <w:tab w:val="num" w:pos="2367"/>
        </w:tabs>
        <w:overflowPunct/>
        <w:autoSpaceDE/>
        <w:autoSpaceDN/>
        <w:adjustRightInd/>
        <w:spacing w:after="0"/>
        <w:ind w:left="2367"/>
        <w:jc w:val="left"/>
        <w:textAlignment w:val="auto"/>
        <w:rPr>
          <w:rFonts w:eastAsia="MS Mincho"/>
          <w:lang w:val="en-US" w:eastAsia="ja-JP"/>
        </w:rPr>
      </w:pPr>
      <w:r w:rsidRPr="0037130E">
        <w:rPr>
          <w:rFonts w:eastAsia="MS Mincho"/>
          <w:lang w:val="en-US" w:eastAsia="ja-JP"/>
        </w:rPr>
        <w:t>FFS on the detailed rule for the CB grouping.</w:t>
      </w:r>
    </w:p>
    <w:p w14:paraId="3FAC03A6" w14:textId="77777777" w:rsidR="003D77B0" w:rsidRPr="0037130E" w:rsidRDefault="003D77B0" w:rsidP="00282BC7">
      <w:pPr>
        <w:numPr>
          <w:ilvl w:val="0"/>
          <w:numId w:val="33"/>
        </w:numPr>
        <w:tabs>
          <w:tab w:val="clear" w:pos="360"/>
          <w:tab w:val="num" w:pos="927"/>
        </w:tabs>
        <w:overflowPunct/>
        <w:autoSpaceDE/>
        <w:autoSpaceDN/>
        <w:adjustRightInd/>
        <w:ind w:left="922"/>
        <w:jc w:val="left"/>
        <w:textAlignment w:val="auto"/>
        <w:rPr>
          <w:rFonts w:eastAsia="MS Mincho"/>
          <w:lang w:val="en-US" w:eastAsia="ja-JP"/>
        </w:rPr>
      </w:pPr>
      <w:r w:rsidRPr="0037130E">
        <w:rPr>
          <w:rFonts w:eastAsia="MS Mincho"/>
          <w:lang w:val="en-US" w:eastAsia="ja-JP"/>
        </w:rPr>
        <w:t>Study further benefit and realization of non-uniform CB distribution across CBGs.</w:t>
      </w:r>
    </w:p>
    <w:p w14:paraId="18B8D9B1" w14:textId="4E8A4C52" w:rsidR="00474D3A" w:rsidRDefault="00474D3A" w:rsidP="00D538F4">
      <w:pPr>
        <w:pStyle w:val="BodyText"/>
        <w:rPr>
          <w:lang w:val="en-US"/>
        </w:rPr>
      </w:pPr>
      <w:r>
        <w:rPr>
          <w:lang w:val="en-US"/>
        </w:rPr>
        <w:t xml:space="preserve">In NR RAN1 ad hoc # 2, the following working assumption and agreement were reached </w:t>
      </w:r>
      <w:r>
        <w:rPr>
          <w:lang w:val="en-US"/>
        </w:rPr>
        <w:fldChar w:fldCharType="begin"/>
      </w:r>
      <w:r>
        <w:rPr>
          <w:lang w:val="en-US"/>
        </w:rPr>
        <w:instrText xml:space="preserve"> REF _Ref489275742 \r \h </w:instrText>
      </w:r>
      <w:r>
        <w:rPr>
          <w:lang w:val="en-US"/>
        </w:rPr>
      </w:r>
      <w:r>
        <w:rPr>
          <w:lang w:val="en-US"/>
        </w:rPr>
        <w:fldChar w:fldCharType="separate"/>
      </w:r>
      <w:r>
        <w:rPr>
          <w:lang w:val="en-US"/>
        </w:rPr>
        <w:t>[1]</w:t>
      </w:r>
      <w:r>
        <w:rPr>
          <w:lang w:val="en-US"/>
        </w:rPr>
        <w:fldChar w:fldCharType="end"/>
      </w:r>
      <w:r>
        <w:rPr>
          <w:lang w:val="en-US"/>
        </w:rPr>
        <w:t>:</w:t>
      </w:r>
    </w:p>
    <w:p w14:paraId="494E9260" w14:textId="77777777" w:rsidR="00BD5681" w:rsidRPr="00244F37" w:rsidRDefault="00BD5681" w:rsidP="009635AA">
      <w:pPr>
        <w:spacing w:after="0"/>
        <w:ind w:left="562"/>
        <w:rPr>
          <w:rFonts w:eastAsia="MS Mincho"/>
          <w:b/>
          <w:u w:val="single"/>
          <w:lang w:val="en-US" w:eastAsia="ja-JP"/>
        </w:rPr>
      </w:pPr>
      <w:r w:rsidRPr="00244F37">
        <w:rPr>
          <w:rFonts w:eastAsia="MS Mincho"/>
          <w:b/>
          <w:highlight w:val="darkYellow"/>
          <w:u w:val="single"/>
          <w:lang w:val="en-US" w:eastAsia="ja-JP"/>
        </w:rPr>
        <w:t>Working assumption:</w:t>
      </w:r>
    </w:p>
    <w:p w14:paraId="66525939" w14:textId="77777777" w:rsidR="00BD5681" w:rsidRPr="00244F37" w:rsidRDefault="00BD5681" w:rsidP="00BD5681">
      <w:pPr>
        <w:numPr>
          <w:ilvl w:val="1"/>
          <w:numId w:val="34"/>
        </w:numPr>
        <w:overflowPunct/>
        <w:autoSpaceDE/>
        <w:autoSpaceDN/>
        <w:adjustRightInd/>
        <w:spacing w:after="0"/>
        <w:ind w:left="1407"/>
        <w:jc w:val="left"/>
        <w:textAlignment w:val="auto"/>
        <w:rPr>
          <w:rFonts w:eastAsia="MS Mincho"/>
          <w:lang w:val="en-US" w:eastAsia="ja-JP"/>
        </w:rPr>
      </w:pPr>
      <w:bookmarkStart w:id="1" w:name="_Hlk489275837"/>
      <w:r w:rsidRPr="00244F37">
        <w:rPr>
          <w:rFonts w:eastAsia="MS Mincho"/>
          <w:lang w:val="en-US" w:eastAsia="ja-JP"/>
        </w:rPr>
        <w:t>For initial transmission and retransmission, each CBG of a TB has the same set of CB(s).</w:t>
      </w:r>
    </w:p>
    <w:bookmarkEnd w:id="1"/>
    <w:p w14:paraId="0035C337" w14:textId="77777777" w:rsidR="00BD5681" w:rsidRPr="00244F37" w:rsidRDefault="00BD5681" w:rsidP="00BD5681">
      <w:pPr>
        <w:spacing w:after="0"/>
        <w:ind w:left="562"/>
        <w:rPr>
          <w:rFonts w:eastAsia="MS Mincho"/>
          <w:b/>
          <w:u w:val="single"/>
          <w:lang w:val="en-US" w:eastAsia="ja-JP"/>
        </w:rPr>
      </w:pPr>
      <w:r w:rsidRPr="00244F37">
        <w:rPr>
          <w:rFonts w:eastAsia="MS Mincho" w:hint="eastAsia"/>
          <w:b/>
          <w:highlight w:val="green"/>
          <w:u w:val="single"/>
          <w:lang w:val="en-US" w:eastAsia="ja-JP"/>
        </w:rPr>
        <w:t>Agreements:</w:t>
      </w:r>
    </w:p>
    <w:p w14:paraId="298ED0DA" w14:textId="77777777" w:rsidR="00BD5681" w:rsidRPr="00244F37" w:rsidRDefault="00BD5681" w:rsidP="00BD5681">
      <w:pPr>
        <w:numPr>
          <w:ilvl w:val="0"/>
          <w:numId w:val="34"/>
        </w:numPr>
        <w:overflowPunct/>
        <w:autoSpaceDE/>
        <w:autoSpaceDN/>
        <w:adjustRightInd/>
        <w:ind w:left="980" w:hanging="418"/>
        <w:jc w:val="left"/>
        <w:textAlignment w:val="auto"/>
        <w:rPr>
          <w:rFonts w:eastAsia="MS Mincho"/>
          <w:lang w:val="en-US" w:eastAsia="ja-JP"/>
        </w:rPr>
      </w:pPr>
      <w:r w:rsidRPr="00244F37">
        <w:rPr>
          <w:rFonts w:eastAsia="MS Mincho" w:hint="eastAsia"/>
          <w:lang w:val="en-US" w:eastAsia="ja-JP"/>
        </w:rPr>
        <w:t xml:space="preserve">For CBG-based (re)transmission, </w:t>
      </w:r>
      <w:r w:rsidRPr="00244F37">
        <w:rPr>
          <w:rFonts w:eastAsia="MS Mincho"/>
          <w:lang w:val="en-US" w:eastAsia="ja-JP"/>
        </w:rPr>
        <w:t>the DCI scheduling CBG-based (re)transmission carries single RV field for the transport block</w:t>
      </w:r>
      <w:r w:rsidRPr="00244F37">
        <w:rPr>
          <w:rFonts w:eastAsia="MS Mincho" w:hint="eastAsia"/>
          <w:lang w:val="en-US" w:eastAsia="ja-JP"/>
        </w:rPr>
        <w:t>.</w:t>
      </w:r>
    </w:p>
    <w:p w14:paraId="18ADBE21" w14:textId="6526AD75" w:rsidR="00282BC7" w:rsidRDefault="00282BC7" w:rsidP="00D538F4">
      <w:pPr>
        <w:pStyle w:val="BodyText"/>
        <w:rPr>
          <w:lang w:val="en-US"/>
        </w:rPr>
      </w:pPr>
      <w:r>
        <w:rPr>
          <w:lang w:val="en-US"/>
        </w:rPr>
        <w:t xml:space="preserve">The email discussion after NR </w:t>
      </w:r>
      <w:r w:rsidR="00474D3A">
        <w:rPr>
          <w:lang w:val="en-US"/>
        </w:rPr>
        <w:t xml:space="preserve">RAN1 </w:t>
      </w:r>
      <w:r>
        <w:rPr>
          <w:lang w:val="en-US"/>
        </w:rPr>
        <w:t>ad hoc # 2 concluded with the following remaining options for CBG designs:</w:t>
      </w:r>
    </w:p>
    <w:p w14:paraId="11568FF8" w14:textId="77777777" w:rsidR="00282BC7" w:rsidRPr="00282BC7" w:rsidRDefault="00282BC7" w:rsidP="0050619F">
      <w:pPr>
        <w:pStyle w:val="ListParagraph"/>
        <w:numPr>
          <w:ilvl w:val="0"/>
          <w:numId w:val="34"/>
        </w:numPr>
        <w:ind w:left="840"/>
        <w:rPr>
          <w:rFonts w:ascii="Arial" w:hAnsi="Arial" w:cs="Arial"/>
          <w:sz w:val="20"/>
          <w:szCs w:val="20"/>
        </w:rPr>
      </w:pPr>
      <w:r w:rsidRPr="00282BC7">
        <w:rPr>
          <w:rFonts w:ascii="Arial" w:hAnsi="Arial" w:cs="Arial"/>
          <w:sz w:val="20"/>
          <w:szCs w:val="20"/>
        </w:rPr>
        <w:t xml:space="preserve">For the indicated number of CBGs per TB where "indicated" is realized by RRC, MAC, L1 signalling, the following options are considered for down-selection in RAN1#90. </w:t>
      </w:r>
    </w:p>
    <w:p w14:paraId="40DDC9D4"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t>Option 1. RRC signaling (for bit-field size)</w:t>
      </w:r>
    </w:p>
    <w:p w14:paraId="17948E5A"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t xml:space="preserve">Option 2. L1 signaling (for indication the number of CBGs per TB) + RRC signaling (for bit-field size) </w:t>
      </w:r>
    </w:p>
    <w:p w14:paraId="3925DF59"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t xml:space="preserve">Option 3. both Option 1 and Option 2 </w:t>
      </w:r>
    </w:p>
    <w:p w14:paraId="7CF62C33" w14:textId="77777777" w:rsidR="00282BC7" w:rsidRPr="00282BC7" w:rsidRDefault="00282BC7" w:rsidP="0050619F">
      <w:pPr>
        <w:pStyle w:val="ListParagraph"/>
        <w:numPr>
          <w:ilvl w:val="0"/>
          <w:numId w:val="34"/>
        </w:numPr>
        <w:ind w:left="840"/>
        <w:rPr>
          <w:rFonts w:ascii="Arial" w:hAnsi="Arial" w:cs="Arial"/>
          <w:sz w:val="20"/>
          <w:szCs w:val="20"/>
        </w:rPr>
      </w:pPr>
      <w:r w:rsidRPr="00282BC7">
        <w:rPr>
          <w:rFonts w:ascii="Arial" w:hAnsi="Arial" w:cs="Arial"/>
          <w:sz w:val="20"/>
          <w:szCs w:val="20"/>
        </w:rPr>
        <w:t>To determine the number of CBG HARQ-ACK bits per TB, the following options are considered for down-selection in RAN1#90.</w:t>
      </w:r>
    </w:p>
    <w:p w14:paraId="0B0A9CB0"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t>Option 1. A UE transmits HARQ-ACK bits only for scheduled CBGs.</w:t>
      </w:r>
    </w:p>
    <w:p w14:paraId="3129BEAA" w14:textId="77777777" w:rsidR="00282BC7" w:rsidRPr="00282BC7" w:rsidRDefault="00282BC7" w:rsidP="0050619F">
      <w:pPr>
        <w:pStyle w:val="ListParagraph"/>
        <w:numPr>
          <w:ilvl w:val="2"/>
          <w:numId w:val="34"/>
        </w:numPr>
        <w:ind w:left="1680"/>
        <w:rPr>
          <w:rFonts w:ascii="Arial" w:hAnsi="Arial" w:cs="Arial"/>
          <w:sz w:val="20"/>
          <w:szCs w:val="20"/>
        </w:rPr>
      </w:pPr>
      <w:r w:rsidRPr="00282BC7">
        <w:rPr>
          <w:rFonts w:ascii="Arial" w:hAnsi="Arial" w:cs="Arial"/>
          <w:sz w:val="20"/>
          <w:szCs w:val="20"/>
        </w:rPr>
        <w:t>"scheduled CBGs" means the CBGs scheduled in a (re)transmission</w:t>
      </w:r>
    </w:p>
    <w:p w14:paraId="29845879"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t>Option 2. A UE transmits HARQ-ACK bits for indicated CBGs.</w:t>
      </w:r>
    </w:p>
    <w:p w14:paraId="5542F631" w14:textId="77777777" w:rsidR="00282BC7" w:rsidRPr="00282BC7" w:rsidRDefault="00282BC7" w:rsidP="0050619F">
      <w:pPr>
        <w:pStyle w:val="ListParagraph"/>
        <w:numPr>
          <w:ilvl w:val="2"/>
          <w:numId w:val="34"/>
        </w:numPr>
        <w:ind w:left="1680"/>
        <w:rPr>
          <w:rFonts w:ascii="Arial" w:hAnsi="Arial" w:cs="Arial"/>
          <w:sz w:val="20"/>
          <w:szCs w:val="20"/>
        </w:rPr>
      </w:pPr>
      <w:r w:rsidRPr="00282BC7">
        <w:rPr>
          <w:rFonts w:ascii="Arial" w:hAnsi="Arial" w:cs="Arial"/>
          <w:sz w:val="20"/>
          <w:szCs w:val="20"/>
        </w:rPr>
        <w:t>FFS: "indicated" is realized by RRC, MAC, L1 signalling</w:t>
      </w:r>
    </w:p>
    <w:p w14:paraId="04EBA6A6"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t>Option 3. both Option 1 and Option 2 by configuration</w:t>
      </w:r>
    </w:p>
    <w:p w14:paraId="5F64D08C" w14:textId="77777777" w:rsidR="00282BC7" w:rsidRPr="00282BC7" w:rsidRDefault="00282BC7" w:rsidP="0050619F">
      <w:pPr>
        <w:spacing w:after="0"/>
        <w:ind w:left="840"/>
        <w:rPr>
          <w:rFonts w:cs="Arial"/>
        </w:rPr>
      </w:pPr>
      <w:r w:rsidRPr="00282BC7">
        <w:rPr>
          <w:rFonts w:cs="Arial"/>
        </w:rPr>
        <w:t xml:space="preserve">Note: Option1 and Option2 are the basis for the scheme to determine the number of feedback bits. Overhead reduction schemes can be considered. The number of actually used feedback bits can be different from the number of scheduled CBGs (Option1) or indicated CBGs (Option2). </w:t>
      </w:r>
    </w:p>
    <w:p w14:paraId="39A16513" w14:textId="77777777" w:rsidR="00282BC7" w:rsidRPr="00282BC7" w:rsidRDefault="00282BC7" w:rsidP="0050619F">
      <w:pPr>
        <w:pStyle w:val="ListParagraph"/>
        <w:numPr>
          <w:ilvl w:val="0"/>
          <w:numId w:val="34"/>
        </w:numPr>
        <w:ind w:left="840"/>
        <w:rPr>
          <w:rFonts w:ascii="Arial" w:hAnsi="Arial" w:cs="Arial"/>
          <w:sz w:val="20"/>
          <w:szCs w:val="20"/>
        </w:rPr>
      </w:pPr>
      <w:r w:rsidRPr="00282BC7">
        <w:rPr>
          <w:rFonts w:ascii="Arial" w:hAnsi="Arial" w:cs="Arial"/>
          <w:sz w:val="20"/>
          <w:szCs w:val="20"/>
        </w:rPr>
        <w:t>For DL CBG-based (re)transmission, when information on which CBG(s) is/are (re)transmitted is configured to be included in the DCI, the following options are considered for down-selection in RAN#90.</w:t>
      </w:r>
    </w:p>
    <w:p w14:paraId="7FAF580D"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lastRenderedPageBreak/>
        <w:t xml:space="preserve">Option 1. TB-level NDI is jointly encoded with the information on which CBG(s) is/are (re)transmitted </w:t>
      </w:r>
    </w:p>
    <w:p w14:paraId="04D1D5E0"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t>Option 2. There is separate 1-bit bit-field for TB-level NDI.</w:t>
      </w:r>
    </w:p>
    <w:p w14:paraId="01069C44"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t>Option 3. TB-level NDI can be differently interpreted according to whether all CBGs of a TB is transmitted.</w:t>
      </w:r>
    </w:p>
    <w:p w14:paraId="75A57E6B" w14:textId="77777777" w:rsidR="00282BC7" w:rsidRPr="00282BC7" w:rsidRDefault="00282BC7" w:rsidP="0050619F">
      <w:pPr>
        <w:pStyle w:val="ListParagraph"/>
        <w:numPr>
          <w:ilvl w:val="0"/>
          <w:numId w:val="34"/>
        </w:numPr>
        <w:ind w:left="840"/>
        <w:rPr>
          <w:rFonts w:ascii="Arial" w:hAnsi="Arial" w:cs="Arial"/>
          <w:sz w:val="20"/>
          <w:szCs w:val="20"/>
        </w:rPr>
      </w:pPr>
      <w:r w:rsidRPr="00282BC7">
        <w:rPr>
          <w:rFonts w:ascii="Arial" w:hAnsi="Arial" w:cs="Arial"/>
          <w:sz w:val="20"/>
          <w:szCs w:val="20"/>
        </w:rPr>
        <w:t xml:space="preserve">When CBG-based retransmission is configured, TB-level HARQ-A/N is supported and at least following options can be considered for down-selection in RAN1#90. </w:t>
      </w:r>
    </w:p>
    <w:p w14:paraId="68EFC508"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t xml:space="preserve">Option 1. Add 1 bit upon CBG-level HARQ-ACK bits </w:t>
      </w:r>
    </w:p>
    <w:p w14:paraId="5166BA84"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t>Option 2. Use all NACK of CBG-level HARQ-ACK bits</w:t>
      </w:r>
    </w:p>
    <w:p w14:paraId="6D0E4865"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t>Option 3. Use different PUCCH format or PUCCH resource</w:t>
      </w:r>
    </w:p>
    <w:p w14:paraId="57FC40DA" w14:textId="77777777" w:rsidR="00282BC7" w:rsidRPr="00282BC7" w:rsidRDefault="00282BC7" w:rsidP="0050619F">
      <w:pPr>
        <w:pStyle w:val="ListParagraph"/>
        <w:numPr>
          <w:ilvl w:val="0"/>
          <w:numId w:val="34"/>
        </w:numPr>
        <w:ind w:left="840"/>
        <w:rPr>
          <w:rFonts w:ascii="Arial" w:hAnsi="Arial" w:cs="Arial"/>
          <w:sz w:val="20"/>
          <w:szCs w:val="20"/>
        </w:rPr>
      </w:pPr>
      <w:r w:rsidRPr="00282BC7">
        <w:rPr>
          <w:rFonts w:ascii="Arial" w:hAnsi="Arial" w:cs="Arial"/>
          <w:sz w:val="20"/>
          <w:szCs w:val="20"/>
        </w:rPr>
        <w:t>For HARQ-ACK codebook for CBG-based retransmission, the following options are considered for down-selection in RAN1#90.</w:t>
      </w:r>
    </w:p>
    <w:p w14:paraId="0350D646"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t>Option 1. Dynamic codebook determination for multiple PDSCHs</w:t>
      </w:r>
    </w:p>
    <w:p w14:paraId="4F38DE32" w14:textId="77777777" w:rsidR="00282BC7" w:rsidRPr="00282BC7" w:rsidRDefault="00282BC7" w:rsidP="0050619F">
      <w:pPr>
        <w:pStyle w:val="ListParagraph"/>
        <w:numPr>
          <w:ilvl w:val="1"/>
          <w:numId w:val="34"/>
        </w:numPr>
        <w:ind w:left="1260"/>
        <w:rPr>
          <w:rFonts w:ascii="Arial" w:hAnsi="Arial" w:cs="Arial"/>
          <w:sz w:val="20"/>
          <w:szCs w:val="20"/>
        </w:rPr>
      </w:pPr>
      <w:r w:rsidRPr="00282BC7">
        <w:rPr>
          <w:rFonts w:ascii="Arial" w:hAnsi="Arial" w:cs="Arial"/>
          <w:sz w:val="20"/>
          <w:szCs w:val="20"/>
        </w:rPr>
        <w:t xml:space="preserve">Option 2. Semi-static codebook determination for multiple PDSCHs </w:t>
      </w:r>
    </w:p>
    <w:p w14:paraId="53B108CB" w14:textId="77777777" w:rsidR="00282BC7" w:rsidRPr="00282BC7" w:rsidRDefault="00282BC7" w:rsidP="00282BC7">
      <w:pPr>
        <w:pStyle w:val="ListParagraph"/>
        <w:numPr>
          <w:ilvl w:val="1"/>
          <w:numId w:val="34"/>
        </w:numPr>
        <w:spacing w:after="120"/>
        <w:ind w:left="1253" w:hanging="418"/>
        <w:rPr>
          <w:rFonts w:ascii="Arial" w:hAnsi="Arial" w:cs="Arial"/>
          <w:sz w:val="20"/>
          <w:szCs w:val="20"/>
        </w:rPr>
      </w:pPr>
      <w:r w:rsidRPr="00282BC7">
        <w:rPr>
          <w:rFonts w:ascii="Arial" w:hAnsi="Arial" w:cs="Arial"/>
          <w:sz w:val="20"/>
          <w:szCs w:val="20"/>
        </w:rPr>
        <w:t>Option 3. both Option 1 and Option 2 by configuration</w:t>
      </w:r>
    </w:p>
    <w:p w14:paraId="197CF379" w14:textId="2D0AF6E0" w:rsidR="00D538F4" w:rsidRPr="007B78FE" w:rsidRDefault="00D538F4" w:rsidP="00D538F4">
      <w:pPr>
        <w:pStyle w:val="BodyText"/>
        <w:rPr>
          <w:lang w:val="en-US"/>
        </w:rPr>
      </w:pPr>
      <w:r w:rsidRPr="007B78FE">
        <w:rPr>
          <w:lang w:val="en-US"/>
        </w:rPr>
        <w:t xml:space="preserve">In this contribution, we discuss </w:t>
      </w:r>
      <w:r w:rsidR="00DF48C6">
        <w:rPr>
          <w:lang w:val="en-US"/>
        </w:rPr>
        <w:t>the code block group formation design</w:t>
      </w:r>
      <w:r w:rsidR="0010118E">
        <w:rPr>
          <w:lang w:val="en-US"/>
        </w:rPr>
        <w:t>s</w:t>
      </w:r>
      <w:r w:rsidR="00DF48C6">
        <w:rPr>
          <w:lang w:val="en-US"/>
        </w:rPr>
        <w:t>.</w:t>
      </w:r>
    </w:p>
    <w:p w14:paraId="2DFAC73A" w14:textId="62FA3926" w:rsidR="00EA60F2" w:rsidRDefault="004000E8" w:rsidP="000B0589">
      <w:pPr>
        <w:pStyle w:val="Heading1"/>
        <w:rPr>
          <w:lang w:val="en-US"/>
        </w:rPr>
      </w:pPr>
      <w:bookmarkStart w:id="2" w:name="_Ref178064866"/>
      <w:r w:rsidRPr="00EA60F2">
        <w:rPr>
          <w:lang w:val="en-US"/>
        </w:rPr>
        <w:t>Discussion</w:t>
      </w:r>
      <w:bookmarkEnd w:id="2"/>
    </w:p>
    <w:p w14:paraId="63799842" w14:textId="1DF97A74" w:rsidR="00843433" w:rsidRDefault="00843433" w:rsidP="00843433">
      <w:pPr>
        <w:pStyle w:val="BodyText"/>
      </w:pPr>
      <w:r>
        <w:t xml:space="preserve">Since the CBG size is semi-statically configured, the group size is applicable to all transmissions of the specific PDSCH or PUSCH link. For any given transmission, the actual number of CBs are determined by the allocated radio resources, the number of MIMO layers and the modulation and code rate (MCS). These CBs should be organized into the configured number of CBGs based on a fixed rule such that the transmitter and receiver can correctly exchange HARQ-ACK for the CBGs. </w:t>
      </w:r>
      <w:r w:rsidR="00F548C7">
        <w:t xml:space="preserve">The number of CBs per CBG should be as uniform as possible and consequently the difference of CB number per CBG between any two CBGs is either 0 or 1 </w:t>
      </w:r>
      <w:r>
        <w:t>For example, if a UE is configured with 3 CBGs and the PDSCH contains 8 CBs, then the fixed rule can organize the 3 CBGs as CBG#0=(CB#0, CB#1, CB#2), CBG#1= (CB#3, CB#4, CB#5) and CBG#2=(CB#6, CB#7).</w:t>
      </w:r>
      <w:r w:rsidR="00340CF6">
        <w:t xml:space="preserve"> This can be achieved using the following pseudo code which functions similarly as the procedure to divide a TB into CBs of two lengths in LTE:</w:t>
      </w:r>
    </w:p>
    <w:p w14:paraId="77C4C623" w14:textId="7D68A4B7" w:rsidR="00340CF6" w:rsidRDefault="00313B22" w:rsidP="00313B22">
      <w:pPr>
        <w:pStyle w:val="BodyText"/>
        <w:ind w:left="567"/>
        <w:rPr>
          <w:rFonts w:ascii="Courier New" w:hAnsi="Courier New" w:cs="Courier New"/>
        </w:rPr>
      </w:pPr>
      <w:bookmarkStart w:id="3" w:name="_Hlk484606818"/>
      <w:r>
        <w:rPr>
          <w:rFonts w:ascii="Courier New" w:hAnsi="Courier New" w:cs="Courier New"/>
        </w:rPr>
        <w:t>Input</w:t>
      </w:r>
    </w:p>
    <w:p w14:paraId="32840195" w14:textId="47456080" w:rsidR="00313B22" w:rsidRDefault="004646A6" w:rsidP="004646A6">
      <w:pPr>
        <w:pStyle w:val="BodyText"/>
        <w:ind w:left="1134"/>
        <w:rPr>
          <w:rFonts w:ascii="Courier New" w:hAnsi="Courier New" w:cs="Courier New"/>
        </w:rPr>
      </w:pPr>
      <m:oMath>
        <m:r>
          <w:rPr>
            <w:rFonts w:ascii="Cambria Math" w:hAnsi="Cambria Math" w:cs="Courier New"/>
          </w:rPr>
          <m:t>C</m:t>
        </m:r>
      </m:oMath>
      <w:r>
        <w:rPr>
          <w:rFonts w:ascii="Courier New" w:hAnsi="Courier New" w:cs="Courier New"/>
        </w:rPr>
        <w:t>:</w:t>
      </w:r>
      <w:r>
        <w:rPr>
          <w:rFonts w:ascii="Courier New" w:hAnsi="Courier New" w:cs="Courier New"/>
        </w:rPr>
        <w:tab/>
        <w:t>number of CBs</w:t>
      </w:r>
    </w:p>
    <w:p w14:paraId="534AF3E9" w14:textId="27981028" w:rsidR="004646A6" w:rsidRDefault="004646A6" w:rsidP="004646A6">
      <w:pPr>
        <w:pStyle w:val="BodyText"/>
        <w:ind w:left="1134"/>
        <w:rPr>
          <w:rFonts w:ascii="Courier New" w:hAnsi="Courier New" w:cs="Courier New"/>
        </w:rPr>
      </w:pPr>
      <m:oMath>
        <m:r>
          <w:rPr>
            <w:rFonts w:ascii="Cambria Math" w:hAnsi="Cambria Math" w:cs="Courier New"/>
          </w:rPr>
          <m:t>G</m:t>
        </m:r>
      </m:oMath>
      <w:r>
        <w:rPr>
          <w:rFonts w:ascii="Courier New" w:hAnsi="Courier New" w:cs="Courier New"/>
        </w:rPr>
        <w:t>:</w:t>
      </w:r>
      <w:r>
        <w:rPr>
          <w:rFonts w:ascii="Courier New" w:hAnsi="Courier New" w:cs="Courier New"/>
        </w:rPr>
        <w:tab/>
        <w:t>number of CBGs</w:t>
      </w:r>
    </w:p>
    <w:p w14:paraId="2BEB32F8" w14:textId="7B591D50" w:rsidR="004646A6" w:rsidRDefault="004646A6" w:rsidP="00313B22">
      <w:pPr>
        <w:pStyle w:val="BodyText"/>
        <w:ind w:left="567"/>
        <w:rPr>
          <w:rFonts w:ascii="Courier New" w:hAnsi="Courier New" w:cs="Courier New"/>
        </w:rPr>
      </w:pPr>
      <w:r>
        <w:rPr>
          <w:rFonts w:ascii="Courier New" w:hAnsi="Courier New" w:cs="Courier New"/>
        </w:rPr>
        <w:t>Output</w:t>
      </w:r>
    </w:p>
    <w:p w14:paraId="0E6D5ECC" w14:textId="177AA28F" w:rsidR="004646A6" w:rsidRDefault="004646A6" w:rsidP="006561F6">
      <w:pPr>
        <w:pStyle w:val="BodyText"/>
        <w:ind w:left="1134"/>
        <w:rPr>
          <w:rFonts w:ascii="Courier New" w:hAnsi="Courier New" w:cs="Courier New"/>
        </w:rPr>
      </w:pPr>
      <w:r>
        <w:rPr>
          <w:rFonts w:ascii="Courier New" w:hAnsi="Courier New" w:cs="Courier New"/>
        </w:rPr>
        <w:t xml:space="preserve">Determine </w:t>
      </w:r>
      <m:oMath>
        <m:r>
          <w:rPr>
            <w:rFonts w:ascii="Cambria Math" w:hAnsi="Cambria Math" w:cs="Courier New"/>
          </w:rPr>
          <m:t>B=</m:t>
        </m:r>
        <m:d>
          <m:dPr>
            <m:begChr m:val="⌈"/>
            <m:endChr m:val="⌉"/>
            <m:ctrlPr>
              <w:rPr>
                <w:rFonts w:ascii="Cambria Math" w:hAnsi="Cambria Math" w:cs="Courier New"/>
                <w:i/>
              </w:rPr>
            </m:ctrlPr>
          </m:dPr>
          <m:e>
            <m:f>
              <m:fPr>
                <m:ctrlPr>
                  <w:rPr>
                    <w:rFonts w:ascii="Cambria Math" w:hAnsi="Cambria Math" w:cs="Courier New"/>
                    <w:i/>
                  </w:rPr>
                </m:ctrlPr>
              </m:fPr>
              <m:num>
                <m:r>
                  <w:rPr>
                    <w:rFonts w:ascii="Cambria Math" w:hAnsi="Cambria Math" w:cs="Courier New"/>
                  </w:rPr>
                  <m:t>C</m:t>
                </m:r>
              </m:num>
              <m:den>
                <m:r>
                  <w:rPr>
                    <w:rFonts w:ascii="Cambria Math" w:hAnsi="Cambria Math" w:cs="Courier New"/>
                  </w:rPr>
                  <m:t>G</m:t>
                </m:r>
              </m:den>
            </m:f>
          </m:e>
        </m:d>
      </m:oMath>
    </w:p>
    <w:p w14:paraId="463DF158" w14:textId="13A874E7" w:rsidR="004646A6" w:rsidRDefault="00DC72DB" w:rsidP="006561F6">
      <w:pPr>
        <w:pStyle w:val="BodyText"/>
        <w:ind w:left="1134"/>
        <w:rPr>
          <w:rFonts w:ascii="Courier New" w:hAnsi="Courier New" w:cs="Courier New"/>
        </w:rPr>
      </w:pPr>
      <w:r>
        <w:rPr>
          <w:rFonts w:ascii="Courier New" w:hAnsi="Courier New" w:cs="Courier New"/>
        </w:rPr>
        <w:t xml:space="preserve">The first </w:t>
      </w:r>
      <m:oMath>
        <m:sSup>
          <m:sSupPr>
            <m:ctrlPr>
              <w:rPr>
                <w:rFonts w:ascii="Cambria Math" w:hAnsi="Cambria Math" w:cs="Courier New"/>
                <w:i/>
              </w:rPr>
            </m:ctrlPr>
          </m:sSupPr>
          <m:e>
            <m:r>
              <w:rPr>
                <w:rFonts w:ascii="Cambria Math" w:hAnsi="Cambria Math" w:cs="Courier New"/>
              </w:rPr>
              <m:t>G</m:t>
            </m:r>
          </m:e>
          <m:sup>
            <m:r>
              <w:rPr>
                <w:rFonts w:ascii="Cambria Math" w:hAnsi="Cambria Math" w:cs="Courier New"/>
              </w:rPr>
              <m:t>+</m:t>
            </m:r>
          </m:sup>
        </m:sSup>
      </m:oMath>
      <w:r>
        <w:rPr>
          <w:rFonts w:ascii="Courier New" w:hAnsi="Courier New" w:cs="Courier New"/>
        </w:rPr>
        <w:t xml:space="preserve"> CBGs contain</w:t>
      </w:r>
      <w:r w:rsidR="004646A6">
        <w:rPr>
          <w:rFonts w:ascii="Courier New" w:hAnsi="Courier New" w:cs="Courier New"/>
        </w:rPr>
        <w:t xml:space="preserve"> </w:t>
      </w:r>
      <m:oMath>
        <m:r>
          <w:rPr>
            <w:rFonts w:ascii="Cambria Math" w:hAnsi="Cambria Math" w:cs="Courier New"/>
          </w:rPr>
          <m:t>B</m:t>
        </m:r>
      </m:oMath>
      <w:r w:rsidR="004646A6">
        <w:rPr>
          <w:rFonts w:ascii="Courier New" w:hAnsi="Courier New" w:cs="Courier New"/>
        </w:rPr>
        <w:t xml:space="preserve"> CBs </w:t>
      </w:r>
      <w:r w:rsidR="000526D5">
        <w:rPr>
          <w:rFonts w:ascii="Courier New" w:hAnsi="Courier New" w:cs="Courier New"/>
        </w:rPr>
        <w:t xml:space="preserve">each, </w:t>
      </w:r>
      <w:r>
        <w:rPr>
          <w:rFonts w:ascii="Courier New" w:hAnsi="Courier New" w:cs="Courier New"/>
        </w:rPr>
        <w:t xml:space="preserve">where </w:t>
      </w:r>
      <m:oMath>
        <m:sSup>
          <m:sSupPr>
            <m:ctrlPr>
              <w:rPr>
                <w:rFonts w:ascii="Cambria Math" w:hAnsi="Cambria Math" w:cs="Courier New"/>
                <w:i/>
              </w:rPr>
            </m:ctrlPr>
          </m:sSupPr>
          <m:e>
            <m:r>
              <w:rPr>
                <w:rFonts w:ascii="Cambria Math" w:hAnsi="Cambria Math" w:cs="Courier New"/>
              </w:rPr>
              <m:t>G</m:t>
            </m:r>
          </m:e>
          <m:sup>
            <m:r>
              <w:rPr>
                <w:rFonts w:ascii="Cambria Math" w:hAnsi="Cambria Math" w:cs="Courier New"/>
              </w:rPr>
              <m:t>+</m:t>
            </m:r>
          </m:sup>
        </m:sSup>
        <m:r>
          <w:rPr>
            <w:rFonts w:ascii="Cambria Math" w:hAnsi="Cambria Math" w:cs="Courier New"/>
          </w:rPr>
          <m:t>=</m:t>
        </m:r>
        <m:d>
          <m:dPr>
            <m:begChr m:val="⌊"/>
            <m:endChr m:val="⌋"/>
            <m:ctrlPr>
              <w:rPr>
                <w:rFonts w:ascii="Cambria Math" w:hAnsi="Cambria Math" w:cs="Courier New"/>
                <w:i/>
              </w:rPr>
            </m:ctrlPr>
          </m:dPr>
          <m:e>
            <m:f>
              <m:fPr>
                <m:ctrlPr>
                  <w:rPr>
                    <w:rFonts w:ascii="Cambria Math" w:hAnsi="Cambria Math" w:cs="Courier New"/>
                    <w:i/>
                  </w:rPr>
                </m:ctrlPr>
              </m:fPr>
              <m:num>
                <m:r>
                  <w:rPr>
                    <w:rFonts w:ascii="Cambria Math" w:hAnsi="Cambria Math" w:cs="Courier New"/>
                  </w:rPr>
                  <m:t>C</m:t>
                </m:r>
              </m:num>
              <m:den>
                <m:r>
                  <w:rPr>
                    <w:rFonts w:ascii="Cambria Math" w:hAnsi="Cambria Math" w:cs="Courier New"/>
                  </w:rPr>
                  <m:t>B</m:t>
                </m:r>
              </m:den>
            </m:f>
          </m:e>
        </m:d>
      </m:oMath>
      <w:r w:rsidR="000526D5">
        <w:rPr>
          <w:rFonts w:ascii="Courier New" w:hAnsi="Courier New" w:cs="Courier New"/>
        </w:rPr>
        <w:t>.</w:t>
      </w:r>
    </w:p>
    <w:p w14:paraId="433C9A7C" w14:textId="589F3B5F" w:rsidR="004646A6" w:rsidRDefault="00DC72DB" w:rsidP="006561F6">
      <w:pPr>
        <w:pStyle w:val="BodyText"/>
        <w:ind w:left="1134"/>
        <w:rPr>
          <w:rFonts w:ascii="Courier New" w:hAnsi="Courier New" w:cs="Courier New"/>
        </w:rPr>
      </w:pPr>
      <w:r>
        <w:rPr>
          <w:rFonts w:ascii="Courier New" w:hAnsi="Courier New" w:cs="Courier New"/>
        </w:rPr>
        <w:t xml:space="preserve">The next </w:t>
      </w:r>
      <m:oMath>
        <m:sSup>
          <m:sSupPr>
            <m:ctrlPr>
              <w:rPr>
                <w:rFonts w:ascii="Cambria Math" w:hAnsi="Cambria Math" w:cs="Courier New"/>
                <w:i/>
              </w:rPr>
            </m:ctrlPr>
          </m:sSupPr>
          <m:e>
            <m:r>
              <w:rPr>
                <w:rFonts w:ascii="Cambria Math" w:hAnsi="Cambria Math" w:cs="Courier New"/>
              </w:rPr>
              <m:t>G</m:t>
            </m:r>
          </m:e>
          <m:sup>
            <m:r>
              <w:rPr>
                <w:rFonts w:ascii="Cambria Math" w:hAnsi="Cambria Math" w:cs="Courier New"/>
              </w:rPr>
              <m:t>-</m:t>
            </m:r>
          </m:sup>
        </m:sSup>
      </m:oMath>
      <w:r>
        <w:rPr>
          <w:rFonts w:ascii="Courier New" w:hAnsi="Courier New" w:cs="Courier New"/>
        </w:rPr>
        <w:t xml:space="preserve"> CBGs contain</w:t>
      </w:r>
      <w:r w:rsidR="004646A6">
        <w:rPr>
          <w:rFonts w:ascii="Courier New" w:hAnsi="Courier New" w:cs="Courier New"/>
        </w:rPr>
        <w:t xml:space="preserve"> </w:t>
      </w:r>
      <m:oMath>
        <m:r>
          <w:rPr>
            <w:rFonts w:ascii="Cambria Math" w:hAnsi="Cambria Math" w:cs="Courier New"/>
          </w:rPr>
          <m:t>(B-1)</m:t>
        </m:r>
      </m:oMath>
      <w:r w:rsidR="004646A6">
        <w:rPr>
          <w:rFonts w:ascii="Courier New" w:hAnsi="Courier New" w:cs="Courier New"/>
        </w:rPr>
        <w:t xml:space="preserve"> CBs </w:t>
      </w:r>
      <w:r w:rsidR="000526D5">
        <w:rPr>
          <w:rFonts w:ascii="Courier New" w:hAnsi="Courier New" w:cs="Courier New"/>
        </w:rPr>
        <w:t xml:space="preserve">each, </w:t>
      </w:r>
      <w:r>
        <w:rPr>
          <w:rFonts w:ascii="Courier New" w:hAnsi="Courier New" w:cs="Courier New"/>
        </w:rPr>
        <w:t xml:space="preserve">where </w:t>
      </w:r>
      <m:oMath>
        <m:sSup>
          <m:sSupPr>
            <m:ctrlPr>
              <w:rPr>
                <w:rFonts w:ascii="Cambria Math" w:hAnsi="Cambria Math" w:cs="Courier New"/>
                <w:i/>
              </w:rPr>
            </m:ctrlPr>
          </m:sSupPr>
          <m:e>
            <m:r>
              <w:rPr>
                <w:rFonts w:ascii="Cambria Math" w:hAnsi="Cambria Math" w:cs="Courier New"/>
              </w:rPr>
              <m:t>G</m:t>
            </m:r>
          </m:e>
          <m:sup>
            <m:r>
              <w:rPr>
                <w:rFonts w:ascii="Cambria Math" w:hAnsi="Cambria Math" w:cs="Courier New"/>
              </w:rPr>
              <m:t>-</m:t>
            </m:r>
          </m:sup>
        </m:sSup>
        <m:r>
          <w:rPr>
            <w:rFonts w:ascii="Cambria Math" w:hAnsi="Cambria Math" w:cs="Courier New"/>
          </w:rPr>
          <m:t>=G-</m:t>
        </m:r>
        <m:sSup>
          <m:sSupPr>
            <m:ctrlPr>
              <w:rPr>
                <w:rFonts w:ascii="Cambria Math" w:hAnsi="Cambria Math" w:cs="Courier New"/>
                <w:i/>
              </w:rPr>
            </m:ctrlPr>
          </m:sSupPr>
          <m:e>
            <m:r>
              <w:rPr>
                <w:rFonts w:ascii="Cambria Math" w:hAnsi="Cambria Math" w:cs="Courier New"/>
              </w:rPr>
              <m:t>G</m:t>
            </m:r>
          </m:e>
          <m:sup>
            <m:r>
              <w:rPr>
                <w:rFonts w:ascii="Cambria Math" w:hAnsi="Cambria Math" w:cs="Courier New"/>
              </w:rPr>
              <m:t>+</m:t>
            </m:r>
          </m:sup>
        </m:sSup>
      </m:oMath>
      <w:r w:rsidR="000526D5">
        <w:rPr>
          <w:rFonts w:ascii="Courier New" w:hAnsi="Courier New" w:cs="Courier New"/>
        </w:rPr>
        <w:t>.</w:t>
      </w:r>
    </w:p>
    <w:bookmarkEnd w:id="3"/>
    <w:p w14:paraId="160C3938" w14:textId="03C0A027" w:rsidR="006561F6" w:rsidRDefault="006561F6" w:rsidP="006561F6">
      <w:pPr>
        <w:pStyle w:val="BodyText"/>
      </w:pPr>
      <w:r>
        <w:t xml:space="preserve">Note the above pseudo code handles the case where </w:t>
      </w:r>
      <m:oMath>
        <m:r>
          <w:rPr>
            <w:rFonts w:ascii="Cambria Math" w:hAnsi="Cambria Math"/>
          </w:rPr>
          <m:t>C&lt;G</m:t>
        </m:r>
      </m:oMath>
      <w:r>
        <w:t xml:space="preserve"> correctly. </w:t>
      </w:r>
      <w:r w:rsidR="008B11AF">
        <w:t xml:space="preserve">For that case, </w:t>
      </w:r>
      <m:oMath>
        <m:r>
          <w:rPr>
            <w:rFonts w:ascii="Cambria Math" w:hAnsi="Cambria Math"/>
          </w:rPr>
          <m:t>B=1</m:t>
        </m:r>
      </m:oMath>
      <w:r w:rsidR="008B11AF">
        <w:t xml:space="preserve"> and </w:t>
      </w:r>
      <m:oMath>
        <m:sSup>
          <m:sSupPr>
            <m:ctrlPr>
              <w:rPr>
                <w:rFonts w:ascii="Cambria Math" w:hAnsi="Cambria Math"/>
                <w:i/>
              </w:rPr>
            </m:ctrlPr>
          </m:sSupPr>
          <m:e>
            <m:r>
              <w:rPr>
                <w:rFonts w:ascii="Cambria Math" w:hAnsi="Cambria Math"/>
              </w:rPr>
              <m:t>G</m:t>
            </m:r>
          </m:e>
          <m:sup>
            <m:r>
              <w:rPr>
                <w:rFonts w:ascii="Cambria Math" w:hAnsi="Cambria Math"/>
              </w:rPr>
              <m:t>+</m:t>
            </m:r>
          </m:sup>
        </m:sSup>
        <m:r>
          <w:rPr>
            <w:rFonts w:ascii="Cambria Math" w:hAnsi="Cambria Math"/>
          </w:rPr>
          <m:t>=C</m:t>
        </m:r>
      </m:oMath>
      <w:r w:rsidR="008B11AF">
        <w:t xml:space="preserve"> CBGs have 1 CB each.</w:t>
      </w:r>
    </w:p>
    <w:p w14:paraId="496530AB" w14:textId="77777777" w:rsidR="006561F6" w:rsidRDefault="006561F6" w:rsidP="006561F6">
      <w:pPr>
        <w:pStyle w:val="BodyText"/>
      </w:pPr>
    </w:p>
    <w:p w14:paraId="4AD313B6" w14:textId="35298CD3" w:rsidR="00843433" w:rsidRPr="006C107E" w:rsidRDefault="00843433" w:rsidP="00843433">
      <w:pPr>
        <w:pStyle w:val="BodyText"/>
        <w:rPr>
          <w:b/>
        </w:rPr>
      </w:pPr>
      <w:r w:rsidRPr="006C107E">
        <w:rPr>
          <w:b/>
        </w:rPr>
        <w:t xml:space="preserve">Proposal </w:t>
      </w:r>
      <w:r w:rsidR="00AC0B70">
        <w:rPr>
          <w:b/>
        </w:rPr>
        <w:t>1</w:t>
      </w:r>
      <w:r w:rsidRPr="006C107E">
        <w:rPr>
          <w:b/>
        </w:rPr>
        <w:t xml:space="preserve"> The CBs of a PDSCH or PUSCH transmission are grouped into the configured </w:t>
      </w:r>
      <w:r>
        <w:rPr>
          <w:b/>
        </w:rPr>
        <w:t xml:space="preserve">number of CBGs </w:t>
      </w:r>
      <w:r w:rsidRPr="006C107E">
        <w:rPr>
          <w:b/>
        </w:rPr>
        <w:t>based on a rule described in the L1 specs.</w:t>
      </w:r>
      <w:r w:rsidR="001F20EE">
        <w:rPr>
          <w:b/>
        </w:rPr>
        <w:t xml:space="preserve"> </w:t>
      </w:r>
    </w:p>
    <w:p w14:paraId="2FD15528" w14:textId="46A705F4" w:rsidR="00B7198C" w:rsidRDefault="00B7198C" w:rsidP="0068756A">
      <w:pPr>
        <w:pStyle w:val="BodyText"/>
      </w:pPr>
    </w:p>
    <w:p w14:paraId="43373313" w14:textId="77777777" w:rsidR="00BC1525" w:rsidRDefault="00BC1525" w:rsidP="00BC1525">
      <w:pPr>
        <w:pStyle w:val="BodyText"/>
        <w:rPr>
          <w:rFonts w:eastAsia="MS Mincho"/>
          <w:iCs/>
          <w:lang w:val="en-US"/>
        </w:rPr>
      </w:pPr>
      <w:r>
        <w:t xml:space="preserve">For different use scenarios or application cases, it should be up to gNB to decide the optimal code block group size to operate. Making fixed rules/tables to determine the </w:t>
      </w:r>
      <w:r>
        <w:rPr>
          <w:rFonts w:eastAsia="MS Mincho"/>
          <w:iCs/>
          <w:lang w:val="en-US"/>
        </w:rPr>
        <w:t xml:space="preserve">number of CBGs and/or the number CBs per CBG according to TBS will not address operation targets. </w:t>
      </w:r>
    </w:p>
    <w:p w14:paraId="37AF37F2" w14:textId="77777777" w:rsidR="00BC1525" w:rsidRDefault="00BC1525" w:rsidP="00BC1525">
      <w:pPr>
        <w:pStyle w:val="BodyText"/>
        <w:rPr>
          <w:rFonts w:eastAsia="MS Mincho"/>
          <w:iCs/>
          <w:lang w:val="en-US"/>
        </w:rPr>
      </w:pPr>
    </w:p>
    <w:p w14:paraId="580202CC" w14:textId="5B5BA17B" w:rsidR="00BC1525" w:rsidRDefault="00BC1525" w:rsidP="00BC1525">
      <w:pPr>
        <w:pStyle w:val="BodyText"/>
        <w:rPr>
          <w:b/>
        </w:rPr>
      </w:pPr>
      <w:r w:rsidRPr="00CE5994">
        <w:rPr>
          <w:b/>
        </w:rPr>
        <w:t xml:space="preserve">Proposal </w:t>
      </w:r>
      <w:r>
        <w:rPr>
          <w:b/>
        </w:rPr>
        <w:t>2</w:t>
      </w:r>
      <w:r w:rsidRPr="00CE5994">
        <w:rPr>
          <w:b/>
        </w:rPr>
        <w:t xml:space="preserve"> There should be no fixed rules/tables to determine the </w:t>
      </w:r>
      <w:r w:rsidRPr="00CE5994">
        <w:rPr>
          <w:rFonts w:eastAsia="MS Mincho"/>
          <w:b/>
          <w:iCs/>
          <w:lang w:val="en-US"/>
        </w:rPr>
        <w:t xml:space="preserve">number of CBGs and/or the number CBs per CBG according to TBS. </w:t>
      </w:r>
      <w:r w:rsidRPr="00CE5994">
        <w:rPr>
          <w:b/>
        </w:rPr>
        <w:t>It should be up to gNB to decide the optimal code block group size to operate.</w:t>
      </w:r>
    </w:p>
    <w:p w14:paraId="60323BAD" w14:textId="77777777" w:rsidR="00BC1525" w:rsidRDefault="00BC1525" w:rsidP="00BC1525">
      <w:pPr>
        <w:pStyle w:val="BodyText"/>
        <w:rPr>
          <w:b/>
        </w:rPr>
      </w:pPr>
    </w:p>
    <w:p w14:paraId="13A061A0" w14:textId="3C221B7D" w:rsidR="00C23998" w:rsidRPr="00453D58" w:rsidRDefault="00C23998" w:rsidP="0068756A">
      <w:pPr>
        <w:pStyle w:val="BodyText"/>
      </w:pPr>
      <w:r w:rsidRPr="00453D58">
        <w:lastRenderedPageBreak/>
        <w:t xml:space="preserve">Furthermore, the CB groups is fixed once formed. </w:t>
      </w:r>
      <w:r w:rsidR="00453D58" w:rsidRPr="00453D58">
        <w:t>This is because CBG HARQ-ACK feedback length should remain unchanged across multiple HARQ-ACK feedback occasions to avoid error cases and to address LDPC decoding throughput issues in retransmissions</w:t>
      </w:r>
      <w:r w:rsidR="00453D58">
        <w:t xml:space="preserve"> </w:t>
      </w:r>
      <w:r w:rsidR="00814634">
        <w:fldChar w:fldCharType="begin"/>
      </w:r>
      <w:r w:rsidR="00814634">
        <w:instrText xml:space="preserve"> REF _Ref484607387 \r \h </w:instrText>
      </w:r>
      <w:r w:rsidR="00814634">
        <w:fldChar w:fldCharType="separate"/>
      </w:r>
      <w:r w:rsidR="00814634">
        <w:t>[3]</w:t>
      </w:r>
      <w:r w:rsidR="00814634">
        <w:fldChar w:fldCharType="end"/>
      </w:r>
      <w:r w:rsidR="00453D58">
        <w:fldChar w:fldCharType="begin"/>
      </w:r>
      <w:r w:rsidR="00453D58">
        <w:instrText xml:space="preserve"> REF _Ref481764673 \r \h </w:instrText>
      </w:r>
      <w:r w:rsidR="00453D58">
        <w:fldChar w:fldCharType="separate"/>
      </w:r>
      <w:r w:rsidR="00F65221">
        <w:t>[4]</w:t>
      </w:r>
      <w:r w:rsidR="00453D58">
        <w:fldChar w:fldCharType="end"/>
      </w:r>
      <w:r w:rsidR="00453D58" w:rsidRPr="00453D58">
        <w:t>.</w:t>
      </w:r>
      <w:r w:rsidR="00453D58">
        <w:t xml:space="preserve"> This is because there </w:t>
      </w:r>
      <w:r w:rsidR="00453D58">
        <w:rPr>
          <w:lang w:val="en-US"/>
        </w:rPr>
        <w:t xml:space="preserve">is a possibility that the receiver may find the TB level CRC fails after all code blocks are decoded and passed CB level CRC. To handle such cases, the receiver should be allowed to NACK all CB groups in a HARQ-ACK feedback even when some of the CB groups had been previously ACKed. More importantly, the CBG HARQ protocol should be designed to address LDPC </w:t>
      </w:r>
      <w:r w:rsidR="00453D58" w:rsidRPr="00453D58">
        <w:t>decoding throughput issues in retransmissions</w:t>
      </w:r>
      <w:r w:rsidR="00453D58">
        <w:t xml:space="preserve">. </w:t>
      </w:r>
      <w:r w:rsidR="000343A3">
        <w:t>A receiver may send a CBG HARQ-ACK feedback that indicates NAK on a subset of the CB groups that failed decoding if it expects it will not be able to finish decoding retransmission of the full failed CB groups. Alternatively, the gNB may consider the decoding capability of the UE receiver and decide to retransmit only a subset of the CB groups that were NACKed by the UE.</w:t>
      </w:r>
    </w:p>
    <w:p w14:paraId="567F1A9D" w14:textId="45FF4BAF" w:rsidR="00293CF0" w:rsidRDefault="00293CF0" w:rsidP="0068756A">
      <w:pPr>
        <w:pStyle w:val="BodyText"/>
      </w:pPr>
    </w:p>
    <w:p w14:paraId="698350D7" w14:textId="77777777" w:rsidR="007C6D48" w:rsidRDefault="007C6D48" w:rsidP="007C6D48">
      <w:pPr>
        <w:pStyle w:val="BodyText"/>
        <w:rPr>
          <w:b/>
        </w:rPr>
      </w:pPr>
      <w:r w:rsidRPr="00293CF0">
        <w:rPr>
          <w:b/>
        </w:rPr>
        <w:t xml:space="preserve">Proposal </w:t>
      </w:r>
      <w:r>
        <w:rPr>
          <w:b/>
        </w:rPr>
        <w:t>3</w:t>
      </w:r>
      <w:r w:rsidRPr="00293CF0">
        <w:rPr>
          <w:b/>
        </w:rPr>
        <w:t xml:space="preserve"> The CB groups </w:t>
      </w:r>
      <w:r>
        <w:rPr>
          <w:b/>
        </w:rPr>
        <w:t xml:space="preserve">remain </w:t>
      </w:r>
      <w:r w:rsidRPr="00293CF0">
        <w:rPr>
          <w:b/>
        </w:rPr>
        <w:t xml:space="preserve">fixed </w:t>
      </w:r>
      <w:r>
        <w:rPr>
          <w:b/>
        </w:rPr>
        <w:t>after formation (including retransmissions)</w:t>
      </w:r>
      <w:r w:rsidRPr="00293CF0">
        <w:rPr>
          <w:b/>
        </w:rPr>
        <w:t>.</w:t>
      </w:r>
      <w:r>
        <w:rPr>
          <w:b/>
        </w:rPr>
        <w:t xml:space="preserve"> The following working assumption is confirmed:</w:t>
      </w:r>
    </w:p>
    <w:p w14:paraId="6DC146E2" w14:textId="77777777" w:rsidR="007C6D48" w:rsidRPr="00293CF0" w:rsidRDefault="007C6D48" w:rsidP="007C6D48">
      <w:pPr>
        <w:pStyle w:val="BodyText"/>
        <w:numPr>
          <w:ilvl w:val="0"/>
          <w:numId w:val="35"/>
        </w:numPr>
        <w:spacing w:after="240"/>
        <w:rPr>
          <w:b/>
        </w:rPr>
      </w:pPr>
      <w:r w:rsidRPr="009635AA">
        <w:rPr>
          <w:b/>
        </w:rPr>
        <w:t>For initial transmission and retransmission, each CBG of a TB has the same set of CB(s).</w:t>
      </w:r>
    </w:p>
    <w:p w14:paraId="7782F893" w14:textId="77777777" w:rsidR="00712433" w:rsidRDefault="00712433" w:rsidP="00DA456B">
      <w:pPr>
        <w:pStyle w:val="BodyText"/>
        <w:rPr>
          <w:b/>
        </w:rPr>
      </w:pPr>
      <w:r>
        <w:rPr>
          <w:b/>
        </w:rPr>
        <w:t xml:space="preserve">Proposal 4 </w:t>
      </w:r>
      <w:r w:rsidRPr="002C70D2">
        <w:rPr>
          <w:b/>
        </w:rPr>
        <w:t xml:space="preserve">For the indicated number of CBGs per TB where "indicated" is realized by RRC, MAC, L1 signalling, the following </w:t>
      </w:r>
      <w:r>
        <w:rPr>
          <w:b/>
        </w:rPr>
        <w:t>is supported for NR:</w:t>
      </w:r>
      <w:r w:rsidRPr="002C70D2">
        <w:rPr>
          <w:b/>
        </w:rPr>
        <w:t xml:space="preserve"> </w:t>
      </w:r>
    </w:p>
    <w:p w14:paraId="7687126A" w14:textId="77777777" w:rsidR="00712433" w:rsidRDefault="00712433" w:rsidP="00712433">
      <w:pPr>
        <w:pStyle w:val="BodyText"/>
        <w:numPr>
          <w:ilvl w:val="0"/>
          <w:numId w:val="35"/>
        </w:numPr>
        <w:spacing w:after="240"/>
        <w:rPr>
          <w:b/>
        </w:rPr>
      </w:pPr>
      <w:r w:rsidRPr="002C70D2">
        <w:rPr>
          <w:b/>
        </w:rPr>
        <w:t>Option 1. RRC signaling (for bit-field size)</w:t>
      </w:r>
    </w:p>
    <w:p w14:paraId="2C1B6BD4" w14:textId="77777777" w:rsidR="00C01F33" w:rsidRPr="007B78FE" w:rsidRDefault="00C01F33" w:rsidP="00CE0424">
      <w:pPr>
        <w:pStyle w:val="Heading1"/>
        <w:rPr>
          <w:lang w:val="en-US"/>
        </w:rPr>
      </w:pPr>
      <w:r w:rsidRPr="007B78FE">
        <w:rPr>
          <w:lang w:val="en-US"/>
        </w:rPr>
        <w:t>Conclusion</w:t>
      </w:r>
    </w:p>
    <w:p w14:paraId="2D235AD5" w14:textId="6C4252C7" w:rsidR="001154BD" w:rsidRDefault="007B78FE" w:rsidP="008E065E">
      <w:pPr>
        <w:rPr>
          <w:bCs/>
          <w:lang w:val="en-US"/>
        </w:rPr>
      </w:pPr>
      <w:r w:rsidRPr="007B78FE">
        <w:rPr>
          <w:bCs/>
          <w:lang w:val="en-US"/>
        </w:rPr>
        <w:t xml:space="preserve">We </w:t>
      </w:r>
      <w:r w:rsidR="0010118E" w:rsidRPr="007B78FE">
        <w:rPr>
          <w:lang w:val="en-US"/>
        </w:rPr>
        <w:t>discuss</w:t>
      </w:r>
      <w:r w:rsidR="0010118E">
        <w:rPr>
          <w:lang w:val="en-US"/>
        </w:rPr>
        <w:t>ed</w:t>
      </w:r>
      <w:r w:rsidR="0010118E" w:rsidRPr="007B78FE">
        <w:rPr>
          <w:lang w:val="en-US"/>
        </w:rPr>
        <w:t xml:space="preserve"> </w:t>
      </w:r>
      <w:r w:rsidR="0010118E">
        <w:rPr>
          <w:lang w:val="en-US"/>
        </w:rPr>
        <w:t>the code block group formation designs. We propose</w:t>
      </w:r>
    </w:p>
    <w:p w14:paraId="0C347BF7" w14:textId="0319CB22" w:rsidR="0010118E" w:rsidRDefault="0010118E" w:rsidP="00172876">
      <w:pPr>
        <w:pStyle w:val="BodyText"/>
        <w:rPr>
          <w:b/>
        </w:rPr>
      </w:pPr>
      <w:r w:rsidRPr="006C107E">
        <w:rPr>
          <w:b/>
        </w:rPr>
        <w:t xml:space="preserve">Proposal </w:t>
      </w:r>
      <w:r>
        <w:rPr>
          <w:b/>
        </w:rPr>
        <w:t>1</w:t>
      </w:r>
      <w:r w:rsidRPr="006C107E">
        <w:rPr>
          <w:b/>
        </w:rPr>
        <w:t xml:space="preserve"> The CBs of a PDSCH or PUSCH transmission are grouped into the configured </w:t>
      </w:r>
      <w:r>
        <w:rPr>
          <w:b/>
        </w:rPr>
        <w:t xml:space="preserve">number of CBGs </w:t>
      </w:r>
      <w:r w:rsidRPr="006C107E">
        <w:rPr>
          <w:b/>
        </w:rPr>
        <w:t>based on a rule described in the L1 specs.</w:t>
      </w:r>
      <w:r>
        <w:rPr>
          <w:b/>
        </w:rPr>
        <w:t xml:space="preserve"> </w:t>
      </w:r>
    </w:p>
    <w:p w14:paraId="78D5D6FB" w14:textId="77777777" w:rsidR="00754D34" w:rsidRPr="00754D34" w:rsidRDefault="00754D34" w:rsidP="00754D34">
      <w:pPr>
        <w:pStyle w:val="BodyText"/>
        <w:ind w:left="567"/>
        <w:rPr>
          <w:rFonts w:ascii="Courier New" w:hAnsi="Courier New" w:cs="Courier New"/>
          <w:b/>
        </w:rPr>
      </w:pPr>
      <w:r w:rsidRPr="00754D34">
        <w:rPr>
          <w:rFonts w:ascii="Courier New" w:hAnsi="Courier New" w:cs="Courier New"/>
          <w:b/>
        </w:rPr>
        <w:t>Input</w:t>
      </w:r>
    </w:p>
    <w:p w14:paraId="3EA55D8F" w14:textId="10028E41" w:rsidR="00754D34" w:rsidRPr="00754D34" w:rsidRDefault="00754D34" w:rsidP="00754D34">
      <w:pPr>
        <w:pStyle w:val="BodyText"/>
        <w:ind w:left="1134"/>
        <w:rPr>
          <w:rFonts w:ascii="Courier New" w:hAnsi="Courier New" w:cs="Courier New"/>
          <w:b/>
        </w:rPr>
      </w:pPr>
      <m:oMath>
        <m:r>
          <m:rPr>
            <m:sty m:val="bi"/>
          </m:rPr>
          <w:rPr>
            <w:rFonts w:ascii="Cambria Math" w:hAnsi="Cambria Math" w:cs="Courier New"/>
          </w:rPr>
          <m:t>C</m:t>
        </m:r>
      </m:oMath>
      <w:r w:rsidRPr="00754D34">
        <w:rPr>
          <w:rFonts w:ascii="Courier New" w:hAnsi="Courier New" w:cs="Courier New"/>
          <w:b/>
        </w:rPr>
        <w:t>:</w:t>
      </w:r>
      <w:r w:rsidRPr="00754D34">
        <w:rPr>
          <w:rFonts w:ascii="Courier New" w:hAnsi="Courier New" w:cs="Courier New"/>
          <w:b/>
        </w:rPr>
        <w:tab/>
        <w:t>number of CBs</w:t>
      </w:r>
    </w:p>
    <w:p w14:paraId="690312E2" w14:textId="2FE8971A" w:rsidR="00754D34" w:rsidRPr="00754D34" w:rsidRDefault="00754D34" w:rsidP="00754D34">
      <w:pPr>
        <w:pStyle w:val="BodyText"/>
        <w:ind w:left="1134"/>
        <w:rPr>
          <w:rFonts w:ascii="Courier New" w:hAnsi="Courier New" w:cs="Courier New"/>
          <w:b/>
        </w:rPr>
      </w:pPr>
      <m:oMath>
        <m:r>
          <m:rPr>
            <m:sty m:val="bi"/>
          </m:rPr>
          <w:rPr>
            <w:rFonts w:ascii="Cambria Math" w:hAnsi="Cambria Math" w:cs="Courier New"/>
          </w:rPr>
          <m:t>G</m:t>
        </m:r>
      </m:oMath>
      <w:r w:rsidRPr="00754D34">
        <w:rPr>
          <w:rFonts w:ascii="Courier New" w:hAnsi="Courier New" w:cs="Courier New"/>
          <w:b/>
        </w:rPr>
        <w:t>:</w:t>
      </w:r>
      <w:r w:rsidRPr="00754D34">
        <w:rPr>
          <w:rFonts w:ascii="Courier New" w:hAnsi="Courier New" w:cs="Courier New"/>
          <w:b/>
        </w:rPr>
        <w:tab/>
        <w:t>number of CBGs</w:t>
      </w:r>
    </w:p>
    <w:p w14:paraId="74022977" w14:textId="7EA6C59E" w:rsidR="00754D34" w:rsidRPr="00754D34" w:rsidRDefault="00754D34" w:rsidP="0082252F">
      <w:pPr>
        <w:pStyle w:val="BodyText"/>
        <w:ind w:left="567"/>
        <w:rPr>
          <w:rFonts w:ascii="Courier New" w:hAnsi="Courier New" w:cs="Courier New"/>
          <w:b/>
        </w:rPr>
      </w:pPr>
      <w:r w:rsidRPr="00754D34">
        <w:rPr>
          <w:rFonts w:ascii="Courier New" w:hAnsi="Courier New" w:cs="Courier New"/>
          <w:b/>
        </w:rPr>
        <w:t>Output</w:t>
      </w:r>
    </w:p>
    <w:p w14:paraId="11FDB02C" w14:textId="21BB71D7" w:rsidR="00754D34" w:rsidRPr="00754D34" w:rsidRDefault="00754D34" w:rsidP="0082252F">
      <w:pPr>
        <w:pStyle w:val="BodyText"/>
        <w:ind w:left="1134"/>
        <w:rPr>
          <w:rFonts w:ascii="Courier New" w:hAnsi="Courier New" w:cs="Courier New"/>
          <w:b/>
        </w:rPr>
      </w:pPr>
      <w:r w:rsidRPr="00754D34">
        <w:rPr>
          <w:rFonts w:ascii="Courier New" w:hAnsi="Courier New" w:cs="Courier New"/>
          <w:b/>
        </w:rPr>
        <w:t xml:space="preserve">Determine </w:t>
      </w:r>
      <m:oMath>
        <m:r>
          <m:rPr>
            <m:sty m:val="bi"/>
          </m:rPr>
          <w:rPr>
            <w:rFonts w:ascii="Cambria Math" w:hAnsi="Cambria Math" w:cs="Courier New"/>
          </w:rPr>
          <m:t>B=</m:t>
        </m:r>
        <m:d>
          <m:dPr>
            <m:begChr m:val="⌈"/>
            <m:endChr m:val="⌉"/>
            <m:ctrlPr>
              <w:rPr>
                <w:rFonts w:ascii="Cambria Math" w:hAnsi="Cambria Math" w:cs="Courier New"/>
                <w:b/>
                <w:i/>
              </w:rPr>
            </m:ctrlPr>
          </m:dPr>
          <m:e>
            <m:f>
              <m:fPr>
                <m:ctrlPr>
                  <w:rPr>
                    <w:rFonts w:ascii="Cambria Math" w:hAnsi="Cambria Math" w:cs="Courier New"/>
                    <w:b/>
                    <w:i/>
                  </w:rPr>
                </m:ctrlPr>
              </m:fPr>
              <m:num>
                <m:r>
                  <m:rPr>
                    <m:sty m:val="bi"/>
                  </m:rPr>
                  <w:rPr>
                    <w:rFonts w:ascii="Cambria Math" w:hAnsi="Cambria Math" w:cs="Courier New"/>
                  </w:rPr>
                  <m:t>C</m:t>
                </m:r>
              </m:num>
              <m:den>
                <m:r>
                  <m:rPr>
                    <m:sty m:val="bi"/>
                  </m:rPr>
                  <w:rPr>
                    <w:rFonts w:ascii="Cambria Math" w:hAnsi="Cambria Math" w:cs="Courier New"/>
                  </w:rPr>
                  <m:t>G</m:t>
                </m:r>
              </m:den>
            </m:f>
          </m:e>
        </m:d>
      </m:oMath>
    </w:p>
    <w:p w14:paraId="49A27C32" w14:textId="6B31C1CD" w:rsidR="00A20A26" w:rsidRPr="00A20A26" w:rsidRDefault="00A20A26" w:rsidP="00A20A26">
      <w:pPr>
        <w:pStyle w:val="BodyText"/>
        <w:ind w:left="1134"/>
        <w:rPr>
          <w:rFonts w:ascii="Courier New" w:hAnsi="Courier New" w:cs="Courier New"/>
          <w:b/>
        </w:rPr>
      </w:pPr>
      <w:r w:rsidRPr="00A20A26">
        <w:rPr>
          <w:rFonts w:ascii="Courier New" w:hAnsi="Courier New" w:cs="Courier New"/>
          <w:b/>
        </w:rPr>
        <w:t xml:space="preserve">The first </w:t>
      </w:r>
      <m:oMath>
        <m:sSup>
          <m:sSupPr>
            <m:ctrlPr>
              <w:rPr>
                <w:rFonts w:ascii="Cambria Math" w:hAnsi="Cambria Math" w:cs="Courier New"/>
                <w:b/>
                <w:i/>
              </w:rPr>
            </m:ctrlPr>
          </m:sSupPr>
          <m:e>
            <m:r>
              <m:rPr>
                <m:sty m:val="bi"/>
              </m:rPr>
              <w:rPr>
                <w:rFonts w:ascii="Cambria Math" w:hAnsi="Cambria Math" w:cs="Courier New"/>
              </w:rPr>
              <m:t>G</m:t>
            </m:r>
          </m:e>
          <m:sup>
            <m:r>
              <m:rPr>
                <m:sty m:val="bi"/>
              </m:rPr>
              <w:rPr>
                <w:rFonts w:ascii="Cambria Math" w:hAnsi="Cambria Math" w:cs="Courier New"/>
              </w:rPr>
              <m:t>+</m:t>
            </m:r>
          </m:sup>
        </m:sSup>
      </m:oMath>
      <w:r w:rsidRPr="00A20A26">
        <w:rPr>
          <w:rFonts w:ascii="Courier New" w:hAnsi="Courier New" w:cs="Courier New"/>
          <w:b/>
        </w:rPr>
        <w:t xml:space="preserve"> CBGs contain </w:t>
      </w:r>
      <m:oMath>
        <m:r>
          <m:rPr>
            <m:sty m:val="bi"/>
          </m:rPr>
          <w:rPr>
            <w:rFonts w:ascii="Cambria Math" w:hAnsi="Cambria Math" w:cs="Courier New"/>
          </w:rPr>
          <m:t>B</m:t>
        </m:r>
      </m:oMath>
      <w:r w:rsidRPr="00A20A26">
        <w:rPr>
          <w:rFonts w:ascii="Courier New" w:hAnsi="Courier New" w:cs="Courier New"/>
          <w:b/>
        </w:rPr>
        <w:t xml:space="preserve"> CBs </w:t>
      </w:r>
      <w:r w:rsidR="000526D5">
        <w:rPr>
          <w:rFonts w:ascii="Courier New" w:hAnsi="Courier New" w:cs="Courier New"/>
          <w:b/>
        </w:rPr>
        <w:t xml:space="preserve">each, </w:t>
      </w:r>
      <w:r w:rsidRPr="00A20A26">
        <w:rPr>
          <w:rFonts w:ascii="Courier New" w:hAnsi="Courier New" w:cs="Courier New"/>
          <w:b/>
        </w:rPr>
        <w:t xml:space="preserve">where </w:t>
      </w:r>
      <m:oMath>
        <m:sSup>
          <m:sSupPr>
            <m:ctrlPr>
              <w:rPr>
                <w:rFonts w:ascii="Cambria Math" w:hAnsi="Cambria Math" w:cs="Courier New"/>
                <w:b/>
                <w:i/>
              </w:rPr>
            </m:ctrlPr>
          </m:sSupPr>
          <m:e>
            <m:r>
              <m:rPr>
                <m:sty m:val="bi"/>
              </m:rPr>
              <w:rPr>
                <w:rFonts w:ascii="Cambria Math" w:hAnsi="Cambria Math" w:cs="Courier New"/>
              </w:rPr>
              <m:t>G</m:t>
            </m:r>
          </m:e>
          <m:sup>
            <m:r>
              <m:rPr>
                <m:sty m:val="bi"/>
              </m:rPr>
              <w:rPr>
                <w:rFonts w:ascii="Cambria Math" w:hAnsi="Cambria Math" w:cs="Courier New"/>
              </w:rPr>
              <m:t>+</m:t>
            </m:r>
          </m:sup>
        </m:sSup>
        <m:r>
          <m:rPr>
            <m:sty m:val="bi"/>
          </m:rPr>
          <w:rPr>
            <w:rFonts w:ascii="Cambria Math" w:hAnsi="Cambria Math" w:cs="Courier New"/>
          </w:rPr>
          <m:t>=</m:t>
        </m:r>
        <m:d>
          <m:dPr>
            <m:begChr m:val="⌊"/>
            <m:endChr m:val="⌋"/>
            <m:ctrlPr>
              <w:rPr>
                <w:rFonts w:ascii="Cambria Math" w:hAnsi="Cambria Math" w:cs="Courier New"/>
                <w:b/>
                <w:i/>
              </w:rPr>
            </m:ctrlPr>
          </m:dPr>
          <m:e>
            <m:f>
              <m:fPr>
                <m:ctrlPr>
                  <w:rPr>
                    <w:rFonts w:ascii="Cambria Math" w:hAnsi="Cambria Math" w:cs="Courier New"/>
                    <w:b/>
                    <w:i/>
                  </w:rPr>
                </m:ctrlPr>
              </m:fPr>
              <m:num>
                <m:r>
                  <m:rPr>
                    <m:sty m:val="bi"/>
                  </m:rPr>
                  <w:rPr>
                    <w:rFonts w:ascii="Cambria Math" w:hAnsi="Cambria Math" w:cs="Courier New"/>
                  </w:rPr>
                  <m:t>C</m:t>
                </m:r>
              </m:num>
              <m:den>
                <m:r>
                  <m:rPr>
                    <m:sty m:val="bi"/>
                  </m:rPr>
                  <w:rPr>
                    <w:rFonts w:ascii="Cambria Math" w:hAnsi="Cambria Math" w:cs="Courier New"/>
                  </w:rPr>
                  <m:t>B</m:t>
                </m:r>
              </m:den>
            </m:f>
          </m:e>
        </m:d>
      </m:oMath>
      <w:r w:rsidR="000526D5">
        <w:rPr>
          <w:rFonts w:ascii="Courier New" w:hAnsi="Courier New" w:cs="Courier New"/>
          <w:b/>
        </w:rPr>
        <w:t>.</w:t>
      </w:r>
    </w:p>
    <w:p w14:paraId="79835F6E" w14:textId="0129EC06" w:rsidR="00A20A26" w:rsidRPr="00A20A26" w:rsidRDefault="00A20A26" w:rsidP="005F686B">
      <w:pPr>
        <w:pStyle w:val="BodyText"/>
        <w:spacing w:after="240"/>
        <w:ind w:left="1138"/>
        <w:rPr>
          <w:rFonts w:ascii="Courier New" w:hAnsi="Courier New" w:cs="Courier New"/>
          <w:b/>
        </w:rPr>
      </w:pPr>
      <w:r w:rsidRPr="00A20A26">
        <w:rPr>
          <w:rFonts w:ascii="Courier New" w:hAnsi="Courier New" w:cs="Courier New"/>
          <w:b/>
        </w:rPr>
        <w:t xml:space="preserve">The next </w:t>
      </w:r>
      <m:oMath>
        <m:sSup>
          <m:sSupPr>
            <m:ctrlPr>
              <w:rPr>
                <w:rFonts w:ascii="Cambria Math" w:hAnsi="Cambria Math" w:cs="Courier New"/>
                <w:b/>
                <w:i/>
              </w:rPr>
            </m:ctrlPr>
          </m:sSupPr>
          <m:e>
            <m:r>
              <m:rPr>
                <m:sty m:val="bi"/>
              </m:rPr>
              <w:rPr>
                <w:rFonts w:ascii="Cambria Math" w:hAnsi="Cambria Math" w:cs="Courier New"/>
              </w:rPr>
              <m:t>G</m:t>
            </m:r>
          </m:e>
          <m:sup>
            <m:r>
              <m:rPr>
                <m:sty m:val="bi"/>
              </m:rPr>
              <w:rPr>
                <w:rFonts w:ascii="Cambria Math" w:hAnsi="Cambria Math" w:cs="Courier New"/>
              </w:rPr>
              <m:t>-</m:t>
            </m:r>
          </m:sup>
        </m:sSup>
      </m:oMath>
      <w:r w:rsidRPr="00A20A26">
        <w:rPr>
          <w:rFonts w:ascii="Courier New" w:hAnsi="Courier New" w:cs="Courier New"/>
          <w:b/>
        </w:rPr>
        <w:t xml:space="preserve"> CBGs contain </w:t>
      </w:r>
      <m:oMath>
        <m:r>
          <m:rPr>
            <m:sty m:val="bi"/>
          </m:rPr>
          <w:rPr>
            <w:rFonts w:ascii="Cambria Math" w:hAnsi="Cambria Math" w:cs="Courier New"/>
          </w:rPr>
          <m:t>(B-1)</m:t>
        </m:r>
      </m:oMath>
      <w:r w:rsidRPr="00A20A26">
        <w:rPr>
          <w:rFonts w:ascii="Courier New" w:hAnsi="Courier New" w:cs="Courier New"/>
          <w:b/>
        </w:rPr>
        <w:t xml:space="preserve"> CBs </w:t>
      </w:r>
      <w:r w:rsidR="000526D5">
        <w:rPr>
          <w:rFonts w:ascii="Courier New" w:hAnsi="Courier New" w:cs="Courier New"/>
          <w:b/>
        </w:rPr>
        <w:t xml:space="preserve">each, </w:t>
      </w:r>
      <w:r w:rsidRPr="00A20A26">
        <w:rPr>
          <w:rFonts w:ascii="Courier New" w:hAnsi="Courier New" w:cs="Courier New"/>
          <w:b/>
        </w:rPr>
        <w:t xml:space="preserve">where </w:t>
      </w:r>
      <m:oMath>
        <m:sSup>
          <m:sSupPr>
            <m:ctrlPr>
              <w:rPr>
                <w:rFonts w:ascii="Cambria Math" w:hAnsi="Cambria Math" w:cs="Courier New"/>
                <w:b/>
                <w:i/>
              </w:rPr>
            </m:ctrlPr>
          </m:sSupPr>
          <m:e>
            <m:r>
              <m:rPr>
                <m:sty m:val="bi"/>
              </m:rPr>
              <w:rPr>
                <w:rFonts w:ascii="Cambria Math" w:hAnsi="Cambria Math" w:cs="Courier New"/>
              </w:rPr>
              <m:t>G</m:t>
            </m:r>
          </m:e>
          <m:sup>
            <m:r>
              <m:rPr>
                <m:sty m:val="bi"/>
              </m:rPr>
              <w:rPr>
                <w:rFonts w:ascii="Cambria Math" w:hAnsi="Cambria Math" w:cs="Courier New"/>
              </w:rPr>
              <m:t>-</m:t>
            </m:r>
          </m:sup>
        </m:sSup>
        <m:r>
          <m:rPr>
            <m:sty m:val="bi"/>
          </m:rPr>
          <w:rPr>
            <w:rFonts w:ascii="Cambria Math" w:hAnsi="Cambria Math" w:cs="Courier New"/>
          </w:rPr>
          <m:t>=G-</m:t>
        </m:r>
        <m:sSup>
          <m:sSupPr>
            <m:ctrlPr>
              <w:rPr>
                <w:rFonts w:ascii="Cambria Math" w:hAnsi="Cambria Math" w:cs="Courier New"/>
                <w:b/>
                <w:i/>
              </w:rPr>
            </m:ctrlPr>
          </m:sSupPr>
          <m:e>
            <m:r>
              <m:rPr>
                <m:sty m:val="bi"/>
              </m:rPr>
              <w:rPr>
                <w:rFonts w:ascii="Cambria Math" w:hAnsi="Cambria Math" w:cs="Courier New"/>
              </w:rPr>
              <m:t>G</m:t>
            </m:r>
          </m:e>
          <m:sup>
            <m:r>
              <m:rPr>
                <m:sty m:val="bi"/>
              </m:rPr>
              <w:rPr>
                <w:rFonts w:ascii="Cambria Math" w:hAnsi="Cambria Math" w:cs="Courier New"/>
              </w:rPr>
              <m:t>+</m:t>
            </m:r>
          </m:sup>
        </m:sSup>
      </m:oMath>
      <w:r w:rsidR="000526D5">
        <w:rPr>
          <w:rFonts w:ascii="Courier New" w:hAnsi="Courier New" w:cs="Courier New"/>
          <w:b/>
        </w:rPr>
        <w:t>.</w:t>
      </w:r>
    </w:p>
    <w:p w14:paraId="4644A56F" w14:textId="77777777" w:rsidR="005F686B" w:rsidRDefault="005F686B" w:rsidP="005F686B">
      <w:pPr>
        <w:pStyle w:val="BodyText"/>
        <w:spacing w:after="240"/>
        <w:rPr>
          <w:b/>
        </w:rPr>
      </w:pPr>
      <w:r>
        <w:rPr>
          <w:b/>
        </w:rPr>
        <w:t>Proposal 2</w:t>
      </w:r>
      <w:r w:rsidRPr="00CE5994">
        <w:rPr>
          <w:b/>
        </w:rPr>
        <w:t xml:space="preserve"> There should be no fixed rules/tables to determine the </w:t>
      </w:r>
      <w:r w:rsidRPr="00CE5994">
        <w:rPr>
          <w:rFonts w:eastAsia="MS Mincho"/>
          <w:b/>
          <w:iCs/>
          <w:lang w:val="en-US"/>
        </w:rPr>
        <w:t xml:space="preserve">number of CBGs and/or the number CBs per CBG according to TBS. </w:t>
      </w:r>
      <w:r w:rsidRPr="00CE5994">
        <w:rPr>
          <w:b/>
        </w:rPr>
        <w:t>It should be up to gNB to decide the optimal code block group size to operate.</w:t>
      </w:r>
    </w:p>
    <w:p w14:paraId="38AE1877" w14:textId="304D7775" w:rsidR="0010118E" w:rsidRDefault="0010118E" w:rsidP="009635AA">
      <w:pPr>
        <w:pStyle w:val="BodyText"/>
        <w:rPr>
          <w:b/>
        </w:rPr>
      </w:pPr>
      <w:r w:rsidRPr="00293CF0">
        <w:rPr>
          <w:b/>
        </w:rPr>
        <w:t xml:space="preserve">Proposal </w:t>
      </w:r>
      <w:r w:rsidR="005F686B">
        <w:rPr>
          <w:b/>
        </w:rPr>
        <w:t>3</w:t>
      </w:r>
      <w:r w:rsidRPr="00293CF0">
        <w:rPr>
          <w:b/>
        </w:rPr>
        <w:t xml:space="preserve"> The CB groups </w:t>
      </w:r>
      <w:r>
        <w:rPr>
          <w:b/>
        </w:rPr>
        <w:t xml:space="preserve">remain </w:t>
      </w:r>
      <w:r w:rsidRPr="00293CF0">
        <w:rPr>
          <w:b/>
        </w:rPr>
        <w:t xml:space="preserve">fixed </w:t>
      </w:r>
      <w:r>
        <w:rPr>
          <w:b/>
        </w:rPr>
        <w:t>after formation</w:t>
      </w:r>
      <w:r w:rsidR="00754D34">
        <w:rPr>
          <w:b/>
        </w:rPr>
        <w:t xml:space="preserve"> (including retransmissions)</w:t>
      </w:r>
      <w:r w:rsidRPr="00293CF0">
        <w:rPr>
          <w:b/>
        </w:rPr>
        <w:t>.</w:t>
      </w:r>
      <w:r w:rsidR="009635AA">
        <w:rPr>
          <w:b/>
        </w:rPr>
        <w:t xml:space="preserve"> The following working assumption is confirmed:</w:t>
      </w:r>
    </w:p>
    <w:p w14:paraId="26ECA211" w14:textId="24EA94A6" w:rsidR="009635AA" w:rsidRPr="00293CF0" w:rsidRDefault="009635AA" w:rsidP="009635AA">
      <w:pPr>
        <w:pStyle w:val="BodyText"/>
        <w:numPr>
          <w:ilvl w:val="0"/>
          <w:numId w:val="35"/>
        </w:numPr>
        <w:spacing w:after="240"/>
        <w:rPr>
          <w:b/>
        </w:rPr>
      </w:pPr>
      <w:r w:rsidRPr="009635AA">
        <w:rPr>
          <w:b/>
        </w:rPr>
        <w:t>For initial transmission and retransmission, each CBG of a TB has the same set of CB(s).</w:t>
      </w:r>
    </w:p>
    <w:p w14:paraId="3242FC45" w14:textId="77777777" w:rsidR="002C70D2" w:rsidRDefault="002C70D2" w:rsidP="00DA456B">
      <w:pPr>
        <w:pStyle w:val="BodyText"/>
        <w:rPr>
          <w:b/>
        </w:rPr>
      </w:pPr>
      <w:r>
        <w:rPr>
          <w:b/>
        </w:rPr>
        <w:t xml:space="preserve">Proposal 4 </w:t>
      </w:r>
      <w:r w:rsidRPr="002C70D2">
        <w:rPr>
          <w:b/>
        </w:rPr>
        <w:t xml:space="preserve">For the indicated number of CBGs per TB where "indicated" is realized by RRC, MAC, L1 signalling, the following </w:t>
      </w:r>
      <w:r>
        <w:rPr>
          <w:b/>
        </w:rPr>
        <w:t>is supported for NR:</w:t>
      </w:r>
      <w:r w:rsidRPr="002C70D2">
        <w:rPr>
          <w:b/>
        </w:rPr>
        <w:t xml:space="preserve"> </w:t>
      </w:r>
    </w:p>
    <w:p w14:paraId="27FC00E4" w14:textId="4F8B7CD0" w:rsidR="002C70D2" w:rsidRDefault="002C70D2" w:rsidP="002C70D2">
      <w:pPr>
        <w:pStyle w:val="BodyText"/>
        <w:numPr>
          <w:ilvl w:val="0"/>
          <w:numId w:val="35"/>
        </w:numPr>
        <w:spacing w:after="240"/>
        <w:rPr>
          <w:b/>
        </w:rPr>
      </w:pPr>
      <w:r w:rsidRPr="002C70D2">
        <w:rPr>
          <w:b/>
        </w:rPr>
        <w:t>Option 1</w:t>
      </w:r>
      <w:r w:rsidR="00306E86">
        <w:rPr>
          <w:b/>
        </w:rPr>
        <w:t>:</w:t>
      </w:r>
      <w:r w:rsidRPr="002C70D2">
        <w:rPr>
          <w:b/>
        </w:rPr>
        <w:t xml:space="preserve"> RRC signaling (for bit-field size)</w:t>
      </w:r>
    </w:p>
    <w:p w14:paraId="57B73A36" w14:textId="77777777" w:rsidR="00F507D1" w:rsidRPr="007B78FE" w:rsidRDefault="00F507D1" w:rsidP="00CE0424">
      <w:pPr>
        <w:pStyle w:val="Heading1"/>
        <w:rPr>
          <w:lang w:val="en-US"/>
        </w:rPr>
      </w:pPr>
      <w:bookmarkStart w:id="4" w:name="_In-sequence_SDU_delivery"/>
      <w:bookmarkEnd w:id="4"/>
      <w:r w:rsidRPr="007B78FE">
        <w:rPr>
          <w:lang w:val="en-US"/>
        </w:rPr>
        <w:t>References</w:t>
      </w:r>
    </w:p>
    <w:p w14:paraId="3618435D" w14:textId="2617B41D" w:rsidR="00221CBF" w:rsidRDefault="00221CBF" w:rsidP="00221CBF">
      <w:pPr>
        <w:pStyle w:val="Reference"/>
        <w:rPr>
          <w:lang w:val="en-US"/>
        </w:rPr>
      </w:pPr>
      <w:bookmarkStart w:id="5" w:name="_Ref473934775"/>
      <w:bookmarkStart w:id="6" w:name="_Ref484605479"/>
      <w:bookmarkStart w:id="7" w:name="_Ref174151459"/>
      <w:bookmarkStart w:id="8" w:name="_Ref189809556"/>
      <w:bookmarkStart w:id="9" w:name="_Ref489275742"/>
      <w:r w:rsidRPr="007B78FE">
        <w:rPr>
          <w:lang w:val="en-US"/>
        </w:rPr>
        <w:t xml:space="preserve">Chairman’s Notes, 3GPP TSG RAN WG1 </w:t>
      </w:r>
      <w:r w:rsidR="00474D3A">
        <w:rPr>
          <w:lang w:val="en-US"/>
        </w:rPr>
        <w:t xml:space="preserve">NR ad hoc </w:t>
      </w:r>
      <w:r w:rsidRPr="007B78FE">
        <w:rPr>
          <w:lang w:val="en-US"/>
        </w:rPr>
        <w:t>#</w:t>
      </w:r>
      <w:bookmarkEnd w:id="5"/>
      <w:bookmarkEnd w:id="6"/>
      <w:bookmarkEnd w:id="7"/>
      <w:bookmarkEnd w:id="8"/>
      <w:r w:rsidR="00474D3A">
        <w:rPr>
          <w:lang w:val="en-US"/>
        </w:rPr>
        <w:t>2</w:t>
      </w:r>
      <w:bookmarkEnd w:id="9"/>
    </w:p>
    <w:p w14:paraId="481A981B" w14:textId="082A6007" w:rsidR="006653D1" w:rsidRDefault="006653D1" w:rsidP="006653D1">
      <w:pPr>
        <w:pStyle w:val="Reference"/>
        <w:rPr>
          <w:lang w:val="en-US"/>
        </w:rPr>
      </w:pPr>
      <w:bookmarkStart w:id="10" w:name="_Ref484605489"/>
      <w:bookmarkStart w:id="11" w:name="_Ref481764671"/>
      <w:r w:rsidRPr="007B78FE">
        <w:rPr>
          <w:lang w:val="en-US"/>
        </w:rPr>
        <w:lastRenderedPageBreak/>
        <w:t>Chairman’s Notes, 3GPP TSG RAN WG1 Meeting#8</w:t>
      </w:r>
      <w:r>
        <w:rPr>
          <w:lang w:val="en-US"/>
        </w:rPr>
        <w:t>9</w:t>
      </w:r>
      <w:bookmarkEnd w:id="10"/>
      <w:r w:rsidRPr="007B78FE">
        <w:rPr>
          <w:lang w:val="en-US"/>
        </w:rPr>
        <w:t xml:space="preserve"> </w:t>
      </w:r>
    </w:p>
    <w:p w14:paraId="04ED1DF8" w14:textId="4639C3CE" w:rsidR="00C23998" w:rsidRDefault="009D3D3D" w:rsidP="009D3D3D">
      <w:pPr>
        <w:pStyle w:val="Reference"/>
        <w:rPr>
          <w:lang w:val="en-US"/>
        </w:rPr>
      </w:pPr>
      <w:bookmarkStart w:id="12" w:name="_Ref484607387"/>
      <w:r w:rsidRPr="009D3D3D">
        <w:rPr>
          <w:lang w:val="en-US"/>
        </w:rPr>
        <w:t>R1-1711507</w:t>
      </w:r>
      <w:r>
        <w:rPr>
          <w:lang w:val="en-US"/>
        </w:rPr>
        <w:t xml:space="preserve"> </w:t>
      </w:r>
      <w:r w:rsidR="00DE1BBA">
        <w:rPr>
          <w:lang w:val="en-US"/>
        </w:rPr>
        <w:t>On Retransmission Decoder Throughput Issues and CBG-based</w:t>
      </w:r>
      <w:r w:rsidR="002E30BA">
        <w:rPr>
          <w:lang w:val="en-US"/>
        </w:rPr>
        <w:t xml:space="preserve"> Retransmission Control</w:t>
      </w:r>
      <w:r w:rsidR="00C23998">
        <w:rPr>
          <w:lang w:val="en-US"/>
        </w:rPr>
        <w:t>, Ericsson</w:t>
      </w:r>
      <w:bookmarkEnd w:id="11"/>
      <w:bookmarkEnd w:id="12"/>
    </w:p>
    <w:p w14:paraId="5CF4F5E6" w14:textId="5C80C9F3" w:rsidR="00C23998" w:rsidRDefault="009D3D3D" w:rsidP="009D3D3D">
      <w:pPr>
        <w:pStyle w:val="Reference"/>
        <w:rPr>
          <w:lang w:val="en-US"/>
        </w:rPr>
      </w:pPr>
      <w:bookmarkStart w:id="13" w:name="_Ref481764673"/>
      <w:r w:rsidRPr="009D3D3D">
        <w:rPr>
          <w:lang w:val="en-US"/>
        </w:rPr>
        <w:t>R1-1711508</w:t>
      </w:r>
      <w:r>
        <w:rPr>
          <w:lang w:val="en-US"/>
        </w:rPr>
        <w:t xml:space="preserve"> </w:t>
      </w:r>
      <w:r w:rsidR="00DE1BBA">
        <w:rPr>
          <w:lang w:val="en-US"/>
        </w:rPr>
        <w:t>On Design of CBG HARQ-ACK Feedback Sc</w:t>
      </w:r>
      <w:r w:rsidR="00C23998" w:rsidRPr="00C23998">
        <w:rPr>
          <w:lang w:val="en-US"/>
        </w:rPr>
        <w:t>hemes</w:t>
      </w:r>
      <w:r w:rsidR="00C23998">
        <w:rPr>
          <w:lang w:val="en-US"/>
        </w:rPr>
        <w:t>, Ericsson</w:t>
      </w:r>
      <w:bookmarkEnd w:id="13"/>
    </w:p>
    <w:p w14:paraId="17F0ACAC" w14:textId="7282A473" w:rsidR="000A1280" w:rsidRPr="00814634" w:rsidRDefault="000A1280" w:rsidP="00570102">
      <w:pPr>
        <w:pStyle w:val="Reference"/>
        <w:rPr>
          <w:lang w:val="en-US"/>
        </w:rPr>
      </w:pPr>
      <w:bookmarkStart w:id="14" w:name="_Ref477978143"/>
      <w:r w:rsidRPr="00814634">
        <w:rPr>
          <w:lang w:val="en-US"/>
        </w:rPr>
        <w:t>R1-707063 CRC Attachment for Code Block Group, Ericsson</w:t>
      </w:r>
      <w:bookmarkEnd w:id="14"/>
    </w:p>
    <w:sectPr w:rsidR="000A1280" w:rsidRPr="0081463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2ACB4" w14:textId="77777777" w:rsidR="004F2FEB" w:rsidRDefault="004F2FEB">
      <w:r>
        <w:separator/>
      </w:r>
    </w:p>
  </w:endnote>
  <w:endnote w:type="continuationSeparator" w:id="0">
    <w:p w14:paraId="5AF100F4" w14:textId="77777777" w:rsidR="004F2FEB" w:rsidRDefault="004F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0610C" w14:textId="77777777" w:rsidR="00264539" w:rsidRDefault="002645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1C7BE8BA" w:rsidR="00920BF2" w:rsidRPr="00264539" w:rsidRDefault="00920BF2" w:rsidP="002645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967FB" w14:textId="77777777" w:rsidR="00264539" w:rsidRDefault="002645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91829" w14:textId="77777777" w:rsidR="004F2FEB" w:rsidRDefault="004F2FEB">
      <w:r>
        <w:separator/>
      </w:r>
    </w:p>
  </w:footnote>
  <w:footnote w:type="continuationSeparator" w:id="0">
    <w:p w14:paraId="39EAD344" w14:textId="77777777" w:rsidR="004F2FEB" w:rsidRDefault="004F2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589BFAD1" w:rsidR="00920BF2" w:rsidRPr="00264539" w:rsidRDefault="00920BF2" w:rsidP="002645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A0999" w14:textId="77777777" w:rsidR="00264539" w:rsidRDefault="002645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6D339" w14:textId="77777777" w:rsidR="00264539" w:rsidRDefault="002645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1A7366"/>
    <w:multiLevelType w:val="hybridMultilevel"/>
    <w:tmpl w:val="9542826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30"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32" w15:restartNumberingAfterBreak="0">
    <w:nsid w:val="6FA84D31"/>
    <w:multiLevelType w:val="hybridMultilevel"/>
    <w:tmpl w:val="4790E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8"/>
  </w:num>
  <w:num w:numId="4">
    <w:abstractNumId w:val="19"/>
  </w:num>
  <w:num w:numId="5">
    <w:abstractNumId w:val="16"/>
  </w:num>
  <w:num w:numId="6">
    <w:abstractNumId w:val="22"/>
  </w:num>
  <w:num w:numId="7">
    <w:abstractNumId w:val="25"/>
  </w:num>
  <w:num w:numId="8">
    <w:abstractNumId w:val="17"/>
  </w:num>
  <w:num w:numId="9">
    <w:abstractNumId w:val="15"/>
  </w:num>
  <w:num w:numId="10">
    <w:abstractNumId w:val="3"/>
  </w:num>
  <w:num w:numId="11">
    <w:abstractNumId w:val="2"/>
  </w:num>
  <w:num w:numId="12">
    <w:abstractNumId w:val="1"/>
  </w:num>
  <w:num w:numId="13">
    <w:abstractNumId w:val="24"/>
  </w:num>
  <w:num w:numId="14">
    <w:abstractNumId w:val="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8"/>
  </w:num>
  <w:num w:numId="18">
    <w:abstractNumId w:val="12"/>
  </w:num>
  <w:num w:numId="19">
    <w:abstractNumId w:val="10"/>
  </w:num>
  <w:num w:numId="20">
    <w:abstractNumId w:val="14"/>
  </w:num>
  <w:num w:numId="21">
    <w:abstractNumId w:val="33"/>
  </w:num>
  <w:num w:numId="22">
    <w:abstractNumId w:val="11"/>
  </w:num>
  <w:num w:numId="23">
    <w:abstractNumId w:val="6"/>
  </w:num>
  <w:num w:numId="24">
    <w:abstractNumId w:val="20"/>
  </w:num>
  <w:num w:numId="25">
    <w:abstractNumId w:val="26"/>
  </w:num>
  <w:num w:numId="26">
    <w:abstractNumId w:val="27"/>
  </w:num>
  <w:num w:numId="27">
    <w:abstractNumId w:val="21"/>
  </w:num>
  <w:num w:numId="28">
    <w:abstractNumId w:val="13"/>
  </w:num>
  <w:num w:numId="29">
    <w:abstractNumId w:val="30"/>
  </w:num>
  <w:num w:numId="30">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5"/>
  </w:num>
  <w:num w:numId="34">
    <w:abstractNumId w:val="8"/>
  </w:num>
  <w:num w:numId="3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F22"/>
    <w:rsid w:val="000444EF"/>
    <w:rsid w:val="000514FC"/>
    <w:rsid w:val="000526D5"/>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255C"/>
    <w:rsid w:val="001D51BA"/>
    <w:rsid w:val="001D6342"/>
    <w:rsid w:val="001D6D53"/>
    <w:rsid w:val="001E58E2"/>
    <w:rsid w:val="001E7AED"/>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2C3"/>
    <w:rsid w:val="00225C54"/>
    <w:rsid w:val="00230765"/>
    <w:rsid w:val="002319E4"/>
    <w:rsid w:val="00235632"/>
    <w:rsid w:val="00235872"/>
    <w:rsid w:val="00237A3A"/>
    <w:rsid w:val="00241559"/>
    <w:rsid w:val="002435B3"/>
    <w:rsid w:val="002458EB"/>
    <w:rsid w:val="002500C8"/>
    <w:rsid w:val="00257543"/>
    <w:rsid w:val="002617E7"/>
    <w:rsid w:val="00264228"/>
    <w:rsid w:val="00264334"/>
    <w:rsid w:val="00264539"/>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771"/>
    <w:rsid w:val="002F37A9"/>
    <w:rsid w:val="00301CE6"/>
    <w:rsid w:val="0030256B"/>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70E47"/>
    <w:rsid w:val="003742AC"/>
    <w:rsid w:val="00377CE1"/>
    <w:rsid w:val="00385BF0"/>
    <w:rsid w:val="00392F7A"/>
    <w:rsid w:val="003939FF"/>
    <w:rsid w:val="003A2223"/>
    <w:rsid w:val="003A27A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7B0"/>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46A6"/>
    <w:rsid w:val="004669E2"/>
    <w:rsid w:val="00470C31"/>
    <w:rsid w:val="004734D0"/>
    <w:rsid w:val="00474D3A"/>
    <w:rsid w:val="0047556B"/>
    <w:rsid w:val="0047688E"/>
    <w:rsid w:val="00477768"/>
    <w:rsid w:val="00492BC5"/>
    <w:rsid w:val="004964F1"/>
    <w:rsid w:val="004A16BC"/>
    <w:rsid w:val="004A2B94"/>
    <w:rsid w:val="004B2CE6"/>
    <w:rsid w:val="004B7C0C"/>
    <w:rsid w:val="004C3898"/>
    <w:rsid w:val="004C6405"/>
    <w:rsid w:val="004D36B1"/>
    <w:rsid w:val="004D7EBD"/>
    <w:rsid w:val="004E2680"/>
    <w:rsid w:val="004E28F9"/>
    <w:rsid w:val="004E462E"/>
    <w:rsid w:val="004E4813"/>
    <w:rsid w:val="004E56DC"/>
    <w:rsid w:val="004E76F4"/>
    <w:rsid w:val="004F0445"/>
    <w:rsid w:val="004F0B4E"/>
    <w:rsid w:val="004F0B6C"/>
    <w:rsid w:val="004F2078"/>
    <w:rsid w:val="004F2FEB"/>
    <w:rsid w:val="004F4DA3"/>
    <w:rsid w:val="0050619F"/>
    <w:rsid w:val="00506557"/>
    <w:rsid w:val="0050677A"/>
    <w:rsid w:val="005108D8"/>
    <w:rsid w:val="005116F9"/>
    <w:rsid w:val="005153A7"/>
    <w:rsid w:val="005154B1"/>
    <w:rsid w:val="005219CF"/>
    <w:rsid w:val="00532D41"/>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1003"/>
    <w:rsid w:val="006817C9"/>
    <w:rsid w:val="00683ECE"/>
    <w:rsid w:val="0068756A"/>
    <w:rsid w:val="00695FC2"/>
    <w:rsid w:val="00696949"/>
    <w:rsid w:val="00697052"/>
    <w:rsid w:val="006A46FB"/>
    <w:rsid w:val="006A5E28"/>
    <w:rsid w:val="006A697B"/>
    <w:rsid w:val="006A7AFF"/>
    <w:rsid w:val="006B1816"/>
    <w:rsid w:val="006B2099"/>
    <w:rsid w:val="006B50CF"/>
    <w:rsid w:val="006B5B0F"/>
    <w:rsid w:val="006C03B8"/>
    <w:rsid w:val="006C183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4D34"/>
    <w:rsid w:val="00757053"/>
    <w:rsid w:val="007571E1"/>
    <w:rsid w:val="007604B2"/>
    <w:rsid w:val="00765281"/>
    <w:rsid w:val="00766BAD"/>
    <w:rsid w:val="007730BD"/>
    <w:rsid w:val="00774438"/>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7D17"/>
    <w:rsid w:val="00827D6F"/>
    <w:rsid w:val="008376AC"/>
    <w:rsid w:val="00843433"/>
    <w:rsid w:val="00843C1E"/>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1AF"/>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5AA"/>
    <w:rsid w:val="0096430A"/>
    <w:rsid w:val="0096554B"/>
    <w:rsid w:val="0096584A"/>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3998"/>
    <w:rsid w:val="00C279B5"/>
    <w:rsid w:val="00C27C45"/>
    <w:rsid w:val="00C31765"/>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B1F63"/>
    <w:rsid w:val="00CB7170"/>
    <w:rsid w:val="00CB7D95"/>
    <w:rsid w:val="00CC040E"/>
    <w:rsid w:val="00CC111F"/>
    <w:rsid w:val="00CC2011"/>
    <w:rsid w:val="00CC3EA0"/>
    <w:rsid w:val="00CC52DC"/>
    <w:rsid w:val="00CC7B45"/>
    <w:rsid w:val="00CD1188"/>
    <w:rsid w:val="00CD2ED1"/>
    <w:rsid w:val="00CD337B"/>
    <w:rsid w:val="00CE0424"/>
    <w:rsid w:val="00CE36E3"/>
    <w:rsid w:val="00CE5994"/>
    <w:rsid w:val="00CE7561"/>
    <w:rsid w:val="00CF1354"/>
    <w:rsid w:val="00CF3B1F"/>
    <w:rsid w:val="00CF3BF6"/>
    <w:rsid w:val="00CF625B"/>
    <w:rsid w:val="00CF687E"/>
    <w:rsid w:val="00D0349B"/>
    <w:rsid w:val="00D10249"/>
    <w:rsid w:val="00D115C3"/>
    <w:rsid w:val="00D11897"/>
    <w:rsid w:val="00D13135"/>
    <w:rsid w:val="00D13E4E"/>
    <w:rsid w:val="00D21F5F"/>
    <w:rsid w:val="00D239A7"/>
    <w:rsid w:val="00D23F47"/>
    <w:rsid w:val="00D27862"/>
    <w:rsid w:val="00D3019D"/>
    <w:rsid w:val="00D36E71"/>
    <w:rsid w:val="00D376C5"/>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377D"/>
    <w:rsid w:val="00DC2D36"/>
    <w:rsid w:val="00DC53EF"/>
    <w:rsid w:val="00DC72DB"/>
    <w:rsid w:val="00DE1BBA"/>
    <w:rsid w:val="00DE5608"/>
    <w:rsid w:val="00DE58D0"/>
    <w:rsid w:val="00DE654F"/>
    <w:rsid w:val="00DF0B6E"/>
    <w:rsid w:val="00DF15E0"/>
    <w:rsid w:val="00DF37A0"/>
    <w:rsid w:val="00DF48C6"/>
    <w:rsid w:val="00DF4FC5"/>
    <w:rsid w:val="00DF71A0"/>
    <w:rsid w:val="00DF7C96"/>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31D4"/>
    <w:rsid w:val="00E93FFE"/>
    <w:rsid w:val="00E94420"/>
    <w:rsid w:val="00E94F8A"/>
    <w:rsid w:val="00EA60F2"/>
    <w:rsid w:val="00EA7A41"/>
    <w:rsid w:val="00EB077B"/>
    <w:rsid w:val="00EB4EA2"/>
    <w:rsid w:val="00EC27C6"/>
    <w:rsid w:val="00EC4207"/>
    <w:rsid w:val="00EC5653"/>
    <w:rsid w:val="00EC71CE"/>
    <w:rsid w:val="00ED1006"/>
    <w:rsid w:val="00EF18FE"/>
    <w:rsid w:val="00EF5787"/>
    <w:rsid w:val="00EF60D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9ACCE-5621-4136-9431-89B0F3963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1357</Words>
  <Characters>7196</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2017-08-11T15:38:00Z</dcterms:created>
  <dcterms:modified xsi:type="dcterms:W3CDTF">2017-08-11T15:38:00Z</dcterms:modified>
</cp:coreProperties>
</file>