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3385BE" w14:textId="6067F57F" w:rsidR="00AC3E64" w:rsidRPr="00CE0424" w:rsidRDefault="00AC3E64" w:rsidP="00AC3E64">
      <w:pPr>
        <w:pStyle w:val="3GPPHeader"/>
        <w:spacing w:after="60"/>
        <w:rPr>
          <w:sz w:val="32"/>
          <w:szCs w:val="32"/>
          <w:highlight w:val="yellow"/>
        </w:rPr>
      </w:pPr>
      <w:bookmarkStart w:id="0" w:name="_Ref190406817"/>
      <w:bookmarkStart w:id="1" w:name="_Toc226862296"/>
      <w:bookmarkStart w:id="2" w:name="_Toc347823621"/>
      <w:bookmarkStart w:id="3" w:name="_Toc347824073"/>
      <w:bookmarkStart w:id="4" w:name="_Toc347824246"/>
      <w:r w:rsidRPr="000A1D33">
        <w:rPr>
          <w:lang w:val="en-US"/>
        </w:rPr>
        <w:t>3GPP TSG-RAN WG1 Meeting #</w:t>
      </w:r>
      <w:r w:rsidR="00B87AB8">
        <w:rPr>
          <w:lang w:val="en-US"/>
        </w:rPr>
        <w:t>90</w:t>
      </w:r>
      <w:r w:rsidRPr="00CE0424">
        <w:tab/>
      </w:r>
      <w:r w:rsidRPr="00CE0424">
        <w:rPr>
          <w:sz w:val="32"/>
          <w:szCs w:val="32"/>
        </w:rPr>
        <w:t>R</w:t>
      </w:r>
      <w:r>
        <w:rPr>
          <w:sz w:val="32"/>
          <w:szCs w:val="32"/>
        </w:rPr>
        <w:t>1</w:t>
      </w:r>
      <w:r w:rsidRPr="00A80F84">
        <w:rPr>
          <w:sz w:val="32"/>
          <w:szCs w:val="32"/>
        </w:rPr>
        <w:t>-17</w:t>
      </w:r>
      <w:r w:rsidR="00A80F84" w:rsidRPr="00A80F84">
        <w:rPr>
          <w:sz w:val="32"/>
          <w:szCs w:val="32"/>
        </w:rPr>
        <w:t>1</w:t>
      </w:r>
      <w:r w:rsidR="00A80F84">
        <w:rPr>
          <w:sz w:val="32"/>
          <w:szCs w:val="32"/>
        </w:rPr>
        <w:t>2902</w:t>
      </w:r>
    </w:p>
    <w:p w14:paraId="18010899" w14:textId="32919CDC" w:rsidR="00625B29" w:rsidRDefault="00B87AB8" w:rsidP="00625B29">
      <w:pPr>
        <w:pStyle w:val="3GPPHeader"/>
      </w:pPr>
      <w:r>
        <w:t xml:space="preserve">Prague, </w:t>
      </w:r>
      <w:r w:rsidR="00853C54">
        <w:t>Czech Republic.</w:t>
      </w:r>
      <w:r w:rsidR="00AC3E64">
        <w:t>,</w:t>
      </w:r>
      <w:r w:rsidR="00AC3E64" w:rsidRPr="000A1D33">
        <w:t xml:space="preserve"> </w:t>
      </w:r>
      <w:r w:rsidR="00853C54">
        <w:t>21</w:t>
      </w:r>
      <w:r w:rsidR="00853C54" w:rsidRPr="00853C54">
        <w:rPr>
          <w:vertAlign w:val="superscript"/>
        </w:rPr>
        <w:t>st</w:t>
      </w:r>
      <w:r w:rsidR="00853C54">
        <w:t xml:space="preserve"> </w:t>
      </w:r>
      <w:r w:rsidR="00AC3E64">
        <w:t>–</w:t>
      </w:r>
      <w:r w:rsidR="00AC3E64" w:rsidRPr="000A1D33">
        <w:t xml:space="preserve"> </w:t>
      </w:r>
      <w:r w:rsidR="00853C54">
        <w:t>25</w:t>
      </w:r>
      <w:r w:rsidR="00AC3E64" w:rsidRPr="008E3A50">
        <w:rPr>
          <w:vertAlign w:val="superscript"/>
        </w:rPr>
        <w:t>th</w:t>
      </w:r>
      <w:r w:rsidR="00AC3E64">
        <w:t xml:space="preserve"> </w:t>
      </w:r>
      <w:r w:rsidR="00853C54">
        <w:t>Aug</w:t>
      </w:r>
      <w:r w:rsidR="00AC3E64" w:rsidRPr="000A1D33">
        <w:t xml:space="preserve"> 2017</w:t>
      </w:r>
      <w:bookmarkEnd w:id="0"/>
      <w:bookmarkEnd w:id="1"/>
      <w:bookmarkEnd w:id="2"/>
      <w:bookmarkEnd w:id="3"/>
      <w:bookmarkEnd w:id="4"/>
    </w:p>
    <w:p w14:paraId="1E0EC4D1" w14:textId="77777777" w:rsidR="00625B29" w:rsidRPr="00CE0424" w:rsidRDefault="00625B29" w:rsidP="00625B29">
      <w:pPr>
        <w:pStyle w:val="3GPPHeader"/>
      </w:pPr>
    </w:p>
    <w:p w14:paraId="7AB39558" w14:textId="61F25CEE" w:rsidR="00625B29" w:rsidRPr="00C773D8" w:rsidRDefault="00625B29" w:rsidP="00625B29">
      <w:pPr>
        <w:pStyle w:val="3GPPHeader"/>
        <w:rPr>
          <w:sz w:val="22"/>
          <w:szCs w:val="22"/>
          <w:lang w:val="en-US"/>
        </w:rPr>
      </w:pPr>
      <w:r w:rsidRPr="00C773D8">
        <w:rPr>
          <w:sz w:val="22"/>
          <w:szCs w:val="22"/>
          <w:lang w:val="en-US"/>
        </w:rPr>
        <w:t>Agenda Item:</w:t>
      </w:r>
      <w:r w:rsidRPr="00C773D8">
        <w:rPr>
          <w:sz w:val="22"/>
          <w:szCs w:val="22"/>
          <w:lang w:val="en-US"/>
        </w:rPr>
        <w:tab/>
      </w:r>
      <w:r w:rsidR="00EC199E">
        <w:rPr>
          <w:sz w:val="22"/>
          <w:szCs w:val="22"/>
          <w:lang w:val="en-US"/>
        </w:rPr>
        <w:t>5</w:t>
      </w:r>
      <w:r w:rsidR="00185C3C">
        <w:rPr>
          <w:sz w:val="22"/>
          <w:szCs w:val="22"/>
          <w:lang w:val="en-US"/>
        </w:rPr>
        <w:t>.2.1.2.3.5</w:t>
      </w:r>
    </w:p>
    <w:p w14:paraId="567540E9" w14:textId="77777777" w:rsidR="00625B29" w:rsidRPr="00CE0424" w:rsidRDefault="00625B29" w:rsidP="00625B29">
      <w:pPr>
        <w:pStyle w:val="3GPPHeader"/>
        <w:rPr>
          <w:sz w:val="22"/>
          <w:szCs w:val="22"/>
        </w:rPr>
      </w:pPr>
      <w:r>
        <w:rPr>
          <w:sz w:val="22"/>
          <w:szCs w:val="22"/>
        </w:rPr>
        <w:t>Source:</w:t>
      </w:r>
      <w:r w:rsidRPr="00CE0424">
        <w:rPr>
          <w:sz w:val="22"/>
          <w:szCs w:val="22"/>
        </w:rPr>
        <w:tab/>
        <w:t>Ericsson</w:t>
      </w:r>
    </w:p>
    <w:p w14:paraId="6B4812DE" w14:textId="15C84652" w:rsidR="00625B29" w:rsidRPr="00CE0424" w:rsidRDefault="00625B29" w:rsidP="00625B29">
      <w:pPr>
        <w:pStyle w:val="3GPPHeader"/>
        <w:ind w:left="1701" w:hanging="1701"/>
        <w:rPr>
          <w:sz w:val="22"/>
          <w:szCs w:val="22"/>
        </w:rPr>
      </w:pPr>
      <w:r>
        <w:rPr>
          <w:sz w:val="22"/>
          <w:szCs w:val="22"/>
        </w:rPr>
        <w:t>Title:</w:t>
      </w:r>
      <w:r>
        <w:rPr>
          <w:sz w:val="22"/>
          <w:szCs w:val="22"/>
        </w:rPr>
        <w:tab/>
      </w:r>
      <w:r w:rsidR="00185C3C" w:rsidRPr="00C773D8">
        <w:rPr>
          <w:rFonts w:eastAsia="MS Mincho"/>
          <w:sz w:val="22"/>
          <w:lang w:eastAsia="ja-JP"/>
        </w:rPr>
        <w:t>sPUCCH power control</w:t>
      </w:r>
    </w:p>
    <w:p w14:paraId="4708C1E3" w14:textId="275D821B" w:rsidR="00625B29" w:rsidRPr="00CE0424" w:rsidRDefault="00625B29" w:rsidP="00625B29">
      <w:pPr>
        <w:pStyle w:val="3GPPHeader"/>
        <w:rPr>
          <w:sz w:val="22"/>
          <w:szCs w:val="22"/>
        </w:rPr>
      </w:pPr>
      <w:r w:rsidRPr="00CE0424">
        <w:rPr>
          <w:sz w:val="22"/>
          <w:szCs w:val="22"/>
        </w:rPr>
        <w:t>Document for:</w:t>
      </w:r>
      <w:r w:rsidRPr="00CE0424">
        <w:rPr>
          <w:sz w:val="22"/>
          <w:szCs w:val="22"/>
        </w:rPr>
        <w:tab/>
      </w:r>
      <w:r w:rsidR="00185C3C" w:rsidRPr="005E1A31">
        <w:rPr>
          <w:sz w:val="22"/>
          <w:szCs w:val="22"/>
        </w:rPr>
        <w:t>Discussion, Decision</w:t>
      </w:r>
    </w:p>
    <w:p w14:paraId="36030964" w14:textId="77777777" w:rsidR="00625B29" w:rsidRPr="00CE0424" w:rsidRDefault="00625B29" w:rsidP="00625B29"/>
    <w:p w14:paraId="449E0946" w14:textId="77777777" w:rsidR="009E52A2" w:rsidRPr="00CE0424" w:rsidRDefault="009E52A2" w:rsidP="009E52A2">
      <w:pPr>
        <w:pStyle w:val="Heading1"/>
      </w:pPr>
      <w:r w:rsidRPr="00CE0424">
        <w:t>Introduction</w:t>
      </w:r>
    </w:p>
    <w:p w14:paraId="7DD6894F" w14:textId="1DC26323" w:rsidR="009E52A2" w:rsidRPr="004F230D" w:rsidRDefault="009E52A2" w:rsidP="009E52A2">
      <w:pPr>
        <w:pStyle w:val="BodyText"/>
        <w:rPr>
          <w:i/>
        </w:rPr>
      </w:pPr>
      <w:r>
        <w:rPr>
          <w:lang w:val="en-US"/>
        </w:rPr>
        <w:t xml:space="preserve">On the work on shortened TTI and processing time </w:t>
      </w:r>
      <w:r>
        <w:rPr>
          <w:lang w:val="en-US"/>
        </w:rPr>
        <w:fldChar w:fldCharType="begin"/>
      </w:r>
      <w:r>
        <w:rPr>
          <w:lang w:val="en-US"/>
        </w:rPr>
        <w:instrText xml:space="preserve"> REF _Ref453835673 \r \h </w:instrText>
      </w:r>
      <w:r>
        <w:rPr>
          <w:lang w:val="en-US"/>
        </w:rPr>
      </w:r>
      <w:r>
        <w:rPr>
          <w:lang w:val="en-US"/>
        </w:rPr>
        <w:fldChar w:fldCharType="separate"/>
      </w:r>
      <w:r w:rsidR="00591EB6">
        <w:rPr>
          <w:lang w:val="en-US"/>
        </w:rPr>
        <w:t>[1]</w:t>
      </w:r>
      <w:r>
        <w:rPr>
          <w:lang w:val="en-US"/>
        </w:rPr>
        <w:fldChar w:fldCharType="end"/>
      </w:r>
      <w:r>
        <w:rPr>
          <w:lang w:val="en-US"/>
        </w:rPr>
        <w:t xml:space="preserve"> the UL control channel need</w:t>
      </w:r>
      <w:r w:rsidR="00C773D8">
        <w:rPr>
          <w:lang w:val="en-US"/>
        </w:rPr>
        <w:t>s</w:t>
      </w:r>
      <w:r>
        <w:rPr>
          <w:lang w:val="en-US"/>
        </w:rPr>
        <w:t xml:space="preserve"> to be redesigned to operate on a shorter transmission duration than the 1 ms operation used today. A shorter transmission duration means a loss in coverage. To compensate for this loss, some modifications are expected to the UL control channel power control procedures.</w:t>
      </w:r>
    </w:p>
    <w:p w14:paraId="2A5E9576" w14:textId="77777777" w:rsidR="009E52A2" w:rsidRDefault="009E52A2" w:rsidP="009E52A2">
      <w:pPr>
        <w:pStyle w:val="BodyText"/>
        <w:rPr>
          <w:lang w:val="en-US"/>
        </w:rPr>
      </w:pPr>
      <w:r>
        <w:rPr>
          <w:lang w:val="en-US"/>
        </w:rPr>
        <w:t>In this contribution, we outline the sPUCCH power control procedures, based on the current PUCCH power control design.</w:t>
      </w:r>
    </w:p>
    <w:p w14:paraId="099889CA" w14:textId="77777777" w:rsidR="009E52A2" w:rsidRDefault="009E52A2" w:rsidP="009E52A2">
      <w:pPr>
        <w:pStyle w:val="Heading1"/>
      </w:pPr>
      <w:bookmarkStart w:id="5" w:name="_Ref178064866"/>
      <w:r w:rsidRPr="00CE0424">
        <w:t>Discussion</w:t>
      </w:r>
      <w:bookmarkEnd w:id="5"/>
    </w:p>
    <w:p w14:paraId="3BEACD85" w14:textId="77777777" w:rsidR="009E52A2" w:rsidRPr="00D40EEE" w:rsidRDefault="009E52A2" w:rsidP="009E52A2">
      <w:pPr>
        <w:pStyle w:val="Heading2"/>
      </w:pPr>
      <w:r>
        <w:t>PUCCH power control</w:t>
      </w:r>
    </w:p>
    <w:p w14:paraId="39DB3791" w14:textId="1BC170D1" w:rsidR="009E52A2" w:rsidRDefault="009E52A2" w:rsidP="009E52A2">
      <w:pPr>
        <w:rPr>
          <w:lang w:val="en-US"/>
        </w:rPr>
      </w:pPr>
      <w:r>
        <w:rPr>
          <w:lang w:val="en-US"/>
        </w:rPr>
        <w:t xml:space="preserve">Power control for PUCCH is defined in </w:t>
      </w:r>
      <w:r w:rsidR="00246452">
        <w:rPr>
          <w:lang w:val="en-US"/>
        </w:rPr>
        <w:t xml:space="preserve">3GPP TS </w:t>
      </w:r>
      <w:r w:rsidR="00C773D8">
        <w:rPr>
          <w:lang w:val="en-US"/>
        </w:rPr>
        <w:t xml:space="preserve">36.213 </w:t>
      </w:r>
      <w:r w:rsidR="00B87AB8">
        <w:rPr>
          <w:lang w:val="en-US"/>
        </w:rPr>
        <w:fldChar w:fldCharType="begin"/>
      </w:r>
      <w:r w:rsidR="00B87AB8">
        <w:rPr>
          <w:lang w:val="en-US"/>
        </w:rPr>
        <w:instrText xml:space="preserve"> REF _Ref489523269 \r \h </w:instrText>
      </w:r>
      <w:r w:rsidR="00B87AB8">
        <w:rPr>
          <w:lang w:val="en-US"/>
        </w:rPr>
      </w:r>
      <w:r w:rsidR="00B87AB8">
        <w:rPr>
          <w:lang w:val="en-US"/>
        </w:rPr>
        <w:fldChar w:fldCharType="separate"/>
      </w:r>
      <w:r w:rsidR="0086146C">
        <w:rPr>
          <w:lang w:val="en-US"/>
        </w:rPr>
        <w:t>[4]</w:t>
      </w:r>
      <w:r w:rsidR="00B87AB8">
        <w:rPr>
          <w:lang w:val="en-US"/>
        </w:rPr>
        <w:fldChar w:fldCharType="end"/>
      </w:r>
      <w:r w:rsidR="00B87AB8">
        <w:rPr>
          <w:lang w:val="en-US"/>
        </w:rPr>
        <w:t xml:space="preserve"> </w:t>
      </w:r>
      <w:r>
        <w:rPr>
          <w:lang w:val="en-US"/>
        </w:rPr>
        <w:t xml:space="preserve">as, for subframe </w:t>
      </w:r>
      <w:r w:rsidRPr="000032C5">
        <w:rPr>
          <w:i/>
          <w:lang w:val="en-US"/>
        </w:rPr>
        <w:t>i</w:t>
      </w:r>
      <w:r>
        <w:rPr>
          <w:lang w:val="en-US"/>
        </w:rPr>
        <w:t xml:space="preserve"> and serving cell </w:t>
      </w:r>
      <w:r w:rsidRPr="000032C5">
        <w:rPr>
          <w:i/>
          <w:lang w:val="en-US"/>
        </w:rPr>
        <w:t>c</w:t>
      </w:r>
      <w:r>
        <w:rPr>
          <w:lang w:val="en-US"/>
        </w:rPr>
        <w:t>,</w:t>
      </w:r>
    </w:p>
    <w:p w14:paraId="29EF7DC2" w14:textId="77777777" w:rsidR="009E52A2" w:rsidRDefault="009E52A2" w:rsidP="009E52A2">
      <w:pPr>
        <w:jc w:val="center"/>
      </w:pPr>
      <w:r w:rsidRPr="008227A5">
        <w:rPr>
          <w:position w:val="-48"/>
        </w:rPr>
        <w:object w:dxaOrig="9620" w:dyaOrig="1080" w14:anchorId="291216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pt;height:51.85pt" o:ole="">
            <v:imagedata r:id="rId14" o:title=""/>
          </v:shape>
          <o:OLEObject Type="Embed" ProgID="Equation.3" ShapeID="_x0000_i1025" DrawAspect="Content" ObjectID="_1564003349" r:id="rId15"/>
        </w:object>
      </w:r>
    </w:p>
    <w:p w14:paraId="63B84B46" w14:textId="77777777" w:rsidR="009E52A2" w:rsidRDefault="009E52A2" w:rsidP="009E52A2">
      <w:r>
        <w:t>for PUCCH format 1/1a/1b/2/2a/2b/3 and</w:t>
      </w:r>
    </w:p>
    <w:p w14:paraId="302CA76E" w14:textId="77777777" w:rsidR="009E52A2" w:rsidRDefault="009E52A2" w:rsidP="009E52A2">
      <w:pPr>
        <w:jc w:val="center"/>
      </w:pPr>
      <w:r w:rsidRPr="0070535B">
        <w:rPr>
          <w:position w:val="-48"/>
        </w:rPr>
        <w:object w:dxaOrig="10100" w:dyaOrig="1080" w14:anchorId="35F3E17E">
          <v:shape id="_x0000_i1026" type="#_x0000_t75" style="width:472.3pt;height:50.1pt" o:ole="">
            <v:imagedata r:id="rId16" o:title=""/>
          </v:shape>
          <o:OLEObject Type="Embed" ProgID="Equation.3" ShapeID="_x0000_i1026" DrawAspect="Content" ObjectID="_1564003350" r:id="rId17"/>
        </w:object>
      </w:r>
    </w:p>
    <w:p w14:paraId="3C1FE920" w14:textId="77777777" w:rsidR="009E52A2" w:rsidRDefault="009E52A2" w:rsidP="009E52A2">
      <w:pPr>
        <w:jc w:val="left"/>
        <w:rPr>
          <w:lang w:val="en-US"/>
        </w:rPr>
      </w:pPr>
      <w:r>
        <w:rPr>
          <w:lang w:val="en-US"/>
        </w:rPr>
        <w:t>for PUCCH format 4/5,</w:t>
      </w:r>
    </w:p>
    <w:p w14:paraId="2F3F3303" w14:textId="77777777" w:rsidR="009E52A2" w:rsidRDefault="009E52A2" w:rsidP="009E52A2">
      <w:pPr>
        <w:jc w:val="left"/>
        <w:rPr>
          <w:lang w:val="en-US"/>
        </w:rPr>
      </w:pPr>
      <w:r>
        <w:rPr>
          <w:lang w:val="en-US"/>
        </w:rPr>
        <w:t>where</w:t>
      </w:r>
    </w:p>
    <w:p w14:paraId="2694D162" w14:textId="77777777" w:rsidR="009E52A2" w:rsidRPr="004B398E" w:rsidRDefault="009E52A2" w:rsidP="009E52A2">
      <w:pPr>
        <w:numPr>
          <w:ilvl w:val="0"/>
          <w:numId w:val="23"/>
        </w:numPr>
        <w:jc w:val="left"/>
        <w:rPr>
          <w:lang w:val="en-US"/>
        </w:rPr>
      </w:pPr>
      <w:r w:rsidRPr="00B44716">
        <w:rPr>
          <w:position w:val="-14"/>
        </w:rPr>
        <w:object w:dxaOrig="980" w:dyaOrig="380" w14:anchorId="681E5C96">
          <v:shape id="_x0000_i1027" type="#_x0000_t75" style="width:50.1pt;height:19pt" o:ole="">
            <v:imagedata r:id="rId18" o:title=""/>
          </v:shape>
          <o:OLEObject Type="Embed" ProgID="Equation.3" ShapeID="_x0000_i1027" DrawAspect="Content" ObjectID="_1564003351" r:id="rId19"/>
        </w:object>
      </w:r>
      <w:r>
        <w:t xml:space="preserve"> is the maximum transmit power.</w:t>
      </w:r>
    </w:p>
    <w:p w14:paraId="36316788" w14:textId="77777777" w:rsidR="009E52A2" w:rsidRPr="00DC3B3C" w:rsidRDefault="009E52A2" w:rsidP="009E52A2">
      <w:pPr>
        <w:numPr>
          <w:ilvl w:val="0"/>
          <w:numId w:val="23"/>
        </w:numPr>
        <w:jc w:val="left"/>
        <w:rPr>
          <w:lang w:val="en-US"/>
        </w:rPr>
      </w:pPr>
      <w:r w:rsidRPr="00A4015E">
        <w:rPr>
          <w:position w:val="-14"/>
        </w:rPr>
        <w:object w:dxaOrig="800" w:dyaOrig="380" w14:anchorId="6FD2E113">
          <v:shape id="_x0000_i1028" type="#_x0000_t75" style="width:39.75pt;height:19pt" o:ole="">
            <v:imagedata r:id="rId20" o:title=""/>
          </v:shape>
          <o:OLEObject Type="Embed" ProgID="Equation.3" ShapeID="_x0000_i1028" DrawAspect="Content" ObjectID="_1564003352" r:id="rId21"/>
        </w:object>
      </w:r>
      <w:r>
        <w:t xml:space="preserve"> is the target received power, constituted by the sum of a cell specific and UE specific value.</w:t>
      </w:r>
    </w:p>
    <w:p w14:paraId="205D9876" w14:textId="77777777" w:rsidR="009E52A2" w:rsidRPr="0065675D" w:rsidRDefault="009E52A2" w:rsidP="009E52A2">
      <w:pPr>
        <w:numPr>
          <w:ilvl w:val="0"/>
          <w:numId w:val="23"/>
        </w:numPr>
        <w:jc w:val="left"/>
        <w:rPr>
          <w:lang w:val="en-US"/>
        </w:rPr>
      </w:pPr>
      <w:r w:rsidRPr="0065675D">
        <w:rPr>
          <w:position w:val="-12"/>
        </w:rPr>
        <w:object w:dxaOrig="440" w:dyaOrig="360" w14:anchorId="0811760A">
          <v:shape id="_x0000_i1029" type="#_x0000_t75" style="width:21.9pt;height:17.85pt" o:ole="">
            <v:imagedata r:id="rId22" o:title=""/>
          </v:shape>
          <o:OLEObject Type="Embed" ProgID="Equation.3" ShapeID="_x0000_i1029" DrawAspect="Content" ObjectID="_1564003353" r:id="rId23"/>
        </w:object>
      </w:r>
      <w:r>
        <w:t xml:space="preserve"> is the downlink path loss estimate.</w:t>
      </w:r>
    </w:p>
    <w:p w14:paraId="41AEA85B" w14:textId="77777777" w:rsidR="009E52A2" w:rsidRPr="002640A3" w:rsidRDefault="009E52A2" w:rsidP="009E52A2">
      <w:pPr>
        <w:numPr>
          <w:ilvl w:val="0"/>
          <w:numId w:val="23"/>
        </w:numPr>
        <w:jc w:val="left"/>
        <w:rPr>
          <w:lang w:val="en-US"/>
        </w:rPr>
      </w:pPr>
      <w:r w:rsidRPr="00E9040D">
        <w:rPr>
          <w:position w:val="-14"/>
        </w:rPr>
        <w:object w:dxaOrig="1780" w:dyaOrig="340" w14:anchorId="20EA12E9">
          <v:shape id="_x0000_i1030" type="#_x0000_t75" style="width:88.15pt;height:16.15pt" o:ole="">
            <v:imagedata r:id="rId24" o:title=""/>
          </v:shape>
          <o:OLEObject Type="Embed" ProgID="Equation.3" ShapeID="_x0000_i1030" DrawAspect="Content" ObjectID="_1564003354" r:id="rId25"/>
        </w:object>
      </w:r>
      <w:r>
        <w:t xml:space="preserve"> is a PUCCH format dependent value that reflects cases with larger payload.</w:t>
      </w:r>
    </w:p>
    <w:p w14:paraId="647D7B74" w14:textId="77777777" w:rsidR="009E52A2" w:rsidRPr="00D04EEA" w:rsidRDefault="009E52A2" w:rsidP="009E52A2">
      <w:pPr>
        <w:numPr>
          <w:ilvl w:val="0"/>
          <w:numId w:val="23"/>
        </w:numPr>
        <w:jc w:val="left"/>
        <w:rPr>
          <w:lang w:val="en-US"/>
        </w:rPr>
      </w:pPr>
      <w:r w:rsidRPr="00A24D34">
        <w:rPr>
          <w:position w:val="-14"/>
        </w:rPr>
        <w:object w:dxaOrig="1120" w:dyaOrig="380" w14:anchorId="4EE42DBD">
          <v:shape id="_x0000_i1031" type="#_x0000_t75" style="width:55.85pt;height:19pt" o:ole="">
            <v:imagedata r:id="rId26" o:title=""/>
          </v:shape>
          <o:OLEObject Type="Embed" ProgID="Equation.3" ShapeID="_x0000_i1031" DrawAspect="Content" ObjectID="_1564003355" r:id="rId27"/>
        </w:object>
      </w:r>
      <w:r>
        <w:t xml:space="preserve"> is the number of resource blocks for PUCCH format 4, equals 1 for all other formats.</w:t>
      </w:r>
    </w:p>
    <w:p w14:paraId="3CF60D86" w14:textId="77777777" w:rsidR="009E52A2" w:rsidRPr="00D04EEA" w:rsidRDefault="009E52A2" w:rsidP="009E52A2">
      <w:pPr>
        <w:numPr>
          <w:ilvl w:val="0"/>
          <w:numId w:val="23"/>
        </w:numPr>
        <w:jc w:val="left"/>
        <w:rPr>
          <w:lang w:val="en-US"/>
        </w:rPr>
      </w:pPr>
      <w:r w:rsidRPr="00E9040D">
        <w:rPr>
          <w:position w:val="-14"/>
        </w:rPr>
        <w:object w:dxaOrig="1140" w:dyaOrig="340" w14:anchorId="22BB953C">
          <v:shape id="_x0000_i1032" type="#_x0000_t75" style="width:57pt;height:16.15pt" o:ole="">
            <v:imagedata r:id="rId28" o:title=""/>
          </v:shape>
          <o:OLEObject Type="Embed" ProgID="Equation.3" ShapeID="_x0000_i1032" DrawAspect="Content" ObjectID="_1564003356" r:id="rId29"/>
        </w:object>
      </w:r>
      <w:r>
        <w:t xml:space="preserve"> is a relation in dB between PUCCH format </w:t>
      </w:r>
      <w:r w:rsidRPr="00D04EEA">
        <w:rPr>
          <w:i/>
        </w:rPr>
        <w:t>F</w:t>
      </w:r>
      <w:r>
        <w:t xml:space="preserve"> and PUCCH format 1a.</w:t>
      </w:r>
    </w:p>
    <w:p w14:paraId="4671953C" w14:textId="47237BAA" w:rsidR="009E52A2" w:rsidRPr="00FE274E" w:rsidRDefault="009E52A2" w:rsidP="009E52A2">
      <w:pPr>
        <w:numPr>
          <w:ilvl w:val="0"/>
          <w:numId w:val="23"/>
        </w:numPr>
        <w:rPr>
          <w:lang w:val="en-US"/>
        </w:rPr>
      </w:pPr>
      <w:r w:rsidRPr="0065675D">
        <w:rPr>
          <w:position w:val="-14"/>
        </w:rPr>
        <w:object w:dxaOrig="800" w:dyaOrig="380" w14:anchorId="1158F604">
          <v:shape id="_x0000_i1033" type="#_x0000_t75" style="width:39.75pt;height:19pt" o:ole="">
            <v:imagedata r:id="rId30" o:title=""/>
          </v:shape>
          <o:OLEObject Type="Embed" ProgID="Equation.3" ShapeID="_x0000_i1033" DrawAspect="Content" ObjectID="_1564003357" r:id="rId31"/>
        </w:object>
      </w:r>
      <w:r>
        <w:t xml:space="preserve"> is an adjustment factor depending on number of coded bits that is exactly specified in</w:t>
      </w:r>
      <w:r w:rsidR="00B87AB8">
        <w:t xml:space="preserve"> </w:t>
      </w:r>
      <w:r w:rsidR="00B87AB8">
        <w:fldChar w:fldCharType="begin"/>
      </w:r>
      <w:r w:rsidR="00B87AB8">
        <w:instrText xml:space="preserve"> REF _Ref489523269 \r \h </w:instrText>
      </w:r>
      <w:r w:rsidR="00B87AB8">
        <w:fldChar w:fldCharType="separate"/>
      </w:r>
      <w:r w:rsidR="0086146C">
        <w:t>[4]</w:t>
      </w:r>
      <w:r w:rsidR="00B87AB8">
        <w:fldChar w:fldCharType="end"/>
      </w:r>
      <w:r>
        <w:t>.</w:t>
      </w:r>
      <w:r w:rsidRPr="00FE274E" w:rsidDel="00FE4B4A">
        <w:rPr>
          <w:lang w:val="en-US"/>
        </w:rPr>
        <w:t xml:space="preserve"> </w:t>
      </w:r>
    </w:p>
    <w:p w14:paraId="0E770A8C" w14:textId="77777777" w:rsidR="009E52A2" w:rsidRPr="00FE274E" w:rsidRDefault="009E52A2" w:rsidP="009E52A2">
      <w:pPr>
        <w:numPr>
          <w:ilvl w:val="0"/>
          <w:numId w:val="23"/>
        </w:numPr>
        <w:rPr>
          <w:lang w:val="en-US"/>
        </w:rPr>
      </w:pPr>
      <w:r w:rsidRPr="00E9040D">
        <w:rPr>
          <w:position w:val="-10"/>
        </w:rPr>
        <w:object w:dxaOrig="859" w:dyaOrig="300" w14:anchorId="1CE2BB6A">
          <v:shape id="_x0000_i1034" type="#_x0000_t75" style="width:43.2pt;height:15.55pt" o:ole="">
            <v:imagedata r:id="rId32" o:title=""/>
          </v:shape>
          <o:OLEObject Type="Embed" ProgID="Equation.3" ShapeID="_x0000_i1034" DrawAspect="Content" ObjectID="_1564003358" r:id="rId33"/>
        </w:object>
      </w:r>
      <w:r>
        <w:t xml:space="preserve"> depends on the number of antenna ports configured for PUCCH.</w:t>
      </w:r>
    </w:p>
    <w:p w14:paraId="07DC57FB" w14:textId="77777777" w:rsidR="009E52A2" w:rsidRPr="00B85603" w:rsidRDefault="009E52A2" w:rsidP="009E52A2">
      <w:pPr>
        <w:numPr>
          <w:ilvl w:val="0"/>
          <w:numId w:val="23"/>
        </w:numPr>
        <w:jc w:val="left"/>
        <w:rPr>
          <w:lang w:val="en-US"/>
        </w:rPr>
      </w:pPr>
      <w:r w:rsidRPr="00482874">
        <w:rPr>
          <w:position w:val="-10"/>
        </w:rPr>
        <w:object w:dxaOrig="440" w:dyaOrig="340" w14:anchorId="413CA1AE">
          <v:shape id="_x0000_i1035" type="#_x0000_t75" style="width:21.9pt;height:16.15pt" o:ole="">
            <v:imagedata r:id="rId34" o:title=""/>
          </v:shape>
          <o:OLEObject Type="Embed" ProgID="Equation.3" ShapeID="_x0000_i1035" DrawAspect="Content" ObjectID="_1564003359" r:id="rId35"/>
        </w:object>
      </w:r>
      <w:r>
        <w:t xml:space="preserve"> is the closed loop power control state and is updated using </w:t>
      </w:r>
      <w:r w:rsidRPr="00F615EC">
        <w:rPr>
          <w:position w:val="-12"/>
        </w:rPr>
        <w:object w:dxaOrig="680" w:dyaOrig="360" w14:anchorId="4E1377B0">
          <v:shape id="_x0000_i1036" type="#_x0000_t75" style="width:34pt;height:17.85pt" o:ole="">
            <v:imagedata r:id="rId36" o:title=""/>
          </v:shape>
          <o:OLEObject Type="Embed" ProgID="Equation.3" ShapeID="_x0000_i1036" DrawAspect="Content" ObjectID="_1564003360" r:id="rId37"/>
        </w:object>
      </w:r>
      <w:r>
        <w:t xml:space="preserve"> signalled in the downlink assignment.</w:t>
      </w:r>
    </w:p>
    <w:p w14:paraId="2B27F7B9" w14:textId="77777777" w:rsidR="009E52A2" w:rsidRDefault="009E52A2" w:rsidP="009E52A2">
      <w:pPr>
        <w:pStyle w:val="Heading3"/>
        <w:rPr>
          <w:lang w:val="en-US"/>
        </w:rPr>
      </w:pPr>
      <w:r>
        <w:rPr>
          <w:lang w:val="en-US"/>
        </w:rPr>
        <w:t>PUCCH power control impact due to sTTI collisions</w:t>
      </w:r>
    </w:p>
    <w:p w14:paraId="37574F3F" w14:textId="0B865B31" w:rsidR="009E52A2" w:rsidRDefault="009E52A2" w:rsidP="009E52A2">
      <w:pPr>
        <w:rPr>
          <w:lang w:val="en-US"/>
        </w:rPr>
      </w:pPr>
      <w:r>
        <w:rPr>
          <w:lang w:val="en-US"/>
        </w:rPr>
        <w:t xml:space="preserve">With the introduction of sTTI comes also the case that the UE has to handle collisions </w:t>
      </w:r>
      <w:r w:rsidR="003A4BAC">
        <w:rPr>
          <w:lang w:val="en-US"/>
        </w:rPr>
        <w:t>between</w:t>
      </w:r>
      <w:r>
        <w:rPr>
          <w:lang w:val="en-US"/>
        </w:rPr>
        <w:t xml:space="preserve"> sTTI and TTI. The details of these are still under discussion </w:t>
      </w:r>
      <w:r w:rsidR="0054589F">
        <w:rPr>
          <w:lang w:val="en-US"/>
        </w:rPr>
        <w:fldChar w:fldCharType="begin"/>
      </w:r>
      <w:r w:rsidR="0054589F">
        <w:rPr>
          <w:lang w:val="en-US"/>
        </w:rPr>
        <w:instrText xml:space="preserve"> REF _Ref481752572 \r \h </w:instrText>
      </w:r>
      <w:r w:rsidR="0054589F">
        <w:rPr>
          <w:lang w:val="en-US"/>
        </w:rPr>
      </w:r>
      <w:r w:rsidR="0054589F">
        <w:rPr>
          <w:lang w:val="en-US"/>
        </w:rPr>
        <w:fldChar w:fldCharType="separate"/>
      </w:r>
      <w:r w:rsidR="0086146C">
        <w:rPr>
          <w:lang w:val="en-US"/>
        </w:rPr>
        <w:t>[3]</w:t>
      </w:r>
      <w:r w:rsidR="0054589F">
        <w:rPr>
          <w:lang w:val="en-US"/>
        </w:rPr>
        <w:fldChar w:fldCharType="end"/>
      </w:r>
      <w:bookmarkStart w:id="6" w:name="_GoBack"/>
      <w:bookmarkEnd w:id="6"/>
      <w:r>
        <w:rPr>
          <w:lang w:val="en-US"/>
        </w:rPr>
        <w:t>. It could be noted that for some solutions, the PUCCH is dropped on slot level, and hence the UCI is transmitted with half the power compared to the case if no collisions occured. If this is part of the adopted solutions in the end to handle sTTI/TTI collisions, a corresponding power boost should be applied to compensate for the lost transmission duration of PUCCH.</w:t>
      </w:r>
    </w:p>
    <w:p w14:paraId="2B87F1F7" w14:textId="77777777" w:rsidR="009E52A2" w:rsidRPr="00F72264" w:rsidRDefault="009E52A2" w:rsidP="009E52A2">
      <w:pPr>
        <w:pStyle w:val="Observation"/>
        <w:ind w:left="1701" w:hanging="1701"/>
        <w:rPr>
          <w:lang w:val="en-US"/>
        </w:rPr>
      </w:pPr>
      <w:bookmarkStart w:id="7" w:name="_Toc481159182"/>
      <w:bookmarkStart w:id="8" w:name="_Toc481159213"/>
      <w:bookmarkStart w:id="9" w:name="_Toc481680276"/>
      <w:bookmarkStart w:id="10" w:name="_Toc481752475"/>
      <w:bookmarkStart w:id="11" w:name="_Toc481752611"/>
      <w:bookmarkStart w:id="12" w:name="_Toc481754035"/>
      <w:bookmarkStart w:id="13" w:name="_Toc489523106"/>
      <w:bookmarkStart w:id="14" w:name="_Toc489533770"/>
      <w:bookmarkStart w:id="15" w:name="_Toc489550088"/>
      <w:bookmarkStart w:id="16" w:name="_Toc489970439"/>
      <w:r>
        <w:rPr>
          <w:lang w:val="en-US"/>
        </w:rPr>
        <w:t>There could be impact to the PUCCH power control due to the introduction of sTTI, depending on how sTTI/TTI collisions in the same UE are handled.</w:t>
      </w:r>
      <w:bookmarkEnd w:id="7"/>
      <w:bookmarkEnd w:id="8"/>
      <w:bookmarkEnd w:id="9"/>
      <w:bookmarkEnd w:id="10"/>
      <w:bookmarkEnd w:id="11"/>
      <w:bookmarkEnd w:id="12"/>
      <w:bookmarkEnd w:id="13"/>
      <w:bookmarkEnd w:id="14"/>
      <w:bookmarkEnd w:id="15"/>
      <w:bookmarkEnd w:id="16"/>
    </w:p>
    <w:p w14:paraId="195A4E8D" w14:textId="77777777" w:rsidR="009E52A2" w:rsidRDefault="009E52A2" w:rsidP="009E52A2">
      <w:pPr>
        <w:pStyle w:val="Heading2"/>
        <w:rPr>
          <w:lang w:val="en-US"/>
        </w:rPr>
      </w:pPr>
      <w:r>
        <w:rPr>
          <w:lang w:val="en-US"/>
        </w:rPr>
        <w:t>sPUCCH power control</w:t>
      </w:r>
    </w:p>
    <w:p w14:paraId="38842514" w14:textId="77777777" w:rsidR="009E52A2" w:rsidRDefault="009E52A2" w:rsidP="009E52A2">
      <w:pPr>
        <w:jc w:val="left"/>
        <w:rPr>
          <w:lang w:val="en-US"/>
        </w:rPr>
      </w:pPr>
      <w:r>
        <w:rPr>
          <w:lang w:val="en-US"/>
        </w:rPr>
        <w:t xml:space="preserve">In principle a similar equation as for PUCCH can be used for sPUCCH power control. </w:t>
      </w:r>
    </w:p>
    <w:p w14:paraId="408F5066" w14:textId="77777777" w:rsidR="009E52A2" w:rsidRPr="00E6305B" w:rsidRDefault="009E52A2" w:rsidP="009E52A2">
      <w:pPr>
        <w:pStyle w:val="Proposal"/>
        <w:tabs>
          <w:tab w:val="clear" w:pos="1304"/>
        </w:tabs>
        <w:ind w:left="1701" w:hanging="1701"/>
      </w:pPr>
      <w:bookmarkStart w:id="17" w:name="_Toc481159185"/>
      <w:bookmarkStart w:id="18" w:name="_Toc481159216"/>
      <w:bookmarkStart w:id="19" w:name="_Toc481680279"/>
      <w:bookmarkStart w:id="20" w:name="_Toc481752478"/>
      <w:bookmarkStart w:id="21" w:name="_Toc481752614"/>
      <w:bookmarkStart w:id="22" w:name="_Toc481754038"/>
      <w:bookmarkStart w:id="23" w:name="_Toc489523109"/>
      <w:bookmarkStart w:id="24" w:name="_Toc489533773"/>
      <w:bookmarkStart w:id="25" w:name="_Toc489550091"/>
      <w:bookmarkStart w:id="26" w:name="_Toc489970442"/>
      <w:r>
        <w:t xml:space="preserve">The </w:t>
      </w:r>
      <w:r w:rsidRPr="007952E7">
        <w:t xml:space="preserve">power control for sPUCCH should be widely based on the </w:t>
      </w:r>
      <w:r>
        <w:t>procedure</w:t>
      </w:r>
      <w:r w:rsidRPr="007952E7">
        <w:t xml:space="preserve"> defined for PUCCH</w:t>
      </w:r>
      <w:r>
        <w:t xml:space="preserve"> power control</w:t>
      </w:r>
      <w:bookmarkEnd w:id="17"/>
      <w:bookmarkEnd w:id="18"/>
      <w:bookmarkEnd w:id="19"/>
      <w:bookmarkEnd w:id="20"/>
      <w:bookmarkEnd w:id="21"/>
      <w:bookmarkEnd w:id="22"/>
      <w:bookmarkEnd w:id="23"/>
      <w:bookmarkEnd w:id="24"/>
      <w:bookmarkEnd w:id="25"/>
      <w:bookmarkEnd w:id="26"/>
    </w:p>
    <w:p w14:paraId="550C349E" w14:textId="77777777" w:rsidR="009E52A2" w:rsidRDefault="009E52A2" w:rsidP="009E52A2">
      <w:pPr>
        <w:tabs>
          <w:tab w:val="left" w:pos="8695"/>
        </w:tabs>
        <w:jc w:val="left"/>
        <w:rPr>
          <w:lang w:val="en-US"/>
        </w:rPr>
      </w:pPr>
      <w:r>
        <w:rPr>
          <w:lang w:val="en-US"/>
        </w:rPr>
        <w:t>There will be at least two formats of sPUCCH defined for each supported UL sTTI length. The final number of formats is however not decided upon yet, and hence the performance is not known.</w:t>
      </w:r>
    </w:p>
    <w:p w14:paraId="504B69E3" w14:textId="77777777" w:rsidR="009E52A2" w:rsidRDefault="009E52A2" w:rsidP="009E52A2">
      <w:pPr>
        <w:pStyle w:val="Observation"/>
        <w:ind w:left="1701" w:hanging="1701"/>
        <w:rPr>
          <w:lang w:val="en-US"/>
        </w:rPr>
      </w:pPr>
      <w:r>
        <w:rPr>
          <w:lang w:val="en-US"/>
        </w:rPr>
        <w:tab/>
      </w:r>
      <w:bookmarkStart w:id="27" w:name="_Toc481159183"/>
      <w:bookmarkStart w:id="28" w:name="_Toc481159214"/>
      <w:bookmarkStart w:id="29" w:name="_Toc481680277"/>
      <w:bookmarkStart w:id="30" w:name="_Toc481752476"/>
      <w:bookmarkStart w:id="31" w:name="_Toc481752612"/>
      <w:bookmarkStart w:id="32" w:name="_Toc481754036"/>
      <w:bookmarkStart w:id="33" w:name="_Toc489523107"/>
      <w:bookmarkStart w:id="34" w:name="_Toc489533771"/>
      <w:bookmarkStart w:id="35" w:name="_Toc489550089"/>
      <w:bookmarkStart w:id="36" w:name="_Toc489970440"/>
      <w:r>
        <w:rPr>
          <w:lang w:val="en-US"/>
        </w:rPr>
        <w:t>The sPUCCH power control cannot be finalized before all sPUCCH formats are decided upon</w:t>
      </w:r>
      <w:bookmarkEnd w:id="27"/>
      <w:bookmarkEnd w:id="28"/>
      <w:bookmarkEnd w:id="29"/>
      <w:bookmarkEnd w:id="30"/>
      <w:bookmarkEnd w:id="31"/>
      <w:bookmarkEnd w:id="32"/>
      <w:bookmarkEnd w:id="33"/>
      <w:bookmarkEnd w:id="34"/>
      <w:bookmarkEnd w:id="35"/>
      <w:bookmarkEnd w:id="36"/>
    </w:p>
    <w:p w14:paraId="782A1728" w14:textId="77777777" w:rsidR="009E52A2" w:rsidRDefault="009E52A2" w:rsidP="009E52A2">
      <w:pPr>
        <w:jc w:val="left"/>
      </w:pPr>
      <w:r>
        <w:rPr>
          <w:lang w:val="en-US"/>
        </w:rPr>
        <w:t xml:space="preserve">Link level simulations have shown that independently of the selected sPUCCH format(s) a larger SNR is required for sPUCCH compared to PUCCH in order to reach similar performance in terms of </w:t>
      </w:r>
      <w:r>
        <w:t>ACK missed detection probability, NACK-to-ACK error probability and DTX-to-ACK</w:t>
      </w:r>
      <w:r w:rsidRPr="002F618D">
        <w:t xml:space="preserve"> </w:t>
      </w:r>
      <w:r>
        <w:t>probability. The shorter the sPUCCH is, the larger is the performance gap with PUCCH due to the lower energy transmitted.</w:t>
      </w:r>
    </w:p>
    <w:p w14:paraId="01C756BE" w14:textId="6E538B4A" w:rsidR="009E52A2" w:rsidRDefault="009E52A2" w:rsidP="009E52A2">
      <w:pPr>
        <w:jc w:val="left"/>
      </w:pPr>
      <w:r>
        <w:t>The sPUCCH power control can be based on an equation similar to the PUCCH power control equation. Also, a bandwidth a</w:t>
      </w:r>
      <w:r w:rsidR="00EE02F8">
        <w:t>djustment parameter is required if more than 1 RB transmission is supported (</w:t>
      </w:r>
      <w:r>
        <w:t>since a</w:t>
      </w:r>
      <w:r w:rsidR="00C773D8">
        <w:t xml:space="preserve"> PUCCH</w:t>
      </w:r>
      <w:r>
        <w:t xml:space="preserve"> format 4-like sPUCCH </w:t>
      </w:r>
      <w:r w:rsidR="00EE02F8">
        <w:t xml:space="preserve">will be </w:t>
      </w:r>
      <w:r>
        <w:t>defined for both 2os and 7os sPUCCH</w:t>
      </w:r>
      <w:r w:rsidR="00EE02F8">
        <w:t>)</w:t>
      </w:r>
      <w:r>
        <w:t>.</w:t>
      </w:r>
    </w:p>
    <w:p w14:paraId="57575837" w14:textId="64F5B536" w:rsidR="009E52A2" w:rsidRDefault="009E52A2" w:rsidP="009E52A2">
      <w:pPr>
        <w:jc w:val="left"/>
      </w:pPr>
      <w:r>
        <w:t>The max</w:t>
      </w:r>
      <w:r w:rsidR="002112A3">
        <w:t>imum</w:t>
      </w:r>
      <w:r>
        <w:t xml:space="preserve"> power is not changed with sTTI, and hence no changes are expected to </w:t>
      </w:r>
      <w:r w:rsidRPr="00B44716">
        <w:rPr>
          <w:position w:val="-14"/>
        </w:rPr>
        <w:object w:dxaOrig="980" w:dyaOrig="380" w14:anchorId="5BE36EDB">
          <v:shape id="_x0000_i1037" type="#_x0000_t75" style="width:50.1pt;height:19pt" o:ole="">
            <v:imagedata r:id="rId18" o:title=""/>
          </v:shape>
          <o:OLEObject Type="Embed" ProgID="Equation.3" ShapeID="_x0000_i1037" DrawAspect="Content" ObjectID="_1564003361" r:id="rId38"/>
        </w:object>
      </w:r>
      <w:r>
        <w:t>.</w:t>
      </w:r>
    </w:p>
    <w:p w14:paraId="4CE021BB" w14:textId="37630907" w:rsidR="009E52A2" w:rsidRDefault="009E52A2" w:rsidP="009E52A2">
      <w:pPr>
        <w:jc w:val="left"/>
      </w:pPr>
      <w:r>
        <w:t xml:space="preserve">The baseline reference power </w:t>
      </w:r>
      <w:r w:rsidRPr="00A4015E">
        <w:rPr>
          <w:position w:val="-14"/>
        </w:rPr>
        <w:object w:dxaOrig="800" w:dyaOrig="380" w14:anchorId="3F20B22F">
          <v:shape id="_x0000_i1038" type="#_x0000_t75" style="width:39.75pt;height:19pt" o:ole="">
            <v:imagedata r:id="rId20" o:title=""/>
          </v:shape>
          <o:OLEObject Type="Embed" ProgID="Equation.3" ShapeID="_x0000_i1038" DrawAspect="Content" ObjectID="_1564003362" r:id="rId39"/>
        </w:object>
      </w:r>
      <w:r>
        <w:t xml:space="preserve"> should preferably be kept, and relative power changes due to sPUCCH operation </w:t>
      </w:r>
      <w:r w:rsidR="00C773D8">
        <w:t xml:space="preserve">should be captured </w:t>
      </w:r>
      <w:r>
        <w:t>th</w:t>
      </w:r>
      <w:r w:rsidR="00C773D8">
        <w:t>r</w:t>
      </w:r>
      <w:r>
        <w:t>ough other parameters.</w:t>
      </w:r>
    </w:p>
    <w:p w14:paraId="4D7AD50E" w14:textId="77777777" w:rsidR="009E52A2" w:rsidRDefault="009E52A2" w:rsidP="009E52A2">
      <w:pPr>
        <w:jc w:val="left"/>
      </w:pPr>
      <w:r>
        <w:t>The path loss estimation does not change with sTTI operation, and hence</w:t>
      </w:r>
      <w:r w:rsidRPr="0065675D">
        <w:rPr>
          <w:position w:val="-12"/>
        </w:rPr>
        <w:object w:dxaOrig="440" w:dyaOrig="360" w14:anchorId="64607AC1">
          <v:shape id="_x0000_i1039" type="#_x0000_t75" style="width:21.9pt;height:17.85pt" o:ole="">
            <v:imagedata r:id="rId22" o:title=""/>
          </v:shape>
          <o:OLEObject Type="Embed" ProgID="Equation.3" ShapeID="_x0000_i1039" DrawAspect="Content" ObjectID="_1564003363" r:id="rId40"/>
        </w:object>
      </w:r>
      <w:r>
        <w:t xml:space="preserve"> will stay the same.</w:t>
      </w:r>
    </w:p>
    <w:p w14:paraId="7C4C56EB" w14:textId="6874F0D6" w:rsidR="009E52A2" w:rsidRDefault="009E52A2" w:rsidP="009E52A2">
      <w:pPr>
        <w:jc w:val="left"/>
      </w:pPr>
      <w:r>
        <w:t xml:space="preserve">Also, the adjustment due to Tx diversity is expected to be similar between 1 ms </w:t>
      </w:r>
      <w:r w:rsidR="00C773D8">
        <w:t xml:space="preserve">TTI </w:t>
      </w:r>
      <w:r>
        <w:t xml:space="preserve">and sTTI operation, and hence </w:t>
      </w:r>
      <w:r w:rsidRPr="004A40E1">
        <w:rPr>
          <w:position w:val="-12"/>
        </w:rPr>
        <w:object w:dxaOrig="920" w:dyaOrig="360" w14:anchorId="64523B77">
          <v:shape id="_x0000_i1040" type="#_x0000_t75" style="width:46.1pt;height:17.85pt" o:ole="">
            <v:imagedata r:id="rId41" o:title=""/>
          </v:shape>
          <o:OLEObject Type="Embed" ProgID="Equation.3" ShapeID="_x0000_i1040" DrawAspect="Content" ObjectID="_1564003364" r:id="rId42"/>
        </w:object>
      </w:r>
      <w:r>
        <w:t xml:space="preserve"> is proposed to stay the same.</w:t>
      </w:r>
    </w:p>
    <w:p w14:paraId="17AF7799" w14:textId="307654E0" w:rsidR="009E52A2" w:rsidRDefault="0087582C" w:rsidP="009E52A2">
      <w:pPr>
        <w:jc w:val="left"/>
      </w:pPr>
      <w:r>
        <w:t>The closed loop state,</w:t>
      </w:r>
      <w:r w:rsidR="009E52A2" w:rsidRPr="00482874">
        <w:rPr>
          <w:position w:val="-10"/>
        </w:rPr>
        <w:object w:dxaOrig="440" w:dyaOrig="340" w14:anchorId="41C04003">
          <v:shape id="_x0000_i1041" type="#_x0000_t75" style="width:21.9pt;height:16.15pt" o:ole="">
            <v:imagedata r:id="rId34" o:title=""/>
          </v:shape>
          <o:OLEObject Type="Embed" ProgID="Equation.3" ShapeID="_x0000_i1041" DrawAspect="Content" ObjectID="_1564003365" r:id="rId43"/>
        </w:object>
      </w:r>
      <w:r w:rsidR="009E52A2">
        <w:t xml:space="preserve">, for PUCCH is derived from the TPC information </w:t>
      </w:r>
      <w:r w:rsidR="009E52A2" w:rsidRPr="00F615EC">
        <w:rPr>
          <w:position w:val="-12"/>
        </w:rPr>
        <w:object w:dxaOrig="680" w:dyaOrig="360" w14:anchorId="07648FA1">
          <v:shape id="_x0000_i1042" type="#_x0000_t75" style="width:34pt;height:17.85pt" o:ole="">
            <v:imagedata r:id="rId36" o:title=""/>
          </v:shape>
          <o:OLEObject Type="Embed" ProgID="Equation.3" ShapeID="_x0000_i1042" DrawAspect="Content" ObjectID="_1564003366" r:id="rId44"/>
        </w:object>
      </w:r>
      <w:r w:rsidR="009E52A2">
        <w:t xml:space="preserve"> signalled in the downlink assignment for 1ms TTI. </w:t>
      </w:r>
      <w:r w:rsidR="00C577C3">
        <w:t xml:space="preserve">An </w:t>
      </w:r>
      <w:r w:rsidR="009E52A2">
        <w:t xml:space="preserve">sPUCCH </w:t>
      </w:r>
      <w:r w:rsidR="00C577C3">
        <w:t xml:space="preserve">specific </w:t>
      </w:r>
      <w:r w:rsidR="00455D75" w:rsidRPr="007D3D22">
        <w:rPr>
          <w:position w:val="-14"/>
        </w:rPr>
        <w:object w:dxaOrig="260" w:dyaOrig="380" w14:anchorId="2ACE73D5">
          <v:shape id="_x0000_i1043" type="#_x0000_t75" style="width:13.25pt;height:19pt" o:ole="">
            <v:imagedata r:id="rId45" o:title=""/>
          </v:shape>
          <o:OLEObject Type="Embed" ProgID="Equation.3" ShapeID="_x0000_i1043" DrawAspect="Content" ObjectID="_1564003367" r:id="rId46"/>
        </w:object>
      </w:r>
      <w:r w:rsidR="00C577C3">
        <w:t xml:space="preserve"> should be introduced </w:t>
      </w:r>
      <w:r w:rsidR="009E52A2">
        <w:t xml:space="preserve">in the downlink assignment for the shorter TTI. </w:t>
      </w:r>
    </w:p>
    <w:p w14:paraId="343F26CC" w14:textId="46A2DE21" w:rsidR="00E2106F" w:rsidRDefault="009E52A2" w:rsidP="009E52A2">
      <w:pPr>
        <w:jc w:val="left"/>
      </w:pPr>
      <w:r>
        <w:t xml:space="preserve">The most natural way is to capture the performance difference in </w:t>
      </w:r>
      <w:r w:rsidRPr="00E9040D">
        <w:rPr>
          <w:position w:val="-14"/>
        </w:rPr>
        <w:object w:dxaOrig="1140" w:dyaOrig="340" w14:anchorId="2D4BCDCE">
          <v:shape id="_x0000_i1044" type="#_x0000_t75" style="width:57pt;height:16.15pt" o:ole="">
            <v:imagedata r:id="rId28" o:title=""/>
          </v:shape>
          <o:OLEObject Type="Embed" ProgID="Equation.3" ShapeID="_x0000_i1044" DrawAspect="Content" ObjectID="_1564003368" r:id="rId47"/>
        </w:object>
      </w:r>
      <w:r>
        <w:t xml:space="preserve"> that is signalled from higher layers. Additionally, </w:t>
      </w:r>
      <w:r w:rsidRPr="00E9040D">
        <w:rPr>
          <w:position w:val="-14"/>
        </w:rPr>
        <w:object w:dxaOrig="1780" w:dyaOrig="340" w14:anchorId="5023338C">
          <v:shape id="_x0000_i1045" type="#_x0000_t75" style="width:88.15pt;height:16.15pt" o:ole="">
            <v:imagedata r:id="rId24" o:title=""/>
          </v:shape>
          <o:OLEObject Type="Embed" ProgID="Equation.3" ShapeID="_x0000_i1045" DrawAspect="Content" ObjectID="_1564003369" r:id="rId48"/>
        </w:object>
      </w:r>
      <w:r>
        <w:t xml:space="preserve">, for new formats based on PUCCH formats 1-3, and </w:t>
      </w:r>
      <w:r w:rsidRPr="0065675D">
        <w:rPr>
          <w:position w:val="-14"/>
        </w:rPr>
        <w:object w:dxaOrig="800" w:dyaOrig="380" w14:anchorId="717D6849">
          <v:shape id="_x0000_i1046" type="#_x0000_t75" style="width:39.75pt;height:19pt" o:ole="">
            <v:imagedata r:id="rId30" o:title=""/>
          </v:shape>
          <o:OLEObject Type="Embed" ProgID="Equation.3" ShapeID="_x0000_i1046" DrawAspect="Content" ObjectID="_1564003370" r:id="rId49"/>
        </w:object>
      </w:r>
      <w:r>
        <w:t xml:space="preserve">, for new formats based on PUCCH format 4-5, </w:t>
      </w:r>
      <w:r w:rsidR="00E2106F">
        <w:t xml:space="preserve">would probably </w:t>
      </w:r>
      <w:r>
        <w:t xml:space="preserve">have to be re-defined. </w:t>
      </w:r>
      <w:r w:rsidR="00E2106F">
        <w:t xml:space="preserve">Consider for example PUCCH format 3 performance and its related compensation factor </w:t>
      </w:r>
      <w:r w:rsidR="00E2106F" w:rsidRPr="00E9040D">
        <w:rPr>
          <w:position w:val="-14"/>
        </w:rPr>
        <w:object w:dxaOrig="1780" w:dyaOrig="340" w14:anchorId="58DE2DD8">
          <v:shape id="_x0000_i1047" type="#_x0000_t75" style="width:88.15pt;height:16.15pt" o:ole="">
            <v:imagedata r:id="rId24" o:title=""/>
          </v:shape>
          <o:OLEObject Type="Embed" ProgID="Equation.3" ShapeID="_x0000_i1047" DrawAspect="Content" ObjectID="_1564003371" r:id="rId50"/>
        </w:object>
      </w:r>
      <w:r w:rsidR="00E2106F">
        <w:t>, together with the RM code performance for 2os and 7os sPUCCH.</w:t>
      </w:r>
    </w:p>
    <w:p w14:paraId="36896BD9" w14:textId="685C8DED" w:rsidR="00E2106F" w:rsidRDefault="00E2106F" w:rsidP="00E2106F">
      <w:pPr>
        <w:jc w:val="center"/>
      </w:pPr>
      <w:r>
        <w:rPr>
          <w:noProof/>
          <w:lang w:val="sv-SE" w:eastAsia="sv-SE"/>
        </w:rPr>
        <w:lastRenderedPageBreak/>
        <w:drawing>
          <wp:inline distT="0" distB="0" distL="0" distR="0" wp14:anchorId="1DF3D64D" wp14:editId="36E5B1F5">
            <wp:extent cx="4450226" cy="2966817"/>
            <wp:effectExtent l="0" t="0" r="762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M_PUCCH_PC.png"/>
                    <pic:cNvPicPr/>
                  </pic:nvPicPr>
                  <pic:blipFill>
                    <a:blip r:embed="rId51" cstate="print">
                      <a:extLst>
                        <a:ext uri="{28A0092B-C50C-407E-A947-70E740481C1C}">
                          <a14:useLocalDpi xmlns:a14="http://schemas.microsoft.com/office/drawing/2010/main" val="0"/>
                        </a:ext>
                      </a:extLst>
                    </a:blip>
                    <a:stretch>
                      <a:fillRect/>
                    </a:stretch>
                  </pic:blipFill>
                  <pic:spPr>
                    <a:xfrm>
                      <a:off x="0" y="0"/>
                      <a:ext cx="4452552" cy="2968368"/>
                    </a:xfrm>
                    <a:prstGeom prst="rect">
                      <a:avLst/>
                    </a:prstGeom>
                  </pic:spPr>
                </pic:pic>
              </a:graphicData>
            </a:graphic>
          </wp:inline>
        </w:drawing>
      </w:r>
    </w:p>
    <w:p w14:paraId="41BDB06A" w14:textId="437F517F" w:rsidR="00E2106F" w:rsidRDefault="00E2106F" w:rsidP="00E2106F">
      <w:pPr>
        <w:pStyle w:val="Caption"/>
      </w:pPr>
      <w:r>
        <w:t xml:space="preserve">Figure </w:t>
      </w:r>
      <w:r>
        <w:fldChar w:fldCharType="begin"/>
      </w:r>
      <w:r>
        <w:instrText xml:space="preserve"> SEQ Figure \* ARABIC </w:instrText>
      </w:r>
      <w:r>
        <w:fldChar w:fldCharType="separate"/>
      </w:r>
      <w:r w:rsidR="00591EB6">
        <w:rPr>
          <w:noProof/>
        </w:rPr>
        <w:t>1</w:t>
      </w:r>
      <w:r>
        <w:fldChar w:fldCharType="end"/>
      </w:r>
      <w:r>
        <w:t>: (s)PUCCH format with RM code and associated compensation factors</w:t>
      </w:r>
    </w:p>
    <w:p w14:paraId="0B474651" w14:textId="4BC7307A" w:rsidR="00E3563D" w:rsidRDefault="00E2106F" w:rsidP="009E52A2">
      <w:pPr>
        <w:jc w:val="left"/>
      </w:pPr>
      <w:r>
        <w:t>One can see that the 7os performance (assuming here FH) follows well the performance profile of 1 ms operation. Hence, in this case it is probable that the same compensation factors can be used. The situation would most probably change however in case no FH is used. Also for 2os, the existing compensation does not seem to provide a good fit to the performance curve, and instead a slope of 3/4 (instead of a combination of 1/2 and 1/3) for example would be more suitable.</w:t>
      </w:r>
    </w:p>
    <w:p w14:paraId="418BF6BC" w14:textId="43C5EE41" w:rsidR="009E52A2" w:rsidRDefault="009E52A2" w:rsidP="009E52A2">
      <w:pPr>
        <w:jc w:val="left"/>
      </w:pPr>
    </w:p>
    <w:p w14:paraId="31854F15" w14:textId="77777777" w:rsidR="009E52A2" w:rsidRDefault="009E52A2" w:rsidP="009E52A2">
      <w:pPr>
        <w:jc w:val="left"/>
      </w:pPr>
      <w:r>
        <w:t xml:space="preserve">To capture the loss in link performance due to sTTI operation, and the possible differences in different formats compared to PUCCH operation, a sPUCCH specific </w:t>
      </w:r>
      <w:r w:rsidRPr="004A40E1">
        <w:rPr>
          <w:position w:val="-14"/>
        </w:rPr>
        <w:object w:dxaOrig="1300" w:dyaOrig="380" w14:anchorId="73169DF8">
          <v:shape id="_x0000_i1048" type="#_x0000_t75" style="width:65.1pt;height:19pt" o:ole="">
            <v:imagedata r:id="rId52" o:title=""/>
          </v:shape>
          <o:OLEObject Type="Embed" ProgID="Equation.3" ShapeID="_x0000_i1048" DrawAspect="Content" ObjectID="_1564003372" r:id="rId53"/>
        </w:object>
      </w:r>
      <w:r>
        <w:t xml:space="preserve"> should be defined. A rough estimate of the increased power levels required for 2os and 7os would be 9 dB and 3 dB respectively, but the parameter range should preferably be based on simulations, including sufficient margin to cover different implementations.</w:t>
      </w:r>
    </w:p>
    <w:p w14:paraId="6237A8BA" w14:textId="77777777" w:rsidR="009E52A2" w:rsidRDefault="009E52A2" w:rsidP="009E52A2">
      <w:pPr>
        <w:jc w:val="left"/>
        <w:rPr>
          <w:lang w:val="en-US"/>
        </w:rPr>
      </w:pPr>
      <w:r>
        <w:rPr>
          <w:lang w:val="en-US"/>
        </w:rPr>
        <w:t>The reasoning above results in the following:</w:t>
      </w:r>
    </w:p>
    <w:p w14:paraId="0C50C815" w14:textId="1E1C70B8" w:rsidR="009E52A2" w:rsidRPr="00176BC2" w:rsidRDefault="009E52A2" w:rsidP="009E52A2">
      <w:pPr>
        <w:numPr>
          <w:ilvl w:val="0"/>
          <w:numId w:val="23"/>
        </w:numPr>
        <w:jc w:val="left"/>
        <w:rPr>
          <w:lang w:val="en-US"/>
        </w:rPr>
      </w:pPr>
      <w:r>
        <w:t xml:space="preserve">Parameters </w:t>
      </w:r>
      <w:r w:rsidR="00FF7324">
        <w:t>shared with PUCCH</w:t>
      </w:r>
      <w:r>
        <w:t>:</w:t>
      </w:r>
    </w:p>
    <w:p w14:paraId="12187F4F" w14:textId="77777777" w:rsidR="009E52A2" w:rsidRPr="00BF57D1" w:rsidRDefault="009E52A2" w:rsidP="009E52A2">
      <w:pPr>
        <w:numPr>
          <w:ilvl w:val="1"/>
          <w:numId w:val="23"/>
        </w:numPr>
        <w:jc w:val="left"/>
        <w:rPr>
          <w:lang w:val="en-US"/>
        </w:rPr>
      </w:pPr>
      <w:r w:rsidRPr="00B44716">
        <w:rPr>
          <w:position w:val="-14"/>
        </w:rPr>
        <w:object w:dxaOrig="980" w:dyaOrig="380" w14:anchorId="45B73133">
          <v:shape id="_x0000_i1049" type="#_x0000_t75" style="width:50.1pt;height:19pt" o:ole="">
            <v:imagedata r:id="rId18" o:title=""/>
          </v:shape>
          <o:OLEObject Type="Embed" ProgID="Equation.3" ShapeID="_x0000_i1049" DrawAspect="Content" ObjectID="_1564003373" r:id="rId54"/>
        </w:object>
      </w:r>
      <w:r>
        <w:t xml:space="preserve"> </w:t>
      </w:r>
      <w:r>
        <w:rPr>
          <w:lang w:val="en-US"/>
        </w:rPr>
        <w:t xml:space="preserve">, </w:t>
      </w:r>
      <w:r w:rsidRPr="00A4015E">
        <w:rPr>
          <w:position w:val="-14"/>
        </w:rPr>
        <w:object w:dxaOrig="800" w:dyaOrig="380" w14:anchorId="1FE73FFB">
          <v:shape id="_x0000_i1050" type="#_x0000_t75" style="width:39.75pt;height:19pt" o:ole="">
            <v:imagedata r:id="rId20" o:title=""/>
          </v:shape>
          <o:OLEObject Type="Embed" ProgID="Equation.3" ShapeID="_x0000_i1050" DrawAspect="Content" ObjectID="_1564003374" r:id="rId55"/>
        </w:object>
      </w:r>
      <w:r>
        <w:rPr>
          <w:lang w:val="en-US"/>
        </w:rPr>
        <w:t xml:space="preserve">, </w:t>
      </w:r>
      <w:r w:rsidRPr="0065675D">
        <w:rPr>
          <w:position w:val="-12"/>
        </w:rPr>
        <w:object w:dxaOrig="440" w:dyaOrig="360" w14:anchorId="058E3A7B">
          <v:shape id="_x0000_i1051" type="#_x0000_t75" style="width:21.9pt;height:17.85pt" o:ole="">
            <v:imagedata r:id="rId22" o:title=""/>
          </v:shape>
          <o:OLEObject Type="Embed" ProgID="Equation.3" ShapeID="_x0000_i1051" DrawAspect="Content" ObjectID="_1564003375" r:id="rId56"/>
        </w:object>
      </w:r>
      <w:r>
        <w:t xml:space="preserve">, </w:t>
      </w:r>
      <w:r w:rsidRPr="004A40E1">
        <w:rPr>
          <w:position w:val="-12"/>
        </w:rPr>
        <w:object w:dxaOrig="920" w:dyaOrig="360" w14:anchorId="3C66404C">
          <v:shape id="_x0000_i1052" type="#_x0000_t75" style="width:46.1pt;height:17.85pt" o:ole="">
            <v:imagedata r:id="rId41" o:title=""/>
          </v:shape>
          <o:OLEObject Type="Embed" ProgID="Equation.3" ShapeID="_x0000_i1052" DrawAspect="Content" ObjectID="_1564003376" r:id="rId57"/>
        </w:object>
      </w:r>
    </w:p>
    <w:p w14:paraId="50D8BD95" w14:textId="77777777" w:rsidR="009E52A2" w:rsidRPr="00BF57D1" w:rsidRDefault="009E52A2" w:rsidP="009E52A2">
      <w:pPr>
        <w:numPr>
          <w:ilvl w:val="0"/>
          <w:numId w:val="23"/>
        </w:numPr>
        <w:jc w:val="left"/>
        <w:rPr>
          <w:lang w:val="en-US"/>
        </w:rPr>
      </w:pPr>
      <w:r>
        <w:t>Parameters specific to the sPUCCH transmission where definitions can be kept:</w:t>
      </w:r>
    </w:p>
    <w:p w14:paraId="25EDECB3" w14:textId="77777777" w:rsidR="009E52A2" w:rsidRPr="00E019EC" w:rsidRDefault="009E52A2" w:rsidP="009E52A2">
      <w:pPr>
        <w:numPr>
          <w:ilvl w:val="1"/>
          <w:numId w:val="23"/>
        </w:numPr>
        <w:jc w:val="left"/>
        <w:rPr>
          <w:lang w:val="en-US"/>
        </w:rPr>
      </w:pPr>
      <w:r w:rsidRPr="00A24D34">
        <w:rPr>
          <w:position w:val="-14"/>
        </w:rPr>
        <w:object w:dxaOrig="1160" w:dyaOrig="380" w14:anchorId="39BD859E">
          <v:shape id="_x0000_i1053" type="#_x0000_t75" style="width:58.2pt;height:19pt" o:ole="">
            <v:imagedata r:id="rId58" o:title=""/>
          </v:shape>
          <o:OLEObject Type="Embed" ProgID="Equation.3" ShapeID="_x0000_i1053" DrawAspect="Content" ObjectID="_1564003377" r:id="rId59"/>
        </w:object>
      </w:r>
      <w:r>
        <w:t xml:space="preserve">, </w:t>
      </w:r>
    </w:p>
    <w:p w14:paraId="339E5443" w14:textId="1B521B18" w:rsidR="009E52A2" w:rsidRPr="00E019EC" w:rsidRDefault="009E52A2" w:rsidP="009E52A2">
      <w:pPr>
        <w:numPr>
          <w:ilvl w:val="0"/>
          <w:numId w:val="23"/>
        </w:numPr>
        <w:jc w:val="left"/>
        <w:rPr>
          <w:lang w:val="en-US"/>
        </w:rPr>
      </w:pPr>
      <w:r>
        <w:t xml:space="preserve">Parameters specific to the sPUCCH transmission where definitions </w:t>
      </w:r>
      <w:r w:rsidR="002706A2">
        <w:t xml:space="preserve">most probably </w:t>
      </w:r>
      <w:r>
        <w:t>have to be changed:</w:t>
      </w:r>
    </w:p>
    <w:p w14:paraId="5C1361E2" w14:textId="77777777" w:rsidR="009E52A2" w:rsidRPr="00EC1DB2" w:rsidRDefault="009E52A2" w:rsidP="009E52A2">
      <w:pPr>
        <w:numPr>
          <w:ilvl w:val="1"/>
          <w:numId w:val="23"/>
        </w:numPr>
        <w:jc w:val="left"/>
        <w:rPr>
          <w:lang w:val="en-US"/>
        </w:rPr>
      </w:pPr>
      <w:r w:rsidRPr="004A40E1">
        <w:rPr>
          <w:position w:val="-14"/>
        </w:rPr>
        <w:object w:dxaOrig="740" w:dyaOrig="380" w14:anchorId="36BBC85B">
          <v:shape id="_x0000_i1054" type="#_x0000_t75" style="width:36.85pt;height:19pt" o:ole="">
            <v:imagedata r:id="rId60" o:title=""/>
          </v:shape>
          <o:OLEObject Type="Embed" ProgID="Equation.3" ShapeID="_x0000_i1054" DrawAspect="Content" ObjectID="_1564003378" r:id="rId61"/>
        </w:object>
      </w:r>
      <w:r>
        <w:t xml:space="preserve">, </w:t>
      </w:r>
      <w:r w:rsidRPr="00E9040D">
        <w:rPr>
          <w:position w:val="-14"/>
        </w:rPr>
        <w:object w:dxaOrig="1780" w:dyaOrig="340" w14:anchorId="5D02093F">
          <v:shape id="_x0000_i1055" type="#_x0000_t75" style="width:88.15pt;height:16.15pt" o:ole="">
            <v:imagedata r:id="rId24" o:title=""/>
          </v:shape>
          <o:OLEObject Type="Embed" ProgID="Equation.3" ShapeID="_x0000_i1055" DrawAspect="Content" ObjectID="_1564003379" r:id="rId62"/>
        </w:object>
      </w:r>
    </w:p>
    <w:p w14:paraId="6E9F093E" w14:textId="77777777" w:rsidR="009E52A2" w:rsidRPr="00EC1DB2" w:rsidRDefault="009E52A2" w:rsidP="009E52A2">
      <w:pPr>
        <w:numPr>
          <w:ilvl w:val="0"/>
          <w:numId w:val="23"/>
        </w:numPr>
        <w:jc w:val="left"/>
        <w:rPr>
          <w:lang w:val="en-US"/>
        </w:rPr>
      </w:pPr>
      <w:r>
        <w:t>New RRC parameter for sPUCCH (possibly splitting it into one parameter shifting the operating point due to sTTI length, and one due to sPUCCH format, or treating them jointly)</w:t>
      </w:r>
    </w:p>
    <w:p w14:paraId="6632902C" w14:textId="77777777" w:rsidR="009E52A2" w:rsidRPr="00EC1DB2" w:rsidRDefault="009E52A2" w:rsidP="009E52A2">
      <w:pPr>
        <w:numPr>
          <w:ilvl w:val="1"/>
          <w:numId w:val="23"/>
        </w:numPr>
        <w:jc w:val="left"/>
        <w:rPr>
          <w:lang w:val="en-US"/>
        </w:rPr>
      </w:pPr>
      <w:r w:rsidRPr="004A40E1">
        <w:rPr>
          <w:position w:val="-14"/>
        </w:rPr>
        <w:object w:dxaOrig="1300" w:dyaOrig="380" w14:anchorId="3229ACF3">
          <v:shape id="_x0000_i1056" type="#_x0000_t75" style="width:65.1pt;height:19pt" o:ole="">
            <v:imagedata r:id="rId52" o:title=""/>
          </v:shape>
          <o:OLEObject Type="Embed" ProgID="Equation.3" ShapeID="_x0000_i1056" DrawAspect="Content" ObjectID="_1564003380" r:id="rId63"/>
        </w:object>
      </w:r>
    </w:p>
    <w:p w14:paraId="3CD1E38B" w14:textId="77777777" w:rsidR="009E52A2" w:rsidRDefault="009E52A2" w:rsidP="009E52A2">
      <w:pPr>
        <w:numPr>
          <w:ilvl w:val="0"/>
          <w:numId w:val="23"/>
        </w:numPr>
        <w:jc w:val="left"/>
        <w:rPr>
          <w:lang w:val="en-US"/>
        </w:rPr>
      </w:pPr>
      <w:r>
        <w:rPr>
          <w:lang w:val="en-US"/>
        </w:rPr>
        <w:t>New DCI parameter for sPUCCH</w:t>
      </w:r>
    </w:p>
    <w:p w14:paraId="5B131320" w14:textId="77777777" w:rsidR="009E52A2" w:rsidRPr="00895E0C" w:rsidRDefault="009E52A2" w:rsidP="009E52A2">
      <w:pPr>
        <w:numPr>
          <w:ilvl w:val="1"/>
          <w:numId w:val="23"/>
        </w:numPr>
        <w:jc w:val="left"/>
        <w:rPr>
          <w:lang w:val="en-US"/>
        </w:rPr>
      </w:pPr>
      <w:r w:rsidRPr="004A40E1">
        <w:rPr>
          <w:position w:val="-10"/>
        </w:rPr>
        <w:object w:dxaOrig="440" w:dyaOrig="340" w14:anchorId="03DCB1CF">
          <v:shape id="_x0000_i1057" type="#_x0000_t75" style="width:21.9pt;height:16.15pt" o:ole="">
            <v:imagedata r:id="rId64" o:title=""/>
          </v:shape>
          <o:OLEObject Type="Embed" ProgID="Equation.3" ShapeID="_x0000_i1057" DrawAspect="Content" ObjectID="_1564003381" r:id="rId65"/>
        </w:object>
      </w:r>
    </w:p>
    <w:p w14:paraId="05D1A558" w14:textId="77777777" w:rsidR="009E52A2" w:rsidRPr="00283CA8" w:rsidRDefault="009E52A2" w:rsidP="009E52A2">
      <w:pPr>
        <w:jc w:val="left"/>
        <w:rPr>
          <w:lang w:val="en-US"/>
        </w:rPr>
      </w:pPr>
    </w:p>
    <w:p w14:paraId="56C0D7F7" w14:textId="77777777" w:rsidR="009E52A2" w:rsidRDefault="009E52A2" w:rsidP="009E52A2">
      <w:pPr>
        <w:pStyle w:val="Observation"/>
        <w:ind w:left="1701" w:hanging="1701"/>
      </w:pPr>
      <w:bookmarkStart w:id="37" w:name="_Toc481159184"/>
      <w:bookmarkStart w:id="38" w:name="_Toc481159215"/>
      <w:bookmarkStart w:id="39" w:name="_Toc481680278"/>
      <w:bookmarkStart w:id="40" w:name="_Toc481752477"/>
      <w:bookmarkStart w:id="41" w:name="_Toc481752613"/>
      <w:bookmarkStart w:id="42" w:name="_Toc481754037"/>
      <w:bookmarkStart w:id="43" w:name="_Toc489523108"/>
      <w:bookmarkStart w:id="44" w:name="_Toc489533772"/>
      <w:bookmarkStart w:id="45" w:name="_Toc489550090"/>
      <w:bookmarkStart w:id="46" w:name="_Toc489970441"/>
      <w:r>
        <w:t>Several of the parameters defined by higher layers for PUCCH can be re-used in the sPUCCH power control equation(s)</w:t>
      </w:r>
      <w:bookmarkEnd w:id="37"/>
      <w:bookmarkEnd w:id="38"/>
      <w:bookmarkEnd w:id="39"/>
      <w:bookmarkEnd w:id="40"/>
      <w:bookmarkEnd w:id="41"/>
      <w:bookmarkEnd w:id="42"/>
      <w:bookmarkEnd w:id="43"/>
      <w:bookmarkEnd w:id="44"/>
      <w:bookmarkEnd w:id="45"/>
      <w:bookmarkEnd w:id="46"/>
    </w:p>
    <w:p w14:paraId="3F2A0502" w14:textId="10CB090E" w:rsidR="009E52A2" w:rsidRDefault="009E52A2" w:rsidP="009E52A2">
      <w:pPr>
        <w:pStyle w:val="Proposal"/>
        <w:tabs>
          <w:tab w:val="clear" w:pos="1304"/>
        </w:tabs>
        <w:ind w:left="1701" w:hanging="1701"/>
      </w:pPr>
      <w:bookmarkStart w:id="47" w:name="_Toc481159186"/>
      <w:bookmarkStart w:id="48" w:name="_Toc481159217"/>
      <w:bookmarkStart w:id="49" w:name="_Toc481680280"/>
      <w:bookmarkStart w:id="50" w:name="_Toc481752479"/>
      <w:bookmarkStart w:id="51" w:name="_Toc481752615"/>
      <w:bookmarkStart w:id="52" w:name="_Toc481754039"/>
      <w:bookmarkStart w:id="53" w:name="_Toc489523110"/>
      <w:bookmarkStart w:id="54" w:name="_Toc489533774"/>
      <w:bookmarkStart w:id="55" w:name="_Toc489550092"/>
      <w:bookmarkStart w:id="56" w:name="_Toc489970443"/>
      <w:r>
        <w:lastRenderedPageBreak/>
        <w:t>Define RRC parameter</w:t>
      </w:r>
      <w:r w:rsidR="00C773D8">
        <w:t>s</w:t>
      </w:r>
      <w:r>
        <w:t xml:space="preserve"> with relative changes to output power due to sPUCCH format</w:t>
      </w:r>
      <w:r w:rsidR="00512859">
        <w:t>,</w:t>
      </w:r>
      <w:r>
        <w:t xml:space="preserve"> sTTI length</w:t>
      </w:r>
      <w:bookmarkEnd w:id="47"/>
      <w:bookmarkEnd w:id="48"/>
      <w:bookmarkEnd w:id="49"/>
      <w:bookmarkEnd w:id="50"/>
      <w:bookmarkEnd w:id="51"/>
      <w:bookmarkEnd w:id="52"/>
      <w:bookmarkEnd w:id="53"/>
      <w:r w:rsidR="00512859">
        <w:t xml:space="preserve"> and payload variations</w:t>
      </w:r>
      <w:bookmarkEnd w:id="54"/>
      <w:bookmarkEnd w:id="55"/>
      <w:bookmarkEnd w:id="56"/>
    </w:p>
    <w:p w14:paraId="4A0EF53E" w14:textId="5A7CDA61" w:rsidR="009E52A2" w:rsidRDefault="009E52A2" w:rsidP="009E52A2">
      <w:pPr>
        <w:pStyle w:val="Proposal"/>
        <w:tabs>
          <w:tab w:val="clear" w:pos="1304"/>
        </w:tabs>
        <w:ind w:left="1701" w:hanging="1701"/>
      </w:pPr>
      <w:bookmarkStart w:id="57" w:name="_Toc489533775"/>
      <w:bookmarkStart w:id="58" w:name="_Toc481159187"/>
      <w:bookmarkStart w:id="59" w:name="_Toc481159218"/>
      <w:bookmarkStart w:id="60" w:name="_Toc481680281"/>
      <w:bookmarkStart w:id="61" w:name="_Toc481752480"/>
      <w:bookmarkStart w:id="62" w:name="_Toc481752616"/>
      <w:bookmarkStart w:id="63" w:name="_Toc481754040"/>
      <w:bookmarkStart w:id="64" w:name="_Toc489523111"/>
      <w:bookmarkStart w:id="65" w:name="_Toc489533776"/>
      <w:bookmarkStart w:id="66" w:name="_Toc489550093"/>
      <w:bookmarkStart w:id="67" w:name="_Toc489970444"/>
      <w:bookmarkEnd w:id="57"/>
      <w:r>
        <w:t>Include a TP</w:t>
      </w:r>
      <w:r w:rsidR="00C773D8">
        <w:t>C</w:t>
      </w:r>
      <w:r>
        <w:t xml:space="preserve"> related command in DCI for a closed-loop power regulation</w:t>
      </w:r>
      <w:bookmarkEnd w:id="58"/>
      <w:bookmarkEnd w:id="59"/>
      <w:bookmarkEnd w:id="60"/>
      <w:bookmarkEnd w:id="61"/>
      <w:bookmarkEnd w:id="62"/>
      <w:bookmarkEnd w:id="63"/>
      <w:bookmarkEnd w:id="64"/>
      <w:bookmarkEnd w:id="65"/>
      <w:bookmarkEnd w:id="66"/>
      <w:bookmarkEnd w:id="67"/>
    </w:p>
    <w:p w14:paraId="2A7683B4" w14:textId="52327CD9" w:rsidR="00625B29" w:rsidRPr="00CE0424" w:rsidRDefault="009E52A2" w:rsidP="00625B29">
      <w:pPr>
        <w:pStyle w:val="Proposal"/>
        <w:tabs>
          <w:tab w:val="clear" w:pos="1304"/>
        </w:tabs>
        <w:ind w:left="1701" w:hanging="1701"/>
      </w:pPr>
      <w:bookmarkStart w:id="68" w:name="_Toc481159188"/>
      <w:bookmarkStart w:id="69" w:name="_Toc481159219"/>
      <w:bookmarkStart w:id="70" w:name="_Toc481680282"/>
      <w:bookmarkStart w:id="71" w:name="_Toc481752481"/>
      <w:bookmarkStart w:id="72" w:name="_Toc481752617"/>
      <w:bookmarkStart w:id="73" w:name="_Toc481754041"/>
      <w:bookmarkStart w:id="74" w:name="_Toc489523112"/>
      <w:bookmarkStart w:id="75" w:name="_Toc489533777"/>
      <w:bookmarkStart w:id="76" w:name="_Toc489550094"/>
      <w:bookmarkStart w:id="77" w:name="_Toc489970445"/>
      <w:r>
        <w:t>Consider if a new payload based correction factor is needed, or if the existing ones can be used also for sPUCCH</w:t>
      </w:r>
      <w:bookmarkEnd w:id="68"/>
      <w:bookmarkEnd w:id="69"/>
      <w:bookmarkEnd w:id="70"/>
      <w:bookmarkEnd w:id="71"/>
      <w:bookmarkEnd w:id="72"/>
      <w:bookmarkEnd w:id="73"/>
      <w:bookmarkEnd w:id="74"/>
      <w:bookmarkEnd w:id="75"/>
      <w:bookmarkEnd w:id="76"/>
      <w:bookmarkEnd w:id="77"/>
    </w:p>
    <w:p w14:paraId="1FA75E18" w14:textId="77777777" w:rsidR="00625B29" w:rsidRPr="00CE0424" w:rsidRDefault="00625B29" w:rsidP="00625B29">
      <w:pPr>
        <w:pStyle w:val="Heading1"/>
      </w:pPr>
      <w:r w:rsidRPr="00CE0424">
        <w:t>Conclusion</w:t>
      </w:r>
    </w:p>
    <w:p w14:paraId="16FF0DF5" w14:textId="1BB1B85C" w:rsidR="00455D75" w:rsidRDefault="00625B29" w:rsidP="006B39A2">
      <w:r>
        <w:t xml:space="preserve">In section </w:t>
      </w:r>
      <w:r w:rsidRPr="00CE0424">
        <w:rPr>
          <w:highlight w:val="cyan"/>
        </w:rPr>
        <w:fldChar w:fldCharType="begin"/>
      </w:r>
      <w:r w:rsidRPr="00CE0424">
        <w:instrText xml:space="preserve"> REF _Ref178064866 \r \h </w:instrText>
      </w:r>
      <w:r w:rsidR="00455D75">
        <w:rPr>
          <w:highlight w:val="cyan"/>
        </w:rPr>
        <w:instrText xml:space="preserve"> \* MERGEFORMAT </w:instrText>
      </w:r>
      <w:r w:rsidRPr="00CE0424">
        <w:rPr>
          <w:highlight w:val="cyan"/>
        </w:rPr>
      </w:r>
      <w:r w:rsidRPr="00CE0424">
        <w:rPr>
          <w:highlight w:val="cyan"/>
        </w:rPr>
        <w:fldChar w:fldCharType="separate"/>
      </w:r>
      <w:r w:rsidR="00591EB6">
        <w:t>2</w:t>
      </w:r>
      <w:r w:rsidRPr="00CE0424">
        <w:rPr>
          <w:highlight w:val="cyan"/>
        </w:rPr>
        <w:fldChar w:fldCharType="end"/>
      </w:r>
      <w:r w:rsidRPr="00CE0424">
        <w:t xml:space="preserve"> we </w:t>
      </w:r>
      <w:r>
        <w:t>made the following observations</w:t>
      </w:r>
      <w:r w:rsidRPr="00CE0424">
        <w:t>:</w:t>
      </w:r>
    </w:p>
    <w:p w14:paraId="3609597D" w14:textId="77777777" w:rsidR="00591EB6" w:rsidRPr="002B7A7C" w:rsidRDefault="00625B29">
      <w:pPr>
        <w:pStyle w:val="TOC1"/>
        <w:rPr>
          <w:rFonts w:asciiTheme="minorHAnsi" w:eastAsiaTheme="minorEastAsia" w:hAnsiTheme="minorHAnsi" w:cstheme="minorBidi"/>
          <w:b w:val="0"/>
          <w:sz w:val="22"/>
          <w:lang w:val="en-GB" w:eastAsia="sv-SE"/>
        </w:rPr>
      </w:pPr>
      <w:r>
        <w:rPr>
          <w:b w:val="0"/>
          <w:bCs/>
        </w:rPr>
        <w:fldChar w:fldCharType="begin"/>
      </w:r>
      <w:r>
        <w:rPr>
          <w:bCs/>
        </w:rPr>
        <w:instrText xml:space="preserve"> TOC \f \n \t "Observation;1" </w:instrText>
      </w:r>
      <w:r>
        <w:rPr>
          <w:b w:val="0"/>
          <w:bCs/>
        </w:rPr>
        <w:fldChar w:fldCharType="separate"/>
      </w:r>
      <w:r w:rsidR="00591EB6" w:rsidRPr="0038041A">
        <w:t>Observation 1</w:t>
      </w:r>
      <w:r w:rsidR="00591EB6" w:rsidRPr="002B7A7C">
        <w:rPr>
          <w:rFonts w:asciiTheme="minorHAnsi" w:eastAsiaTheme="minorEastAsia" w:hAnsiTheme="minorHAnsi" w:cstheme="minorBidi"/>
          <w:b w:val="0"/>
          <w:sz w:val="22"/>
          <w:lang w:val="en-GB" w:eastAsia="sv-SE"/>
        </w:rPr>
        <w:tab/>
      </w:r>
      <w:r w:rsidR="00591EB6" w:rsidRPr="0038041A">
        <w:t>There could be impact to the PUCCH power control due to the introduction of sTTI, depending on how sTTI/TTI collisions in the same UE are handled.</w:t>
      </w:r>
    </w:p>
    <w:p w14:paraId="1FBAE9BA" w14:textId="77777777" w:rsidR="00591EB6" w:rsidRPr="002B7A7C" w:rsidRDefault="00591EB6">
      <w:pPr>
        <w:pStyle w:val="TOC1"/>
        <w:rPr>
          <w:rFonts w:asciiTheme="minorHAnsi" w:eastAsiaTheme="minorEastAsia" w:hAnsiTheme="minorHAnsi" w:cstheme="minorBidi"/>
          <w:b w:val="0"/>
          <w:sz w:val="22"/>
          <w:lang w:val="en-GB" w:eastAsia="sv-SE"/>
        </w:rPr>
      </w:pPr>
      <w:r w:rsidRPr="0038041A">
        <w:t>Observation 2</w:t>
      </w:r>
      <w:r w:rsidRPr="002B7A7C">
        <w:rPr>
          <w:rFonts w:asciiTheme="minorHAnsi" w:eastAsiaTheme="minorEastAsia" w:hAnsiTheme="minorHAnsi" w:cstheme="minorBidi"/>
          <w:b w:val="0"/>
          <w:sz w:val="22"/>
          <w:lang w:val="en-GB" w:eastAsia="sv-SE"/>
        </w:rPr>
        <w:tab/>
      </w:r>
      <w:r w:rsidRPr="0038041A">
        <w:t>The sPUCCH power control cannot be finalized before all sPUCCH formats are decided upon</w:t>
      </w:r>
    </w:p>
    <w:p w14:paraId="60A54BD3" w14:textId="77777777" w:rsidR="00591EB6" w:rsidRPr="002B7A7C" w:rsidRDefault="00591EB6">
      <w:pPr>
        <w:pStyle w:val="TOC1"/>
        <w:rPr>
          <w:rFonts w:asciiTheme="minorHAnsi" w:eastAsiaTheme="minorEastAsia" w:hAnsiTheme="minorHAnsi" w:cstheme="minorBidi"/>
          <w:b w:val="0"/>
          <w:sz w:val="22"/>
          <w:lang w:val="en-GB" w:eastAsia="sv-SE"/>
        </w:rPr>
      </w:pPr>
      <w:r>
        <w:t>Observation 3</w:t>
      </w:r>
      <w:r w:rsidRPr="002B7A7C">
        <w:rPr>
          <w:rFonts w:asciiTheme="minorHAnsi" w:eastAsiaTheme="minorEastAsia" w:hAnsiTheme="minorHAnsi" w:cstheme="minorBidi"/>
          <w:b w:val="0"/>
          <w:sz w:val="22"/>
          <w:lang w:val="en-GB" w:eastAsia="sv-SE"/>
        </w:rPr>
        <w:tab/>
      </w:r>
      <w:r>
        <w:t>Several of the parameters defined by higher layers for PUCCH can be re-used in the sPUCCH power control equation(s)</w:t>
      </w:r>
    </w:p>
    <w:p w14:paraId="1E53CEEF" w14:textId="53747716" w:rsidR="00625B29" w:rsidRDefault="00625B29" w:rsidP="00625B29">
      <w:pPr>
        <w:pStyle w:val="BodyText"/>
        <w:rPr>
          <w:b/>
          <w:bCs/>
        </w:rPr>
      </w:pPr>
      <w:r>
        <w:rPr>
          <w:b/>
          <w:bCs/>
        </w:rPr>
        <w:fldChar w:fldCharType="end"/>
      </w:r>
    </w:p>
    <w:p w14:paraId="2BE83ADA" w14:textId="777F9D6D" w:rsidR="00455D75" w:rsidRDefault="00625B29" w:rsidP="006B39A2">
      <w:r w:rsidRPr="00CE0424">
        <w:t xml:space="preserve">Based on the discussion in section </w:t>
      </w:r>
      <w:r w:rsidRPr="00CE0424">
        <w:rPr>
          <w:highlight w:val="cyan"/>
        </w:rPr>
        <w:fldChar w:fldCharType="begin"/>
      </w:r>
      <w:r w:rsidRPr="00CE0424">
        <w:instrText xml:space="preserve"> REF _Ref178064866 \r \h </w:instrText>
      </w:r>
      <w:r w:rsidR="00455D75">
        <w:rPr>
          <w:highlight w:val="cyan"/>
        </w:rPr>
        <w:instrText xml:space="preserve"> \* MERGEFORMAT </w:instrText>
      </w:r>
      <w:r w:rsidRPr="00CE0424">
        <w:rPr>
          <w:highlight w:val="cyan"/>
        </w:rPr>
      </w:r>
      <w:r w:rsidRPr="00CE0424">
        <w:rPr>
          <w:highlight w:val="cyan"/>
        </w:rPr>
        <w:fldChar w:fldCharType="separate"/>
      </w:r>
      <w:r w:rsidR="00591EB6">
        <w:t>2</w:t>
      </w:r>
      <w:r w:rsidRPr="00CE0424">
        <w:rPr>
          <w:highlight w:val="cyan"/>
        </w:rPr>
        <w:fldChar w:fldCharType="end"/>
      </w:r>
      <w:r w:rsidRPr="00CE0424">
        <w:t xml:space="preserve"> we propose the following:</w:t>
      </w:r>
    </w:p>
    <w:p w14:paraId="290F3698" w14:textId="77777777" w:rsidR="00591EB6" w:rsidRPr="002B7A7C" w:rsidRDefault="00625B29">
      <w:pPr>
        <w:pStyle w:val="TOC1"/>
        <w:rPr>
          <w:rFonts w:asciiTheme="minorHAnsi" w:eastAsiaTheme="minorEastAsia" w:hAnsiTheme="minorHAnsi" w:cstheme="minorBidi"/>
          <w:b w:val="0"/>
          <w:sz w:val="22"/>
          <w:lang w:val="en-GB" w:eastAsia="sv-SE"/>
        </w:rPr>
      </w:pPr>
      <w:r>
        <w:rPr>
          <w:b w:val="0"/>
          <w:bCs/>
        </w:rPr>
        <w:fldChar w:fldCharType="begin"/>
      </w:r>
      <w:r>
        <w:rPr>
          <w:bCs/>
        </w:rPr>
        <w:instrText xml:space="preserve"> TOC \f \n \p " " \t "Proposal;1" </w:instrText>
      </w:r>
      <w:r>
        <w:rPr>
          <w:b w:val="0"/>
          <w:bCs/>
        </w:rPr>
        <w:fldChar w:fldCharType="separate"/>
      </w:r>
      <w:r w:rsidR="00591EB6">
        <w:t>Proposal 1</w:t>
      </w:r>
      <w:r w:rsidR="00591EB6" w:rsidRPr="002B7A7C">
        <w:rPr>
          <w:rFonts w:asciiTheme="minorHAnsi" w:eastAsiaTheme="minorEastAsia" w:hAnsiTheme="minorHAnsi" w:cstheme="minorBidi"/>
          <w:b w:val="0"/>
          <w:sz w:val="22"/>
          <w:lang w:val="en-GB" w:eastAsia="sv-SE"/>
        </w:rPr>
        <w:tab/>
      </w:r>
      <w:r w:rsidR="00591EB6">
        <w:t>The power control for sPUCCH should be widely based on the procedure defined for PUCCH power control</w:t>
      </w:r>
    </w:p>
    <w:p w14:paraId="47AE2AFA" w14:textId="77777777" w:rsidR="00591EB6" w:rsidRPr="002B7A7C" w:rsidRDefault="00591EB6">
      <w:pPr>
        <w:pStyle w:val="TOC1"/>
        <w:rPr>
          <w:rFonts w:asciiTheme="minorHAnsi" w:eastAsiaTheme="minorEastAsia" w:hAnsiTheme="minorHAnsi" w:cstheme="minorBidi"/>
          <w:b w:val="0"/>
          <w:sz w:val="22"/>
          <w:lang w:val="en-GB" w:eastAsia="sv-SE"/>
        </w:rPr>
      </w:pPr>
      <w:r>
        <w:t>Proposal 2</w:t>
      </w:r>
      <w:r w:rsidRPr="002B7A7C">
        <w:rPr>
          <w:rFonts w:asciiTheme="minorHAnsi" w:eastAsiaTheme="minorEastAsia" w:hAnsiTheme="minorHAnsi" w:cstheme="minorBidi"/>
          <w:b w:val="0"/>
          <w:sz w:val="22"/>
          <w:lang w:val="en-GB" w:eastAsia="sv-SE"/>
        </w:rPr>
        <w:tab/>
      </w:r>
      <w:r>
        <w:t>Define RRC parameters with relative changes to output power due to sPUCCH format, sTTI length and payload variations</w:t>
      </w:r>
    </w:p>
    <w:p w14:paraId="7FB396C7" w14:textId="77777777" w:rsidR="00591EB6" w:rsidRPr="002B7A7C" w:rsidRDefault="00591EB6">
      <w:pPr>
        <w:pStyle w:val="TOC1"/>
        <w:rPr>
          <w:rFonts w:asciiTheme="minorHAnsi" w:eastAsiaTheme="minorEastAsia" w:hAnsiTheme="minorHAnsi" w:cstheme="minorBidi"/>
          <w:b w:val="0"/>
          <w:sz w:val="22"/>
          <w:lang w:val="en-GB" w:eastAsia="sv-SE"/>
        </w:rPr>
      </w:pPr>
      <w:r>
        <w:t>Proposal 3</w:t>
      </w:r>
      <w:r w:rsidRPr="002B7A7C">
        <w:rPr>
          <w:rFonts w:asciiTheme="minorHAnsi" w:eastAsiaTheme="minorEastAsia" w:hAnsiTheme="minorHAnsi" w:cstheme="minorBidi"/>
          <w:b w:val="0"/>
          <w:sz w:val="22"/>
          <w:lang w:val="en-GB" w:eastAsia="sv-SE"/>
        </w:rPr>
        <w:tab/>
      </w:r>
      <w:r>
        <w:t>Include a TPC related command in DCI for a closed-loop power regulation</w:t>
      </w:r>
    </w:p>
    <w:p w14:paraId="27AC47F5" w14:textId="77777777" w:rsidR="00591EB6" w:rsidRPr="002B7A7C" w:rsidRDefault="00591EB6">
      <w:pPr>
        <w:pStyle w:val="TOC1"/>
        <w:rPr>
          <w:rFonts w:asciiTheme="minorHAnsi" w:eastAsiaTheme="minorEastAsia" w:hAnsiTheme="minorHAnsi" w:cstheme="minorBidi"/>
          <w:b w:val="0"/>
          <w:sz w:val="22"/>
          <w:lang w:val="en-GB" w:eastAsia="sv-SE"/>
        </w:rPr>
      </w:pPr>
      <w:r>
        <w:t>Proposal 4</w:t>
      </w:r>
      <w:r w:rsidRPr="002B7A7C">
        <w:rPr>
          <w:rFonts w:asciiTheme="minorHAnsi" w:eastAsiaTheme="minorEastAsia" w:hAnsiTheme="minorHAnsi" w:cstheme="minorBidi"/>
          <w:b w:val="0"/>
          <w:sz w:val="22"/>
          <w:lang w:val="en-GB" w:eastAsia="sv-SE"/>
        </w:rPr>
        <w:tab/>
      </w:r>
      <w:r>
        <w:t>Consider if a new payload based correction factor is needed, or if the existing ones can be used also for sPUCCH</w:t>
      </w:r>
    </w:p>
    <w:p w14:paraId="40F8455C" w14:textId="6D95DB69" w:rsidR="00625B29" w:rsidRPr="00CE0424" w:rsidRDefault="00625B29" w:rsidP="00625B29">
      <w:pPr>
        <w:rPr>
          <w:b/>
          <w:bCs/>
        </w:rPr>
      </w:pPr>
      <w:r>
        <w:rPr>
          <w:b/>
          <w:bCs/>
        </w:rPr>
        <w:fldChar w:fldCharType="end"/>
      </w:r>
    </w:p>
    <w:p w14:paraId="72F24642" w14:textId="77777777" w:rsidR="00625B29" w:rsidRPr="00CE0424" w:rsidRDefault="00625B29" w:rsidP="00625B29">
      <w:pPr>
        <w:pStyle w:val="Heading1"/>
      </w:pPr>
      <w:bookmarkStart w:id="78" w:name="_In-sequence_SDU_delivery"/>
      <w:bookmarkEnd w:id="78"/>
      <w:r w:rsidRPr="00CE0424">
        <w:t>References</w:t>
      </w:r>
    </w:p>
    <w:bookmarkStart w:id="79" w:name="_Ref449678105"/>
    <w:bookmarkStart w:id="80" w:name="_Ref453835673"/>
    <w:bookmarkStart w:id="81" w:name="_Ref174151459"/>
    <w:bookmarkStart w:id="82" w:name="_Ref189809556"/>
    <w:p w14:paraId="537E3C26" w14:textId="3D9345E9" w:rsidR="00625B29" w:rsidRDefault="00625B29" w:rsidP="00625B29">
      <w:pPr>
        <w:pStyle w:val="Reference"/>
        <w:numPr>
          <w:ilvl w:val="0"/>
          <w:numId w:val="15"/>
        </w:numPr>
        <w:textAlignment w:val="auto"/>
      </w:pPr>
      <w:r>
        <w:fldChar w:fldCharType="begin"/>
      </w:r>
      <w:r>
        <w:instrText xml:space="preserve"> HYPERLINK "ftp://www.3gpp.org/tsg_ran/TSG_RAN//TSGR_72/Docs/RP-161299.zip" </w:instrText>
      </w:r>
      <w:r>
        <w:fldChar w:fldCharType="separate"/>
      </w:r>
      <w:r>
        <w:rPr>
          <w:rStyle w:val="Hyperlink"/>
        </w:rPr>
        <w:t>RP-161299</w:t>
      </w:r>
      <w:r>
        <w:fldChar w:fldCharType="end"/>
      </w:r>
      <w:r>
        <w:t>, New Work Item on shortened TTI and processing time for LTE, Ericsson, RAN#72, June 2016.</w:t>
      </w:r>
      <w:bookmarkEnd w:id="79"/>
      <w:bookmarkEnd w:id="80"/>
    </w:p>
    <w:p w14:paraId="5498E414" w14:textId="175138A1" w:rsidR="003A7EF3" w:rsidRPr="009E52A2" w:rsidRDefault="00625B29" w:rsidP="00625B29">
      <w:pPr>
        <w:pStyle w:val="Reference"/>
        <w:numPr>
          <w:ilvl w:val="0"/>
          <w:numId w:val="15"/>
        </w:numPr>
        <w:textAlignment w:val="auto"/>
      </w:pPr>
      <w:bookmarkStart w:id="83" w:name="_Ref454459437"/>
      <w:r w:rsidRPr="003F19FA">
        <w:rPr>
          <w:bCs/>
        </w:rPr>
        <w:t xml:space="preserve">TR </w:t>
      </w:r>
      <w:hyperlink r:id="rId66" w:history="1">
        <w:r>
          <w:rPr>
            <w:rStyle w:val="Hyperlink"/>
            <w:bCs/>
          </w:rPr>
          <w:t>36.881</w:t>
        </w:r>
      </w:hyperlink>
      <w:r w:rsidRPr="003F19FA">
        <w:rPr>
          <w:bCs/>
        </w:rPr>
        <w:tab/>
        <w:t>Study on latency reduction techniques for LTE</w:t>
      </w:r>
      <w:r>
        <w:rPr>
          <w:bCs/>
        </w:rPr>
        <w:t>.</w:t>
      </w:r>
      <w:bookmarkEnd w:id="81"/>
      <w:bookmarkEnd w:id="82"/>
      <w:bookmarkEnd w:id="83"/>
    </w:p>
    <w:p w14:paraId="1C47D7E9" w14:textId="0B0E5989" w:rsidR="009E52A2" w:rsidRDefault="002B7A7C" w:rsidP="002B7A7C">
      <w:pPr>
        <w:pStyle w:val="Reference"/>
        <w:numPr>
          <w:ilvl w:val="0"/>
          <w:numId w:val="15"/>
        </w:numPr>
      </w:pPr>
      <w:bookmarkStart w:id="84" w:name="_Ref481752572"/>
      <w:r w:rsidRPr="002B7A7C">
        <w:t>R1-1712893</w:t>
      </w:r>
      <w:hyperlink r:id="rId67" w:history="1"/>
      <w:r w:rsidR="001411AF">
        <w:t>, Handling collisions of sTTI and TT</w:t>
      </w:r>
      <w:r>
        <w:t>I in UL, source Ericsson. RAN1#</w:t>
      </w:r>
      <w:r w:rsidR="001411AF">
        <w:t>9</w:t>
      </w:r>
      <w:bookmarkEnd w:id="84"/>
      <w:r>
        <w:t>0</w:t>
      </w:r>
    </w:p>
    <w:p w14:paraId="7C33AA06" w14:textId="19BE809D" w:rsidR="00246452" w:rsidRPr="00CE0424" w:rsidRDefault="00246452" w:rsidP="007434BE">
      <w:pPr>
        <w:pStyle w:val="Reference"/>
        <w:numPr>
          <w:ilvl w:val="0"/>
          <w:numId w:val="15"/>
        </w:numPr>
      </w:pPr>
      <w:bookmarkStart w:id="85" w:name="_Ref489523269"/>
      <w:r>
        <w:t xml:space="preserve">3GPP TS </w:t>
      </w:r>
      <w:hyperlink r:id="rId68" w:history="1">
        <w:r w:rsidR="00B87AB8">
          <w:rPr>
            <w:rStyle w:val="Hyperlink"/>
          </w:rPr>
          <w:t>36.213</w:t>
        </w:r>
      </w:hyperlink>
      <w:bookmarkEnd w:id="85"/>
    </w:p>
    <w:sectPr w:rsidR="00246452" w:rsidRPr="00CE0424">
      <w:headerReference w:type="even" r:id="rId69"/>
      <w:footerReference w:type="default" r:id="rId7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E83AED" w14:textId="77777777" w:rsidR="0075008A" w:rsidRDefault="0075008A">
      <w:r>
        <w:separator/>
      </w:r>
    </w:p>
  </w:endnote>
  <w:endnote w:type="continuationSeparator" w:id="0">
    <w:p w14:paraId="1ED7BA70" w14:textId="77777777" w:rsidR="0075008A" w:rsidRDefault="007500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Microsoft YaHei"/>
    <w:panose1 w:val="02010600030101010101"/>
    <w:charset w:val="86"/>
    <w:family w:val="modern"/>
    <w:pitch w:val="fixed"/>
    <w:sig w:usb0="00000001" w:usb1="080E0000" w:usb2="00000010" w:usb3="00000000" w:csb0="00040000"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EE19C" w14:textId="40076250"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6146C">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6146C">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329596" w14:textId="77777777" w:rsidR="0075008A" w:rsidRDefault="0075008A">
      <w:r>
        <w:separator/>
      </w:r>
    </w:p>
  </w:footnote>
  <w:footnote w:type="continuationSeparator" w:id="0">
    <w:p w14:paraId="794D18F1" w14:textId="77777777" w:rsidR="0075008A" w:rsidRDefault="007500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EFA240"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23D6119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3C76D92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EECE148"/>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FB8368A"/>
    <w:multiLevelType w:val="hybridMultilevel"/>
    <w:tmpl w:val="3A50933C"/>
    <w:lvl w:ilvl="0" w:tplc="CD1676CE">
      <w:start w:val="1"/>
      <w:numFmt w:val="bullet"/>
      <w:lvlText w:val="•"/>
      <w:lvlJc w:val="left"/>
      <w:pPr>
        <w:tabs>
          <w:tab w:val="num" w:pos="720"/>
        </w:tabs>
        <w:ind w:left="720" w:hanging="360"/>
      </w:pPr>
      <w:rPr>
        <w:rFonts w:ascii="Arial" w:hAnsi="Arial" w:hint="default"/>
      </w:rPr>
    </w:lvl>
    <w:lvl w:ilvl="1" w:tplc="25A48E04">
      <w:numFmt w:val="bullet"/>
      <w:lvlText w:val="–"/>
      <w:lvlJc w:val="left"/>
      <w:pPr>
        <w:tabs>
          <w:tab w:val="num" w:pos="1440"/>
        </w:tabs>
        <w:ind w:left="1440" w:hanging="360"/>
      </w:pPr>
      <w:rPr>
        <w:rFonts w:ascii="Arial" w:hAnsi="Arial" w:hint="default"/>
      </w:rPr>
    </w:lvl>
    <w:lvl w:ilvl="2" w:tplc="D138FA6C">
      <w:numFmt w:val="bullet"/>
      <w:lvlText w:val="•"/>
      <w:lvlJc w:val="left"/>
      <w:pPr>
        <w:tabs>
          <w:tab w:val="num" w:pos="2160"/>
        </w:tabs>
        <w:ind w:left="2160" w:hanging="360"/>
      </w:pPr>
      <w:rPr>
        <w:rFonts w:ascii="Arial" w:hAnsi="Arial" w:hint="default"/>
      </w:rPr>
    </w:lvl>
    <w:lvl w:ilvl="3" w:tplc="94260FC8" w:tentative="1">
      <w:start w:val="1"/>
      <w:numFmt w:val="bullet"/>
      <w:lvlText w:val="•"/>
      <w:lvlJc w:val="left"/>
      <w:pPr>
        <w:tabs>
          <w:tab w:val="num" w:pos="2880"/>
        </w:tabs>
        <w:ind w:left="2880" w:hanging="360"/>
      </w:pPr>
      <w:rPr>
        <w:rFonts w:ascii="Arial" w:hAnsi="Arial" w:hint="default"/>
      </w:rPr>
    </w:lvl>
    <w:lvl w:ilvl="4" w:tplc="C1BA6DB4" w:tentative="1">
      <w:start w:val="1"/>
      <w:numFmt w:val="bullet"/>
      <w:lvlText w:val="•"/>
      <w:lvlJc w:val="left"/>
      <w:pPr>
        <w:tabs>
          <w:tab w:val="num" w:pos="3600"/>
        </w:tabs>
        <w:ind w:left="3600" w:hanging="360"/>
      </w:pPr>
      <w:rPr>
        <w:rFonts w:ascii="Arial" w:hAnsi="Arial" w:hint="default"/>
      </w:rPr>
    </w:lvl>
    <w:lvl w:ilvl="5" w:tplc="1FB847C8" w:tentative="1">
      <w:start w:val="1"/>
      <w:numFmt w:val="bullet"/>
      <w:lvlText w:val="•"/>
      <w:lvlJc w:val="left"/>
      <w:pPr>
        <w:tabs>
          <w:tab w:val="num" w:pos="4320"/>
        </w:tabs>
        <w:ind w:left="4320" w:hanging="360"/>
      </w:pPr>
      <w:rPr>
        <w:rFonts w:ascii="Arial" w:hAnsi="Arial" w:hint="default"/>
      </w:rPr>
    </w:lvl>
    <w:lvl w:ilvl="6" w:tplc="3F1CA3D8" w:tentative="1">
      <w:start w:val="1"/>
      <w:numFmt w:val="bullet"/>
      <w:lvlText w:val="•"/>
      <w:lvlJc w:val="left"/>
      <w:pPr>
        <w:tabs>
          <w:tab w:val="num" w:pos="5040"/>
        </w:tabs>
        <w:ind w:left="5040" w:hanging="360"/>
      </w:pPr>
      <w:rPr>
        <w:rFonts w:ascii="Arial" w:hAnsi="Arial" w:hint="default"/>
      </w:rPr>
    </w:lvl>
    <w:lvl w:ilvl="7" w:tplc="1ECE1834" w:tentative="1">
      <w:start w:val="1"/>
      <w:numFmt w:val="bullet"/>
      <w:lvlText w:val="•"/>
      <w:lvlJc w:val="left"/>
      <w:pPr>
        <w:tabs>
          <w:tab w:val="num" w:pos="5760"/>
        </w:tabs>
        <w:ind w:left="5760" w:hanging="360"/>
      </w:pPr>
      <w:rPr>
        <w:rFonts w:ascii="Arial" w:hAnsi="Arial" w:hint="default"/>
      </w:rPr>
    </w:lvl>
    <w:lvl w:ilvl="8" w:tplc="0B7E249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171967"/>
    <w:multiLevelType w:val="hybridMultilevel"/>
    <w:tmpl w:val="5D04C9E4"/>
    <w:lvl w:ilvl="0" w:tplc="BFC20FD2">
      <w:start w:val="1"/>
      <w:numFmt w:val="bullet"/>
      <w:lvlText w:val="–"/>
      <w:lvlJc w:val="left"/>
      <w:pPr>
        <w:tabs>
          <w:tab w:val="num" w:pos="720"/>
        </w:tabs>
        <w:ind w:left="720" w:hanging="360"/>
      </w:pPr>
      <w:rPr>
        <w:rFonts w:ascii="Ericsson Capital TT" w:hAnsi="Ericsson Capital TT" w:hint="default"/>
      </w:rPr>
    </w:lvl>
    <w:lvl w:ilvl="1" w:tplc="3D4AB84A">
      <w:start w:val="1"/>
      <w:numFmt w:val="bullet"/>
      <w:lvlText w:val="–"/>
      <w:lvlJc w:val="left"/>
      <w:pPr>
        <w:tabs>
          <w:tab w:val="num" w:pos="1440"/>
        </w:tabs>
        <w:ind w:left="1440" w:hanging="360"/>
      </w:pPr>
      <w:rPr>
        <w:rFonts w:ascii="Ericsson Capital TT" w:hAnsi="Ericsson Capital TT" w:hint="default"/>
      </w:rPr>
    </w:lvl>
    <w:lvl w:ilvl="2" w:tplc="65943C2E" w:tentative="1">
      <w:start w:val="1"/>
      <w:numFmt w:val="bullet"/>
      <w:lvlText w:val="–"/>
      <w:lvlJc w:val="left"/>
      <w:pPr>
        <w:tabs>
          <w:tab w:val="num" w:pos="2160"/>
        </w:tabs>
        <w:ind w:left="2160" w:hanging="360"/>
      </w:pPr>
      <w:rPr>
        <w:rFonts w:ascii="Ericsson Capital TT" w:hAnsi="Ericsson Capital TT" w:hint="default"/>
      </w:rPr>
    </w:lvl>
    <w:lvl w:ilvl="3" w:tplc="42CE5894" w:tentative="1">
      <w:start w:val="1"/>
      <w:numFmt w:val="bullet"/>
      <w:lvlText w:val="–"/>
      <w:lvlJc w:val="left"/>
      <w:pPr>
        <w:tabs>
          <w:tab w:val="num" w:pos="2880"/>
        </w:tabs>
        <w:ind w:left="2880" w:hanging="360"/>
      </w:pPr>
      <w:rPr>
        <w:rFonts w:ascii="Ericsson Capital TT" w:hAnsi="Ericsson Capital TT" w:hint="default"/>
      </w:rPr>
    </w:lvl>
    <w:lvl w:ilvl="4" w:tplc="B1208F04" w:tentative="1">
      <w:start w:val="1"/>
      <w:numFmt w:val="bullet"/>
      <w:lvlText w:val="–"/>
      <w:lvlJc w:val="left"/>
      <w:pPr>
        <w:tabs>
          <w:tab w:val="num" w:pos="3600"/>
        </w:tabs>
        <w:ind w:left="3600" w:hanging="360"/>
      </w:pPr>
      <w:rPr>
        <w:rFonts w:ascii="Ericsson Capital TT" w:hAnsi="Ericsson Capital TT" w:hint="default"/>
      </w:rPr>
    </w:lvl>
    <w:lvl w:ilvl="5" w:tplc="060A30C6" w:tentative="1">
      <w:start w:val="1"/>
      <w:numFmt w:val="bullet"/>
      <w:lvlText w:val="–"/>
      <w:lvlJc w:val="left"/>
      <w:pPr>
        <w:tabs>
          <w:tab w:val="num" w:pos="4320"/>
        </w:tabs>
        <w:ind w:left="4320" w:hanging="360"/>
      </w:pPr>
      <w:rPr>
        <w:rFonts w:ascii="Ericsson Capital TT" w:hAnsi="Ericsson Capital TT" w:hint="default"/>
      </w:rPr>
    </w:lvl>
    <w:lvl w:ilvl="6" w:tplc="9D622878" w:tentative="1">
      <w:start w:val="1"/>
      <w:numFmt w:val="bullet"/>
      <w:lvlText w:val="–"/>
      <w:lvlJc w:val="left"/>
      <w:pPr>
        <w:tabs>
          <w:tab w:val="num" w:pos="5040"/>
        </w:tabs>
        <w:ind w:left="5040" w:hanging="360"/>
      </w:pPr>
      <w:rPr>
        <w:rFonts w:ascii="Ericsson Capital TT" w:hAnsi="Ericsson Capital TT" w:hint="default"/>
      </w:rPr>
    </w:lvl>
    <w:lvl w:ilvl="7" w:tplc="C7605A8E" w:tentative="1">
      <w:start w:val="1"/>
      <w:numFmt w:val="bullet"/>
      <w:lvlText w:val="–"/>
      <w:lvlJc w:val="left"/>
      <w:pPr>
        <w:tabs>
          <w:tab w:val="num" w:pos="5760"/>
        </w:tabs>
        <w:ind w:left="5760" w:hanging="360"/>
      </w:pPr>
      <w:rPr>
        <w:rFonts w:ascii="Ericsson Capital TT" w:hAnsi="Ericsson Capital TT" w:hint="default"/>
      </w:rPr>
    </w:lvl>
    <w:lvl w:ilvl="8" w:tplc="5DEA3006" w:tentative="1">
      <w:start w:val="1"/>
      <w:numFmt w:val="bullet"/>
      <w:lvlText w:val="–"/>
      <w:lvlJc w:val="left"/>
      <w:pPr>
        <w:tabs>
          <w:tab w:val="num" w:pos="6480"/>
        </w:tabs>
        <w:ind w:left="6480" w:hanging="360"/>
      </w:pPr>
      <w:rPr>
        <w:rFonts w:ascii="Ericsson Capital TT" w:hAnsi="Ericsson Capital TT" w:hint="default"/>
      </w:rPr>
    </w:lvl>
  </w:abstractNum>
  <w:abstractNum w:abstractNumId="13" w15:restartNumberingAfterBreak="0">
    <w:nsid w:val="4BD57B1C"/>
    <w:multiLevelType w:val="hybridMultilevel"/>
    <w:tmpl w:val="7298CFD4"/>
    <w:lvl w:ilvl="0" w:tplc="9354762A">
      <w:start w:val="1"/>
      <w:numFmt w:val="bullet"/>
      <w:lvlText w:val="­"/>
      <w:lvlJc w:val="left"/>
      <w:pPr>
        <w:ind w:left="720" w:hanging="360"/>
      </w:pPr>
      <w:rPr>
        <w:rFonts w:ascii="Calibri" w:hAnsi="Calibri"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9651575"/>
    <w:multiLevelType w:val="hybridMultilevel"/>
    <w:tmpl w:val="3AA41C62"/>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6DB330B3"/>
    <w:multiLevelType w:val="hybridMultilevel"/>
    <w:tmpl w:val="3244BC4C"/>
    <w:lvl w:ilvl="0" w:tplc="648249F4">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1301278"/>
    <w:multiLevelType w:val="hybridMultilevel"/>
    <w:tmpl w:val="55923686"/>
    <w:lvl w:ilvl="0" w:tplc="5784CBB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14"/>
  </w:num>
  <w:num w:numId="3">
    <w:abstractNumId w:val="8"/>
  </w:num>
  <w:num w:numId="4">
    <w:abstractNumId w:val="9"/>
  </w:num>
  <w:num w:numId="5">
    <w:abstractNumId w:val="6"/>
  </w:num>
  <w:num w:numId="6">
    <w:abstractNumId w:val="11"/>
  </w:num>
  <w:num w:numId="7">
    <w:abstractNumId w:val="16"/>
  </w:num>
  <w:num w:numId="8">
    <w:abstractNumId w:val="7"/>
  </w:num>
  <w:num w:numId="9">
    <w:abstractNumId w:val="5"/>
  </w:num>
  <w:num w:numId="10">
    <w:abstractNumId w:val="3"/>
  </w:num>
  <w:num w:numId="11">
    <w:abstractNumId w:val="2"/>
  </w:num>
  <w:num w:numId="12">
    <w:abstractNumId w:val="1"/>
  </w:num>
  <w:num w:numId="13">
    <w:abstractNumId w:val="15"/>
  </w:num>
  <w:num w:numId="14">
    <w:abstractNumId w:val="0"/>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18"/>
  </w:num>
  <w:num w:numId="18">
    <w:abstractNumId w:val="10"/>
  </w:num>
  <w:num w:numId="19">
    <w:abstractNumId w:val="12"/>
  </w:num>
  <w:num w:numId="20">
    <w:abstractNumId w:val="8"/>
  </w:num>
  <w:num w:numId="21">
    <w:abstractNumId w:val="17"/>
  </w:num>
  <w:num w:numId="22">
    <w:abstractNumId w:val="15"/>
  </w:num>
  <w:num w:numId="23">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7DE"/>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E3EB8"/>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11AF"/>
    <w:rsid w:val="00151E23"/>
    <w:rsid w:val="001521A7"/>
    <w:rsid w:val="001526E0"/>
    <w:rsid w:val="001551B5"/>
    <w:rsid w:val="001659C1"/>
    <w:rsid w:val="00173A8E"/>
    <w:rsid w:val="00177795"/>
    <w:rsid w:val="0018143F"/>
    <w:rsid w:val="001852C6"/>
    <w:rsid w:val="00185C3C"/>
    <w:rsid w:val="00190AC1"/>
    <w:rsid w:val="0019341A"/>
    <w:rsid w:val="00197DF9"/>
    <w:rsid w:val="001A1987"/>
    <w:rsid w:val="001A2564"/>
    <w:rsid w:val="001A6173"/>
    <w:rsid w:val="001A6CBA"/>
    <w:rsid w:val="001B0D97"/>
    <w:rsid w:val="001B4CDA"/>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12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46452"/>
    <w:rsid w:val="002500C8"/>
    <w:rsid w:val="00257543"/>
    <w:rsid w:val="002617E7"/>
    <w:rsid w:val="00264228"/>
    <w:rsid w:val="00264334"/>
    <w:rsid w:val="0026473E"/>
    <w:rsid w:val="00266214"/>
    <w:rsid w:val="00267C83"/>
    <w:rsid w:val="002706A2"/>
    <w:rsid w:val="0027144F"/>
    <w:rsid w:val="00271F3A"/>
    <w:rsid w:val="00273278"/>
    <w:rsid w:val="002737F4"/>
    <w:rsid w:val="002757C7"/>
    <w:rsid w:val="002805F5"/>
    <w:rsid w:val="00280751"/>
    <w:rsid w:val="0028280A"/>
    <w:rsid w:val="00286ACD"/>
    <w:rsid w:val="00287838"/>
    <w:rsid w:val="002907B5"/>
    <w:rsid w:val="00292EB7"/>
    <w:rsid w:val="00295071"/>
    <w:rsid w:val="00296227"/>
    <w:rsid w:val="00296F44"/>
    <w:rsid w:val="0029777D"/>
    <w:rsid w:val="002A055E"/>
    <w:rsid w:val="002A1D4E"/>
    <w:rsid w:val="002A2869"/>
    <w:rsid w:val="002B24D6"/>
    <w:rsid w:val="002B7A7C"/>
    <w:rsid w:val="002C41E6"/>
    <w:rsid w:val="002D071A"/>
    <w:rsid w:val="002D34B2"/>
    <w:rsid w:val="002D7637"/>
    <w:rsid w:val="002E17F2"/>
    <w:rsid w:val="002E633D"/>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31751"/>
    <w:rsid w:val="00334579"/>
    <w:rsid w:val="00335858"/>
    <w:rsid w:val="00336BDA"/>
    <w:rsid w:val="00336ED5"/>
    <w:rsid w:val="00342BD7"/>
    <w:rsid w:val="00343A07"/>
    <w:rsid w:val="00346DB5"/>
    <w:rsid w:val="003477B1"/>
    <w:rsid w:val="00357380"/>
    <w:rsid w:val="003602D9"/>
    <w:rsid w:val="003604CE"/>
    <w:rsid w:val="00370E47"/>
    <w:rsid w:val="00371A0E"/>
    <w:rsid w:val="003742AC"/>
    <w:rsid w:val="00377CE1"/>
    <w:rsid w:val="00385BF0"/>
    <w:rsid w:val="003939FF"/>
    <w:rsid w:val="003A2223"/>
    <w:rsid w:val="003A2A0F"/>
    <w:rsid w:val="003A45A1"/>
    <w:rsid w:val="003A4BAC"/>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5D75"/>
    <w:rsid w:val="00457565"/>
    <w:rsid w:val="00457B71"/>
    <w:rsid w:val="004669E2"/>
    <w:rsid w:val="00470C31"/>
    <w:rsid w:val="004734D0"/>
    <w:rsid w:val="0047556B"/>
    <w:rsid w:val="00477768"/>
    <w:rsid w:val="00492BC5"/>
    <w:rsid w:val="004964F1"/>
    <w:rsid w:val="004A16BC"/>
    <w:rsid w:val="004A2B94"/>
    <w:rsid w:val="004B7AE1"/>
    <w:rsid w:val="004B7C0C"/>
    <w:rsid w:val="004C3898"/>
    <w:rsid w:val="004D36B1"/>
    <w:rsid w:val="004D6E48"/>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2859"/>
    <w:rsid w:val="005153A7"/>
    <w:rsid w:val="005219CF"/>
    <w:rsid w:val="00534131"/>
    <w:rsid w:val="00534B59"/>
    <w:rsid w:val="005355D6"/>
    <w:rsid w:val="00536759"/>
    <w:rsid w:val="00537C62"/>
    <w:rsid w:val="0054589F"/>
    <w:rsid w:val="00546970"/>
    <w:rsid w:val="00547F4D"/>
    <w:rsid w:val="00550419"/>
    <w:rsid w:val="00554E19"/>
    <w:rsid w:val="0056121F"/>
    <w:rsid w:val="00572505"/>
    <w:rsid w:val="00582809"/>
    <w:rsid w:val="0058798C"/>
    <w:rsid w:val="005900FA"/>
    <w:rsid w:val="00591EB6"/>
    <w:rsid w:val="005935A4"/>
    <w:rsid w:val="005948C2"/>
    <w:rsid w:val="00595DCA"/>
    <w:rsid w:val="0059779B"/>
    <w:rsid w:val="005A209A"/>
    <w:rsid w:val="005A662D"/>
    <w:rsid w:val="005B35D7"/>
    <w:rsid w:val="005B392A"/>
    <w:rsid w:val="005B3AA3"/>
    <w:rsid w:val="005B6F83"/>
    <w:rsid w:val="005C25AF"/>
    <w:rsid w:val="005C33B0"/>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12A9"/>
    <w:rsid w:val="006234A6"/>
    <w:rsid w:val="00625B29"/>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39A2"/>
    <w:rsid w:val="006B50CF"/>
    <w:rsid w:val="006B5B0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2461"/>
    <w:rsid w:val="007348B1"/>
    <w:rsid w:val="007362A6"/>
    <w:rsid w:val="00736D7D"/>
    <w:rsid w:val="00740E58"/>
    <w:rsid w:val="007434BE"/>
    <w:rsid w:val="007445A0"/>
    <w:rsid w:val="0074524B"/>
    <w:rsid w:val="00747D8B"/>
    <w:rsid w:val="0075008A"/>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3D22"/>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3C54"/>
    <w:rsid w:val="00856911"/>
    <w:rsid w:val="0086146C"/>
    <w:rsid w:val="008677FD"/>
    <w:rsid w:val="008706D4"/>
    <w:rsid w:val="00870F8A"/>
    <w:rsid w:val="008719A4"/>
    <w:rsid w:val="00871D23"/>
    <w:rsid w:val="00874312"/>
    <w:rsid w:val="0087437C"/>
    <w:rsid w:val="0087582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3E7"/>
    <w:rsid w:val="008D6D1A"/>
    <w:rsid w:val="008E065E"/>
    <w:rsid w:val="008E0927"/>
    <w:rsid w:val="008E1909"/>
    <w:rsid w:val="008F1EAB"/>
    <w:rsid w:val="008F2B39"/>
    <w:rsid w:val="008F33DC"/>
    <w:rsid w:val="008F477F"/>
    <w:rsid w:val="00902350"/>
    <w:rsid w:val="00902E14"/>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3F80"/>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817"/>
    <w:rsid w:val="009A5CBA"/>
    <w:rsid w:val="009B1F30"/>
    <w:rsid w:val="009B3AC2"/>
    <w:rsid w:val="009B4DF4"/>
    <w:rsid w:val="009B564E"/>
    <w:rsid w:val="009B64E5"/>
    <w:rsid w:val="009B7E87"/>
    <w:rsid w:val="009C403E"/>
    <w:rsid w:val="009D4FF0"/>
    <w:rsid w:val="009D703C"/>
    <w:rsid w:val="009D718F"/>
    <w:rsid w:val="009E068F"/>
    <w:rsid w:val="009E14E0"/>
    <w:rsid w:val="009E35DB"/>
    <w:rsid w:val="009E47A3"/>
    <w:rsid w:val="009E52A2"/>
    <w:rsid w:val="009F08F3"/>
    <w:rsid w:val="009F344F"/>
    <w:rsid w:val="00A048A8"/>
    <w:rsid w:val="00A04F49"/>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0F84"/>
    <w:rsid w:val="00A92879"/>
    <w:rsid w:val="00A9442A"/>
    <w:rsid w:val="00AA016F"/>
    <w:rsid w:val="00AA1ED6"/>
    <w:rsid w:val="00AA51D6"/>
    <w:rsid w:val="00AB0BC8"/>
    <w:rsid w:val="00AB11CA"/>
    <w:rsid w:val="00AB14D9"/>
    <w:rsid w:val="00AB4AB8"/>
    <w:rsid w:val="00AB655E"/>
    <w:rsid w:val="00AC007F"/>
    <w:rsid w:val="00AC2ECD"/>
    <w:rsid w:val="00AC3119"/>
    <w:rsid w:val="00AC3E64"/>
    <w:rsid w:val="00AC49FB"/>
    <w:rsid w:val="00AC5A10"/>
    <w:rsid w:val="00AD0444"/>
    <w:rsid w:val="00AD0AA3"/>
    <w:rsid w:val="00AD3F94"/>
    <w:rsid w:val="00AD4A5A"/>
    <w:rsid w:val="00AE27AC"/>
    <w:rsid w:val="00AE2834"/>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4F3"/>
    <w:rsid w:val="00B30929"/>
    <w:rsid w:val="00B372AA"/>
    <w:rsid w:val="00B40445"/>
    <w:rsid w:val="00B40BEF"/>
    <w:rsid w:val="00B41888"/>
    <w:rsid w:val="00B45A52"/>
    <w:rsid w:val="00B46175"/>
    <w:rsid w:val="00B6188F"/>
    <w:rsid w:val="00B664C7"/>
    <w:rsid w:val="00B67EEE"/>
    <w:rsid w:val="00B739F6"/>
    <w:rsid w:val="00B81A6C"/>
    <w:rsid w:val="00B85DE5"/>
    <w:rsid w:val="00B87AB8"/>
    <w:rsid w:val="00B90F73"/>
    <w:rsid w:val="00B93B59"/>
    <w:rsid w:val="00B9406A"/>
    <w:rsid w:val="00B97752"/>
    <w:rsid w:val="00BA2280"/>
    <w:rsid w:val="00BA2A08"/>
    <w:rsid w:val="00BA4A65"/>
    <w:rsid w:val="00BA56D2"/>
    <w:rsid w:val="00BA5FBF"/>
    <w:rsid w:val="00BA76E0"/>
    <w:rsid w:val="00BB2A25"/>
    <w:rsid w:val="00BB51E9"/>
    <w:rsid w:val="00BC0FDC"/>
    <w:rsid w:val="00BC3053"/>
    <w:rsid w:val="00BC4D2E"/>
    <w:rsid w:val="00BC535B"/>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79B5"/>
    <w:rsid w:val="00C27C45"/>
    <w:rsid w:val="00C3719D"/>
    <w:rsid w:val="00C50534"/>
    <w:rsid w:val="00C54995"/>
    <w:rsid w:val="00C54D41"/>
    <w:rsid w:val="00C577C3"/>
    <w:rsid w:val="00C60783"/>
    <w:rsid w:val="00C64672"/>
    <w:rsid w:val="00C70697"/>
    <w:rsid w:val="00C72EF4"/>
    <w:rsid w:val="00C75D2F"/>
    <w:rsid w:val="00C767BE"/>
    <w:rsid w:val="00C76E3C"/>
    <w:rsid w:val="00C773D8"/>
    <w:rsid w:val="00C81568"/>
    <w:rsid w:val="00C9027A"/>
    <w:rsid w:val="00C9068E"/>
    <w:rsid w:val="00C93C4B"/>
    <w:rsid w:val="00C944AB"/>
    <w:rsid w:val="00C95B40"/>
    <w:rsid w:val="00C978DB"/>
    <w:rsid w:val="00CA1ED8"/>
    <w:rsid w:val="00CB0BE7"/>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0B3A"/>
    <w:rsid w:val="00D0349B"/>
    <w:rsid w:val="00D05E04"/>
    <w:rsid w:val="00D10249"/>
    <w:rsid w:val="00D115C3"/>
    <w:rsid w:val="00D11897"/>
    <w:rsid w:val="00D13135"/>
    <w:rsid w:val="00D13E4E"/>
    <w:rsid w:val="00D239A7"/>
    <w:rsid w:val="00D23F47"/>
    <w:rsid w:val="00D31ACF"/>
    <w:rsid w:val="00D36E71"/>
    <w:rsid w:val="00D37D87"/>
    <w:rsid w:val="00D40B33"/>
    <w:rsid w:val="00D40E2E"/>
    <w:rsid w:val="00D4318F"/>
    <w:rsid w:val="00D438BF"/>
    <w:rsid w:val="00D440F8"/>
    <w:rsid w:val="00D50F97"/>
    <w:rsid w:val="00D546FF"/>
    <w:rsid w:val="00D55AD5"/>
    <w:rsid w:val="00D576CA"/>
    <w:rsid w:val="00D61AF5"/>
    <w:rsid w:val="00D652B5"/>
    <w:rsid w:val="00D66155"/>
    <w:rsid w:val="00D708B0"/>
    <w:rsid w:val="00D715C5"/>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DF71A0"/>
    <w:rsid w:val="00E110E7"/>
    <w:rsid w:val="00E11B20"/>
    <w:rsid w:val="00E121CB"/>
    <w:rsid w:val="00E17FA2"/>
    <w:rsid w:val="00E20341"/>
    <w:rsid w:val="00E2106F"/>
    <w:rsid w:val="00E22330"/>
    <w:rsid w:val="00E30B5A"/>
    <w:rsid w:val="00E3123D"/>
    <w:rsid w:val="00E31461"/>
    <w:rsid w:val="00E31D43"/>
    <w:rsid w:val="00E32608"/>
    <w:rsid w:val="00E34188"/>
    <w:rsid w:val="00E34B6E"/>
    <w:rsid w:val="00E35559"/>
    <w:rsid w:val="00E3563D"/>
    <w:rsid w:val="00E3723A"/>
    <w:rsid w:val="00E37860"/>
    <w:rsid w:val="00E446F1"/>
    <w:rsid w:val="00E46886"/>
    <w:rsid w:val="00E47AEF"/>
    <w:rsid w:val="00E53B75"/>
    <w:rsid w:val="00E54E3B"/>
    <w:rsid w:val="00E57565"/>
    <w:rsid w:val="00E63838"/>
    <w:rsid w:val="00E64434"/>
    <w:rsid w:val="00E660D3"/>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199E"/>
    <w:rsid w:val="00EC27C6"/>
    <w:rsid w:val="00EC4207"/>
    <w:rsid w:val="00EC5653"/>
    <w:rsid w:val="00EC71CE"/>
    <w:rsid w:val="00ED1006"/>
    <w:rsid w:val="00EE02F8"/>
    <w:rsid w:val="00EF18FE"/>
    <w:rsid w:val="00EF5787"/>
    <w:rsid w:val="00EF60D0"/>
    <w:rsid w:val="00F0528D"/>
    <w:rsid w:val="00F0691B"/>
    <w:rsid w:val="00F06C67"/>
    <w:rsid w:val="00F06DFD"/>
    <w:rsid w:val="00F071D1"/>
    <w:rsid w:val="00F07533"/>
    <w:rsid w:val="00F10629"/>
    <w:rsid w:val="00F154BD"/>
    <w:rsid w:val="00F15FA5"/>
    <w:rsid w:val="00F209B7"/>
    <w:rsid w:val="00F2376F"/>
    <w:rsid w:val="00F243D8"/>
    <w:rsid w:val="00F26787"/>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7757E"/>
    <w:rsid w:val="00F804BE"/>
    <w:rsid w:val="00F817CE"/>
    <w:rsid w:val="00F8456C"/>
    <w:rsid w:val="00F859D8"/>
    <w:rsid w:val="00F868F5"/>
    <w:rsid w:val="00F9056A"/>
    <w:rsid w:val="00F90F8D"/>
    <w:rsid w:val="00F92782"/>
    <w:rsid w:val="00F93AA9"/>
    <w:rsid w:val="00F96985"/>
    <w:rsid w:val="00F97838"/>
    <w:rsid w:val="00FA1358"/>
    <w:rsid w:val="00FA2BB3"/>
    <w:rsid w:val="00FB1BE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 w:val="00FF732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A08D9A"/>
  <w15:chartTrackingRefBased/>
  <w15:docId w15:val="{CB30360A-95C5-4B66-B06D-D2424CFF1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pPr>
  </w:style>
  <w:style w:type="paragraph" w:styleId="TableofFigures">
    <w:name w:val="table of figures"/>
    <w:basedOn w:val="Normal"/>
    <w:next w:val="Normal"/>
    <w:uiPriority w:val="99"/>
    <w:rsid w:val="00D50F97"/>
    <w:pPr>
      <w:ind w:left="1418" w:hanging="1418"/>
      <w:jc w:val="left"/>
    </w:pPr>
    <w:rPr>
      <w:b/>
    </w:rPr>
  </w:style>
  <w:style w:type="character" w:customStyle="1" w:styleId="ListParagraphChar">
    <w:name w:val="List Paragraph Char"/>
    <w:link w:val="ListParagraph"/>
    <w:uiPriority w:val="34"/>
    <w:locked/>
    <w:rsid w:val="00AC3E64"/>
    <w:rPr>
      <w:lang w:val="en-GB"/>
    </w:rPr>
  </w:style>
  <w:style w:type="paragraph" w:styleId="ListParagraph">
    <w:name w:val="List Paragraph"/>
    <w:basedOn w:val="Normal"/>
    <w:link w:val="ListParagraphChar"/>
    <w:uiPriority w:val="34"/>
    <w:qFormat/>
    <w:rsid w:val="00AC3E64"/>
    <w:pPr>
      <w:overflowPunct/>
      <w:autoSpaceDE/>
      <w:autoSpaceDN/>
      <w:adjustRightInd/>
      <w:spacing w:after="180"/>
      <w:ind w:left="720"/>
      <w:contextualSpacing/>
      <w:jc w:val="left"/>
      <w:textAlignment w:val="auto"/>
    </w:pPr>
    <w:rPr>
      <w:rFonts w:ascii="CG Times (WN)" w:hAnsi="CG Times (WN)"/>
      <w:lang w:eastAsia="sv-SE"/>
    </w:rPr>
  </w:style>
  <w:style w:type="character" w:styleId="Emphasis">
    <w:name w:val="Emphasis"/>
    <w:basedOn w:val="DefaultParagraphFont"/>
    <w:uiPriority w:val="20"/>
    <w:qFormat/>
    <w:rsid w:val="000817DE"/>
    <w:rPr>
      <w:i/>
      <w:iCs/>
    </w:rPr>
  </w:style>
  <w:style w:type="character" w:customStyle="1" w:styleId="CommentTextChar">
    <w:name w:val="Comment Text Char"/>
    <w:basedOn w:val="DefaultParagraphFont"/>
    <w:link w:val="CommentText"/>
    <w:semiHidden/>
    <w:rsid w:val="00336ED5"/>
    <w:rPr>
      <w:rFonts w:ascii="Arial" w:hAnsi="Arial"/>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AD0444"/>
    <w:rPr>
      <w:rFonts w:ascii="Arial" w:hAnsi="Arial" w:cs="Arial"/>
      <w:sz w:val="32"/>
      <w:szCs w:val="32"/>
      <w:lang w:val="en-GB" w:eastAsia="zh-CN"/>
    </w:rPr>
  </w:style>
  <w:style w:type="character" w:customStyle="1" w:styleId="ReferenceChar">
    <w:name w:val="Reference Char"/>
    <w:link w:val="Reference"/>
    <w:rsid w:val="009A5817"/>
    <w:rPr>
      <w:rFonts w:ascii="Arial" w:hAnsi="Arial"/>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625B29"/>
    <w:rPr>
      <w:rFonts w:ascii="Arial" w:hAnsi="Arial" w:cs="Arial"/>
      <w:sz w:val="28"/>
      <w:szCs w:val="28"/>
      <w:lang w:val="en-GB" w:eastAsia="zh-CN"/>
    </w:rPr>
  </w:style>
  <w:style w:type="character" w:styleId="Mention">
    <w:name w:val="Mention"/>
    <w:basedOn w:val="DefaultParagraphFont"/>
    <w:uiPriority w:val="99"/>
    <w:semiHidden/>
    <w:unhideWhenUsed/>
    <w:rsid w:val="00B87AB8"/>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oleObject" Target="embeddings/oleObject14.bin"/><Relationship Id="rId21" Type="http://schemas.openxmlformats.org/officeDocument/2006/relationships/oleObject" Target="embeddings/oleObject4.bin"/><Relationship Id="rId34" Type="http://schemas.openxmlformats.org/officeDocument/2006/relationships/image" Target="media/image11.wmf"/><Relationship Id="rId42" Type="http://schemas.openxmlformats.org/officeDocument/2006/relationships/oleObject" Target="embeddings/oleObject16.bin"/><Relationship Id="rId47" Type="http://schemas.openxmlformats.org/officeDocument/2006/relationships/oleObject" Target="embeddings/oleObject20.bin"/><Relationship Id="rId50" Type="http://schemas.openxmlformats.org/officeDocument/2006/relationships/oleObject" Target="embeddings/oleObject23.bin"/><Relationship Id="rId55" Type="http://schemas.openxmlformats.org/officeDocument/2006/relationships/oleObject" Target="embeddings/oleObject26.bin"/><Relationship Id="rId63" Type="http://schemas.openxmlformats.org/officeDocument/2006/relationships/oleObject" Target="embeddings/oleObject32.bin"/><Relationship Id="rId68" Type="http://schemas.openxmlformats.org/officeDocument/2006/relationships/hyperlink" Target="ftp://www.3gpp.org/Specs/archive/36_series/36.213/36213-e20.zip" TargetMode="External"/><Relationship Id="rId7" Type="http://schemas.openxmlformats.org/officeDocument/2006/relationships/customXml" Target="../customXml/item7.xml"/><Relationship Id="rId71"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wmf"/><Relationship Id="rId29"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oleObject" Target="embeddings/oleObject12.bin"/><Relationship Id="rId40" Type="http://schemas.openxmlformats.org/officeDocument/2006/relationships/oleObject" Target="embeddings/oleObject15.bin"/><Relationship Id="rId45" Type="http://schemas.openxmlformats.org/officeDocument/2006/relationships/image" Target="media/image14.wmf"/><Relationship Id="rId53" Type="http://schemas.openxmlformats.org/officeDocument/2006/relationships/oleObject" Target="embeddings/oleObject24.bin"/><Relationship Id="rId58" Type="http://schemas.openxmlformats.org/officeDocument/2006/relationships/image" Target="media/image17.wmf"/><Relationship Id="rId66" Type="http://schemas.openxmlformats.org/officeDocument/2006/relationships/hyperlink" Target="ftp://www.3gpp.org/Specs/archive/36_series/36.881/36881-e00.zip" TargetMode="Externa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oleObject" Target="embeddings/oleObject22.bin"/><Relationship Id="rId57" Type="http://schemas.openxmlformats.org/officeDocument/2006/relationships/oleObject" Target="embeddings/oleObject28.bin"/><Relationship Id="rId61" Type="http://schemas.openxmlformats.org/officeDocument/2006/relationships/oleObject" Target="embeddings/oleObject30.bin"/><Relationship Id="rId10" Type="http://schemas.openxmlformats.org/officeDocument/2006/relationships/settings" Target="settings.xml"/><Relationship Id="rId19" Type="http://schemas.openxmlformats.org/officeDocument/2006/relationships/oleObject" Target="embeddings/oleObject3.bin"/><Relationship Id="rId31" Type="http://schemas.openxmlformats.org/officeDocument/2006/relationships/oleObject" Target="embeddings/oleObject9.bin"/><Relationship Id="rId44" Type="http://schemas.openxmlformats.org/officeDocument/2006/relationships/oleObject" Target="embeddings/oleObject18.bin"/><Relationship Id="rId52" Type="http://schemas.openxmlformats.org/officeDocument/2006/relationships/image" Target="media/image16.wmf"/><Relationship Id="rId60" Type="http://schemas.openxmlformats.org/officeDocument/2006/relationships/image" Target="media/image18.wmf"/><Relationship Id="rId65" Type="http://schemas.openxmlformats.org/officeDocument/2006/relationships/oleObject" Target="embeddings/oleObject33.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image" Target="media/image9.wmf"/><Relationship Id="rId35" Type="http://schemas.openxmlformats.org/officeDocument/2006/relationships/oleObject" Target="embeddings/oleObject11.bin"/><Relationship Id="rId43" Type="http://schemas.openxmlformats.org/officeDocument/2006/relationships/oleObject" Target="embeddings/oleObject17.bin"/><Relationship Id="rId48" Type="http://schemas.openxmlformats.org/officeDocument/2006/relationships/oleObject" Target="embeddings/oleObject21.bin"/><Relationship Id="rId56" Type="http://schemas.openxmlformats.org/officeDocument/2006/relationships/oleObject" Target="embeddings/oleObject27.bin"/><Relationship Id="rId64" Type="http://schemas.openxmlformats.org/officeDocument/2006/relationships/image" Target="media/image19.wmf"/><Relationship Id="rId69" Type="http://schemas.openxmlformats.org/officeDocument/2006/relationships/header" Target="header1.xml"/><Relationship Id="rId8" Type="http://schemas.openxmlformats.org/officeDocument/2006/relationships/numbering" Target="numbering.xml"/><Relationship Id="rId51" Type="http://schemas.openxmlformats.org/officeDocument/2006/relationships/image" Target="media/image15.png"/><Relationship Id="rId72"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oleObject" Target="embeddings/oleObject13.bin"/><Relationship Id="rId46" Type="http://schemas.openxmlformats.org/officeDocument/2006/relationships/oleObject" Target="embeddings/oleObject19.bin"/><Relationship Id="rId59" Type="http://schemas.openxmlformats.org/officeDocument/2006/relationships/oleObject" Target="embeddings/oleObject29.bin"/><Relationship Id="rId67" Type="http://schemas.openxmlformats.org/officeDocument/2006/relationships/hyperlink" Target="ftp://www.3gpp.org/tsg_ran/WG1_RL1//TSGR1_89/Docs/R1-1708841.zip" TargetMode="External"/><Relationship Id="rId20" Type="http://schemas.openxmlformats.org/officeDocument/2006/relationships/image" Target="media/image4.wmf"/><Relationship Id="rId41" Type="http://schemas.openxmlformats.org/officeDocument/2006/relationships/image" Target="media/image13.wmf"/><Relationship Id="rId54" Type="http://schemas.openxmlformats.org/officeDocument/2006/relationships/oleObject" Target="embeddings/oleObject25.bin"/><Relationship Id="rId62" Type="http://schemas.openxmlformats.org/officeDocument/2006/relationships/oleObject" Target="embeddings/oleObject31.bin"/><Relationship Id="rId7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5NUHHDQN7SK2-1-175230</_dlc_DocId>
    <_dlc_DocIdUrl xmlns="08b2df90-05d3-4030-90d4-c9feeb4a1cd9">
      <Url>https://ericoll.internal.ericsson.com/sites/star/_layouts/DocIdRedir.aspx?ID=5NUHHDQN7SK2-1-175230</Url>
      <Description>5NUHHDQN7SK2-1-175230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6E7017-FECB-4015-B3B5-15C3D57C3460}">
  <ds:schemaRefs>
    <ds:schemaRef ds:uri="Microsoft.SharePoint.Taxonomy.ContentTypeSync"/>
  </ds:schemaRefs>
</ds:datastoreItem>
</file>

<file path=customXml/itemProps2.xml><?xml version="1.0" encoding="utf-8"?>
<ds:datastoreItem xmlns:ds="http://schemas.openxmlformats.org/officeDocument/2006/customXml" ds:itemID="{4AAA2712-0903-45F7-98A6-09FE70F296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AD64B6-C822-464C-BA06-4EC86F276665}">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1073EE57-6533-4C01-A137-A4F3FE45970D}">
  <ds:schemaRefs>
    <ds:schemaRef ds:uri="http://schemas.microsoft.com/sharepoint/v3/contenttype/forms"/>
  </ds:schemaRefs>
</ds:datastoreItem>
</file>

<file path=customXml/itemProps5.xml><?xml version="1.0" encoding="utf-8"?>
<ds:datastoreItem xmlns:ds="http://schemas.openxmlformats.org/officeDocument/2006/customXml" ds:itemID="{86E1B0EA-21AA-4099-A2D7-619B5D81FDCB}">
  <ds:schemaRefs>
    <ds:schemaRef ds:uri="http://schemas.microsoft.com/office/2006/metadata/longProperties"/>
  </ds:schemaRefs>
</ds:datastoreItem>
</file>

<file path=customXml/itemProps6.xml><?xml version="1.0" encoding="utf-8"?>
<ds:datastoreItem xmlns:ds="http://schemas.openxmlformats.org/officeDocument/2006/customXml" ds:itemID="{1AB066E2-70EA-43BA-86AB-7E1CA89E67B1}">
  <ds:schemaRefs>
    <ds:schemaRef ds:uri="http://schemas.microsoft.com/sharepoint/events"/>
  </ds:schemaRefs>
</ds:datastoreItem>
</file>

<file path=customXml/itemProps7.xml><?xml version="1.0" encoding="utf-8"?>
<ds:datastoreItem xmlns:ds="http://schemas.openxmlformats.org/officeDocument/2006/customXml" ds:itemID="{D64CAFCA-F921-4181-B659-18BD6E1C06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52</TotalTime>
  <Pages>4</Pages>
  <Words>1415</Words>
  <Characters>7505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8903</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3GPP; Ericsson; TDoc</cp:keywords>
  <cp:lastModifiedBy>Laetitia Falconetti</cp:lastModifiedBy>
  <cp:revision>26</cp:revision>
  <cp:lastPrinted>2008-01-31T07:09:00Z</cp:lastPrinted>
  <dcterms:created xsi:type="dcterms:W3CDTF">2017-08-03T09:32:00Z</dcterms:created>
  <dcterms:modified xsi:type="dcterms:W3CDTF">2017-08-11T22:19:00Z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EriCOLLCategory">
    <vt:lpwstr>1;#Research|7f1f7aab-c784-40ec-8666-825d2ac7abef</vt:lpwstr>
  </property>
  <property fmtid="{D5CDD505-2E9C-101B-9397-08002B2CF9AE}" pid="4" name="EriCOLLOrganizationUnit">
    <vt:lpwstr>2;#GFTE ER Radio Access Technologies|692a7af5-c1f7-4d68-b1ab-a7920dfecb78</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EriCOLLProjects">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Customer">
    <vt:lpwstr/>
  </property>
  <property fmtid="{D5CDD505-2E9C-101B-9397-08002B2CF9AE}" pid="11" name="EriCOLLProducts">
    <vt:lpwstr/>
  </property>
  <property fmtid="{D5CDD505-2E9C-101B-9397-08002B2CF9AE}" pid="12" name="ContentTypeId">
    <vt:lpwstr>0x010100BB337192E63E44A7A744CE7393F41F4E00FC0FCE182CC02C499F00CC069FCD5A25</vt:lpwstr>
  </property>
  <property fmtid="{D5CDD505-2E9C-101B-9397-08002B2CF9AE}" pid="13" name="_dlc_DocIdItemGuid">
    <vt:lpwstr>0f6fb44c-e743-4ba2-8d03-8ec807aa7363</vt:lpwstr>
  </property>
</Properties>
</file>