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7BA465FE" w:rsidR="00C07E87" w:rsidRPr="00DD11F7" w:rsidRDefault="00812072" w:rsidP="00C07E87">
      <w:pPr>
        <w:pStyle w:val="3GPPHeader"/>
        <w:spacing w:after="60"/>
        <w:rPr>
          <w:b w:val="0"/>
          <w:bCs/>
          <w:szCs w:val="24"/>
          <w:highlight w:val="yellow"/>
          <w:lang w:val="de-DE"/>
        </w:rPr>
      </w:pPr>
      <w:r w:rsidRPr="00DD11F7">
        <w:rPr>
          <w:b w:val="0"/>
          <w:bCs/>
          <w:lang w:val="de-DE"/>
        </w:rPr>
        <w:t xml:space="preserve">3GPP TSG-RAN WG1 </w:t>
      </w:r>
      <w:r w:rsidR="001C2C68" w:rsidRPr="00DD11F7">
        <w:rPr>
          <w:b w:val="0"/>
          <w:bCs/>
          <w:lang w:val="de-DE"/>
        </w:rPr>
        <w:t>#8</w:t>
      </w:r>
      <w:r w:rsidR="00843378">
        <w:rPr>
          <w:b w:val="0"/>
          <w:bCs/>
          <w:lang w:val="de-DE"/>
        </w:rPr>
        <w:t>9</w:t>
      </w:r>
      <w:r w:rsidR="00C07E87" w:rsidRPr="00DD11F7">
        <w:rPr>
          <w:b w:val="0"/>
          <w:bCs/>
          <w:lang w:val="de-DE"/>
        </w:rPr>
        <w:tab/>
      </w:r>
      <w:bookmarkStart w:id="0" w:name="_GoBack"/>
      <w:bookmarkEnd w:id="0"/>
      <w:r w:rsidR="005F1E91" w:rsidRPr="00887373">
        <w:rPr>
          <w:b w:val="0"/>
          <w:bCs/>
          <w:szCs w:val="24"/>
          <w:lang w:val="de-DE"/>
        </w:rPr>
        <w:t>R1-</w:t>
      </w:r>
      <w:r w:rsidR="00546468" w:rsidRPr="00887373">
        <w:rPr>
          <w:b w:val="0"/>
          <w:bCs/>
          <w:szCs w:val="24"/>
          <w:lang w:val="de-DE"/>
        </w:rPr>
        <w:t>170</w:t>
      </w:r>
      <w:r w:rsidR="00887373" w:rsidRPr="00887373">
        <w:rPr>
          <w:b w:val="0"/>
          <w:bCs/>
          <w:szCs w:val="24"/>
          <w:lang w:val="de-DE"/>
        </w:rPr>
        <w:t>9087</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4A0F4F0B"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122B87" w:rsidRPr="00131D77">
        <w:rPr>
          <w:sz w:val="22"/>
          <w:szCs w:val="22"/>
          <w:lang w:val="en-US"/>
        </w:rPr>
        <w:t>7.1.3.</w:t>
      </w:r>
      <w:r w:rsidR="00131D77" w:rsidRPr="00131D77">
        <w:rPr>
          <w:sz w:val="22"/>
          <w:szCs w:val="22"/>
          <w:lang w:val="en-US"/>
        </w:rPr>
        <w:t>2.3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8C0D15F" w:rsidR="00E90E49" w:rsidRPr="00CE0424" w:rsidRDefault="003D3C45" w:rsidP="00311702">
      <w:pPr>
        <w:pStyle w:val="3GPPHeader"/>
        <w:rPr>
          <w:sz w:val="22"/>
          <w:szCs w:val="22"/>
        </w:rPr>
      </w:pPr>
      <w:r>
        <w:rPr>
          <w:sz w:val="22"/>
          <w:szCs w:val="22"/>
        </w:rPr>
        <w:t>Title:</w:t>
      </w:r>
      <w:r w:rsidR="00E90E49" w:rsidRPr="00CE0424">
        <w:rPr>
          <w:sz w:val="22"/>
          <w:szCs w:val="22"/>
        </w:rPr>
        <w:tab/>
      </w:r>
      <w:r w:rsidR="005F1E91" w:rsidRPr="000506A7">
        <w:rPr>
          <w:sz w:val="22"/>
          <w:szCs w:val="22"/>
        </w:rPr>
        <w:t xml:space="preserve">On </w:t>
      </w:r>
      <w:r w:rsidR="00131D77">
        <w:rPr>
          <w:sz w:val="22"/>
          <w:szCs w:val="22"/>
        </w:rPr>
        <w:t>PUCCH resource allocation</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1FE3B705" w:rsidR="005F0D0E" w:rsidRDefault="00131D77" w:rsidP="005F0D0E">
      <w:r>
        <w:t xml:space="preserve">It has been agreed that NR supports at least explicit resource allocation without specifying yet many details. In this contribution we discuss our view on some details related to </w:t>
      </w:r>
      <w:r w:rsidR="00A46896">
        <w:t xml:space="preserve">explicit </w:t>
      </w:r>
      <w:r>
        <w:t>PUCCH resource allocation.</w:t>
      </w:r>
      <w:r w:rsidR="005F0D0E">
        <w:t xml:space="preserve"> </w:t>
      </w:r>
    </w:p>
    <w:p w14:paraId="5A9DE7BC" w14:textId="73805911"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FB27D60" w14:textId="27DC7566" w:rsidR="00954FEF" w:rsidRDefault="00954FEF" w:rsidP="00954FEF">
      <w:pPr>
        <w:pStyle w:val="BodyText"/>
      </w:pPr>
      <w:r>
        <w:t xml:space="preserve">In </w:t>
      </w:r>
      <w:r>
        <w:fldChar w:fldCharType="begin"/>
      </w:r>
      <w:r>
        <w:instrText xml:space="preserve"> REF _Ref473809509 \h </w:instrText>
      </w:r>
      <w:r>
        <w:fldChar w:fldCharType="separate"/>
      </w:r>
      <w:r>
        <w:t xml:space="preserve">Figure </w:t>
      </w:r>
      <w:r>
        <w:rPr>
          <w:noProof/>
        </w:rPr>
        <w:t>1</w:t>
      </w:r>
      <w:r>
        <w:fldChar w:fldCharType="end"/>
      </w:r>
      <w:r>
        <w:t xml:space="preserve"> DL transmission is shown where a DL transmission is scheduled in slot </w:t>
      </w:r>
      <w:r w:rsidRPr="0089084F">
        <w:rPr>
          <w:i/>
        </w:rPr>
        <w:t>n</w:t>
      </w:r>
      <w:r>
        <w:t xml:space="preserve"> and the HARQ feedback is requested in </w:t>
      </w:r>
      <w:r w:rsidRPr="001E68AF">
        <w:t xml:space="preserve">slot </w:t>
      </w:r>
      <w:r w:rsidRPr="001E68AF">
        <w:rPr>
          <w:i/>
        </w:rPr>
        <w:t>n+1</w:t>
      </w:r>
      <w:r w:rsidRPr="001E68AF">
        <w:t>.</w:t>
      </w:r>
      <w:r w:rsidR="00F46A6C" w:rsidRPr="001E68AF">
        <w:t xml:space="preserve"> </w:t>
      </w:r>
      <w:r w:rsidR="00A069B7" w:rsidRPr="001E68AF">
        <w:t>It has been agreed that</w:t>
      </w:r>
      <w:r w:rsidR="00A069B7">
        <w:t xml:space="preserve"> the DCI can indicate the slot in which to report HARQ feedback</w:t>
      </w:r>
      <w:r w:rsidR="001E68AF">
        <w:t xml:space="preserve"> </w:t>
      </w:r>
      <w:r w:rsidR="001E68AF">
        <w:fldChar w:fldCharType="begin"/>
      </w:r>
      <w:r w:rsidR="001E68AF">
        <w:instrText xml:space="preserve"> REF _Ref473562398 \r \h </w:instrText>
      </w:r>
      <w:r w:rsidR="001E68AF">
        <w:fldChar w:fldCharType="separate"/>
      </w:r>
      <w:r w:rsidR="001E68AF">
        <w:t>[1]</w:t>
      </w:r>
      <w:r w:rsidR="001E68AF">
        <w:fldChar w:fldCharType="end"/>
      </w:r>
      <w:r w:rsidR="000119F9">
        <w:t xml:space="preserve"> (</w:t>
      </w:r>
      <w:r w:rsidR="000119F9" w:rsidRPr="001E68AF">
        <w:t>The time indicator T in the figure is the sum of K0 and K1</w:t>
      </w:r>
      <w:r w:rsidR="000119F9">
        <w:t>)</w:t>
      </w:r>
      <w:r w:rsidR="00A069B7">
        <w:t>.</w:t>
      </w:r>
    </w:p>
    <w:p w14:paraId="4D807F21" w14:textId="77777777" w:rsidR="00954FEF" w:rsidRDefault="00954FEF" w:rsidP="00954FEF">
      <w:pPr>
        <w:pStyle w:val="BodyText"/>
        <w:jc w:val="center"/>
      </w:pPr>
      <w:r>
        <w:rPr>
          <w:noProof/>
          <w:lang w:val="sv-SE" w:eastAsia="sv-SE"/>
        </w:rPr>
        <w:drawing>
          <wp:inline distT="0" distB="0" distL="0" distR="0" wp14:anchorId="1F97540B" wp14:editId="0B7FEE09">
            <wp:extent cx="2991600" cy="134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91600" cy="1342800"/>
                    </a:xfrm>
                    <a:prstGeom prst="rect">
                      <a:avLst/>
                    </a:prstGeom>
                  </pic:spPr>
                </pic:pic>
              </a:graphicData>
            </a:graphic>
          </wp:inline>
        </w:drawing>
      </w:r>
    </w:p>
    <w:p w14:paraId="2994900D" w14:textId="53E8005F" w:rsidR="006D4414" w:rsidRPr="00355F21" w:rsidRDefault="00954FEF" w:rsidP="00355F21">
      <w:pPr>
        <w:pStyle w:val="Caption"/>
        <w:jc w:val="both"/>
        <w:rPr>
          <w:i/>
        </w:rPr>
      </w:pPr>
      <w:bookmarkStart w:id="69" w:name="_Ref473809509"/>
      <w:r>
        <w:t xml:space="preserve">Figure </w:t>
      </w:r>
      <w:r>
        <w:fldChar w:fldCharType="begin"/>
      </w:r>
      <w:r>
        <w:instrText xml:space="preserve"> SEQ Figure \* ARABIC </w:instrText>
      </w:r>
      <w:r>
        <w:fldChar w:fldCharType="separate"/>
      </w:r>
      <w:r>
        <w:rPr>
          <w:noProof/>
        </w:rPr>
        <w:t>1</w:t>
      </w:r>
      <w:r>
        <w:rPr>
          <w:noProof/>
        </w:rPr>
        <w:fldChar w:fldCharType="end"/>
      </w:r>
      <w:bookmarkEnd w:id="69"/>
      <w:r>
        <w:tab/>
        <w:t xml:space="preserve">A </w:t>
      </w:r>
      <w:r w:rsidR="00A46896">
        <w:t>UE</w:t>
      </w:r>
      <w:r>
        <w:t xml:space="preserve"> is scheduled with DL data in </w:t>
      </w:r>
      <w:r w:rsidRPr="006D4414">
        <w:t>slot</w:t>
      </w:r>
      <w:r>
        <w:t xml:space="preserve"> </w:t>
      </w:r>
      <w:r w:rsidRPr="00887FAD">
        <w:rPr>
          <w:i/>
        </w:rPr>
        <w:t>n</w:t>
      </w:r>
      <w:r>
        <w:t xml:space="preserve">. Information in DCI indicates that corresponding HARQ feedback should be sent in slot </w:t>
      </w:r>
      <w:r>
        <w:rPr>
          <w:i/>
        </w:rPr>
        <w:t xml:space="preserve">n+1. </w:t>
      </w:r>
    </w:p>
    <w:p w14:paraId="20E8142F" w14:textId="11DB6A95" w:rsidR="00954FEF" w:rsidRDefault="00954FEF" w:rsidP="00954FEF">
      <w:pPr>
        <w:pStyle w:val="BodyText"/>
      </w:pPr>
      <w:r>
        <w:t>In addition to the timing the UE also needs to know the exact PUCCH resource. I</w:t>
      </w:r>
      <w:r w:rsidR="00A069B7">
        <w:t>t</w:t>
      </w:r>
      <w:r>
        <w:t xml:space="preserve"> has been agreed to at least support PUCCH resources configured by higher layers and DCI indicates which of the configured resources to use. </w:t>
      </w:r>
    </w:p>
    <w:p w14:paraId="025B2552" w14:textId="74C58268" w:rsidR="00954FEF" w:rsidRDefault="00954FEF" w:rsidP="00954FEF">
      <w:pPr>
        <w:pStyle w:val="BodyText"/>
      </w:pPr>
      <w:r>
        <w:t xml:space="preserve">In </w:t>
      </w:r>
      <w:r>
        <w:fldChar w:fldCharType="begin"/>
      </w:r>
      <w:r>
        <w:instrText xml:space="preserve"> REF _Ref473809640 \h </w:instrText>
      </w:r>
      <w:r>
        <w:fldChar w:fldCharType="separate"/>
      </w:r>
      <w:r>
        <w:t xml:space="preserve">Figure </w:t>
      </w:r>
      <w:r>
        <w:rPr>
          <w:noProof/>
        </w:rPr>
        <w:t>2</w:t>
      </w:r>
      <w:r>
        <w:fldChar w:fldCharType="end"/>
      </w:r>
      <w:r>
        <w:t xml:space="preserve"> another scheduling example is shown where a UE is scheduled in subsequent slots with DL transmissions. Due to lack of PUCCH opportunities (e.g. no UL opportunities) HARQ feedback for all shown transmissions is requested in slot </w:t>
      </w:r>
      <w:r>
        <w:rPr>
          <w:i/>
        </w:rPr>
        <w:t>n+3</w:t>
      </w:r>
      <w:r>
        <w:t xml:space="preserve">. </w:t>
      </w:r>
    </w:p>
    <w:p w14:paraId="7DB370E2" w14:textId="77777777" w:rsidR="00954FEF" w:rsidRDefault="00954FEF" w:rsidP="00954FEF">
      <w:pPr>
        <w:pStyle w:val="BodyText"/>
        <w:jc w:val="center"/>
      </w:pPr>
      <w:r>
        <w:rPr>
          <w:noProof/>
          <w:lang w:val="sv-SE" w:eastAsia="sv-SE"/>
        </w:rPr>
        <w:drawing>
          <wp:inline distT="0" distB="0" distL="0" distR="0" wp14:anchorId="45DB800C" wp14:editId="10CC2FB8">
            <wp:extent cx="5364000" cy="15732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64000" cy="1573200"/>
                    </a:xfrm>
                    <a:prstGeom prst="rect">
                      <a:avLst/>
                    </a:prstGeom>
                  </pic:spPr>
                </pic:pic>
              </a:graphicData>
            </a:graphic>
          </wp:inline>
        </w:drawing>
      </w:r>
    </w:p>
    <w:p w14:paraId="2C7AE571" w14:textId="05DEA0A9" w:rsidR="00954FEF" w:rsidRPr="00355F21" w:rsidRDefault="00954FEF" w:rsidP="00355F21">
      <w:pPr>
        <w:pStyle w:val="Caption"/>
        <w:jc w:val="both"/>
      </w:pPr>
      <w:bookmarkStart w:id="70" w:name="_Ref473809640"/>
      <w:r>
        <w:t xml:space="preserve">Figure </w:t>
      </w:r>
      <w:r>
        <w:fldChar w:fldCharType="begin"/>
      </w:r>
      <w:r>
        <w:instrText xml:space="preserve"> SEQ Figure \* ARABIC </w:instrText>
      </w:r>
      <w:r>
        <w:fldChar w:fldCharType="separate"/>
      </w:r>
      <w:r>
        <w:t>2</w:t>
      </w:r>
      <w:r>
        <w:fldChar w:fldCharType="end"/>
      </w:r>
      <w:bookmarkEnd w:id="70"/>
      <w:r>
        <w:tab/>
        <w:t xml:space="preserve">A devices is scheduled multiple times and should send HARQ feedback for all transmissions in slot </w:t>
      </w:r>
      <w:r w:rsidRPr="00355F21">
        <w:rPr>
          <w:i/>
        </w:rPr>
        <w:t>n+3</w:t>
      </w:r>
      <w:r>
        <w:t xml:space="preserve">. The ACK/NACK </w:t>
      </w:r>
      <w:r w:rsidRPr="006D4414">
        <w:t>timing</w:t>
      </w:r>
      <w:r>
        <w:t xml:space="preserve"> indicator included in the DCIs points for all </w:t>
      </w:r>
      <w:r>
        <w:lastRenderedPageBreak/>
        <w:t xml:space="preserve">transmissions to slot </w:t>
      </w:r>
      <w:r w:rsidRPr="00355F21">
        <w:rPr>
          <w:i/>
        </w:rPr>
        <w:t>n+3</w:t>
      </w:r>
      <w:r>
        <w:t>. The ARI included in the DCIs points to different PUCCH resources to avoid collisions.</w:t>
      </w:r>
    </w:p>
    <w:p w14:paraId="01C0F253" w14:textId="549690AF" w:rsidR="00954FEF" w:rsidRDefault="00954FEF" w:rsidP="00954FEF">
      <w:pPr>
        <w:pStyle w:val="BodyText"/>
      </w:pPr>
      <w:r>
        <w:t xml:space="preserve">While this works in principle it is not the most efficient solution. In the example shown in </w:t>
      </w:r>
      <w:r>
        <w:fldChar w:fldCharType="begin"/>
      </w:r>
      <w:r>
        <w:instrText xml:space="preserve"> REF _Ref473809640 \h </w:instrText>
      </w:r>
      <w:r>
        <w:fldChar w:fldCharType="separate"/>
      </w:r>
      <w:r>
        <w:t xml:space="preserve">Figure </w:t>
      </w:r>
      <w:r>
        <w:rPr>
          <w:noProof/>
        </w:rPr>
        <w:t>2</w:t>
      </w:r>
      <w:r>
        <w:fldChar w:fldCharType="end"/>
      </w:r>
      <w:r>
        <w:t xml:space="preserve">, the UE would have to transmit three independent PUCCH in subframe </w:t>
      </w:r>
      <w:r w:rsidRPr="00C47A5A">
        <w:rPr>
          <w:i/>
        </w:rPr>
        <w:t>n+3</w:t>
      </w:r>
      <w:r>
        <w:t xml:space="preserve">. This is sub-optimum from many perspectives: One jointly coded transmissions with 3 bits (assuming for simplicity each HARQ feedback consists of a single bit) can be more efficient than 3 individual transmissions; some of the NR PUCCH formats will be of low PAPR which will be lost if multiple PUCCH are transmitted simultaneously; depending on the frequency positions of the PUCCH resources power back-offs might be required to mitigate intermodulation products. It should be possible to request HARQ feedback from DL transmissions from different DL assignments in a single UCI message, see </w:t>
      </w:r>
      <w:r>
        <w:fldChar w:fldCharType="begin"/>
      </w:r>
      <w:r>
        <w:instrText xml:space="preserve"> REF _Ref478034784 \h </w:instrText>
      </w:r>
      <w:r>
        <w:fldChar w:fldCharType="separate"/>
      </w:r>
      <w:r>
        <w:t xml:space="preserve">Figure </w:t>
      </w:r>
      <w:r>
        <w:rPr>
          <w:noProof/>
        </w:rPr>
        <w:t>3</w:t>
      </w:r>
      <w:r>
        <w:fldChar w:fldCharType="end"/>
      </w:r>
      <w:r>
        <w:t>. The different DL assignments can relate to different slots but also to different carriers in carrier aggregation.</w:t>
      </w:r>
    </w:p>
    <w:p w14:paraId="621D1E8F" w14:textId="5D2A48B6" w:rsidR="00954FEF" w:rsidRDefault="00954FEF" w:rsidP="00954FEF">
      <w:pPr>
        <w:pStyle w:val="BodyText"/>
        <w:rPr>
          <w:b/>
          <w:i/>
        </w:rPr>
      </w:pPr>
      <w:r w:rsidRPr="00CC38EA">
        <w:rPr>
          <w:b/>
          <w:i/>
        </w:rPr>
        <w:t>Proposal</w:t>
      </w:r>
      <w:r w:rsidR="00A069B7">
        <w:rPr>
          <w:b/>
          <w:i/>
        </w:rPr>
        <w:t xml:space="preserve"> 1</w:t>
      </w:r>
      <w:r w:rsidRPr="00CC38EA">
        <w:rPr>
          <w:b/>
          <w:i/>
        </w:rPr>
        <w:t xml:space="preserve">: HARQ feedback from different </w:t>
      </w:r>
      <w:r>
        <w:rPr>
          <w:b/>
          <w:i/>
        </w:rPr>
        <w:t xml:space="preserve">DL </w:t>
      </w:r>
      <w:r w:rsidR="00A069B7">
        <w:rPr>
          <w:b/>
          <w:i/>
        </w:rPr>
        <w:t>assignments</w:t>
      </w:r>
      <w:r w:rsidRPr="00CC38EA">
        <w:rPr>
          <w:b/>
          <w:i/>
        </w:rPr>
        <w:t xml:space="preserve"> can be jointly encoded and transmitted with a single </w:t>
      </w:r>
      <w:r>
        <w:rPr>
          <w:b/>
          <w:i/>
        </w:rPr>
        <w:t>UCI</w:t>
      </w:r>
      <w:r w:rsidRPr="00CC38EA">
        <w:rPr>
          <w:b/>
          <w:i/>
        </w:rPr>
        <w:t xml:space="preserve"> </w:t>
      </w:r>
      <w:r>
        <w:rPr>
          <w:b/>
          <w:i/>
        </w:rPr>
        <w:t>message</w:t>
      </w:r>
      <w:r w:rsidRPr="00CC38EA">
        <w:rPr>
          <w:b/>
          <w:i/>
        </w:rPr>
        <w:t>.</w:t>
      </w:r>
    </w:p>
    <w:p w14:paraId="122A4DF0" w14:textId="77777777" w:rsidR="00954FEF" w:rsidRDefault="00954FEF" w:rsidP="00954FEF">
      <w:pPr>
        <w:pStyle w:val="BodyText"/>
        <w:rPr>
          <w:b/>
          <w:i/>
        </w:rPr>
      </w:pPr>
    </w:p>
    <w:p w14:paraId="7BFCAF93" w14:textId="0B327543" w:rsidR="00954FEF" w:rsidRPr="00DD3465" w:rsidRDefault="00EF4824" w:rsidP="00954FEF">
      <w:pPr>
        <w:pStyle w:val="BodyText"/>
        <w:jc w:val="center"/>
        <w:rPr>
          <w:b/>
        </w:rPr>
      </w:pPr>
      <w:r>
        <w:rPr>
          <w:b/>
          <w:noProof/>
          <w:lang w:val="sv-SE" w:eastAsia="sv-SE"/>
        </w:rPr>
        <w:drawing>
          <wp:inline distT="0" distB="0" distL="0" distR="0" wp14:anchorId="4AA8377D" wp14:editId="147E1B86">
            <wp:extent cx="6120765" cy="1795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4.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1795145"/>
                    </a:xfrm>
                    <a:prstGeom prst="rect">
                      <a:avLst/>
                    </a:prstGeom>
                  </pic:spPr>
                </pic:pic>
              </a:graphicData>
            </a:graphic>
          </wp:inline>
        </w:drawing>
      </w:r>
    </w:p>
    <w:p w14:paraId="2BB04C9E" w14:textId="5293F9C0" w:rsidR="00954FEF" w:rsidRDefault="00954FEF" w:rsidP="00355F21">
      <w:pPr>
        <w:pStyle w:val="Caption"/>
        <w:jc w:val="both"/>
      </w:pPr>
      <w:bookmarkStart w:id="71" w:name="_Ref478034784"/>
      <w:r>
        <w:t xml:space="preserve">Figure </w:t>
      </w:r>
      <w:r>
        <w:fldChar w:fldCharType="begin"/>
      </w:r>
      <w:r>
        <w:instrText xml:space="preserve"> SEQ Figure \* ARABIC </w:instrText>
      </w:r>
      <w:r>
        <w:fldChar w:fldCharType="separate"/>
      </w:r>
      <w:r>
        <w:t>3</w:t>
      </w:r>
      <w:r>
        <w:fldChar w:fldCharType="end"/>
      </w:r>
      <w:bookmarkEnd w:id="71"/>
      <w:r>
        <w:tab/>
        <w:t>HARQ feedback from multiple DL transmissions is sent in one PUCCH.</w:t>
      </w:r>
    </w:p>
    <w:p w14:paraId="04B26E64" w14:textId="31C461CF" w:rsidR="00131D77" w:rsidRDefault="00954FEF" w:rsidP="000D1F37">
      <w:r>
        <w:t xml:space="preserve">For simplicity the discussion so far did not consider the fact that an NR UE can be configured with different PUCCH formats. </w:t>
      </w:r>
      <w:r w:rsidR="00131D77">
        <w:t>NR defines multiple PUCCH for</w:t>
      </w:r>
      <w:r w:rsidR="00131D77" w:rsidRPr="001E68AF">
        <w:t>mats: It will support a 1-symbol PUCCH format for 1-2 bits</w:t>
      </w:r>
      <w:r w:rsidR="001E68AF">
        <w:t xml:space="preserve"> </w:t>
      </w:r>
      <w:r w:rsidR="001E68AF">
        <w:fldChar w:fldCharType="begin"/>
      </w:r>
      <w:r w:rsidR="001E68AF">
        <w:instrText xml:space="preserve"> REF _Ref473562398 \r \h </w:instrText>
      </w:r>
      <w:r w:rsidR="001E68AF">
        <w:fldChar w:fldCharType="separate"/>
      </w:r>
      <w:r w:rsidR="001E68AF">
        <w:t>[1]</w:t>
      </w:r>
      <w:r w:rsidR="001E68AF">
        <w:fldChar w:fldCharType="end"/>
      </w:r>
      <w:r w:rsidR="00131D77">
        <w:t>, a 1-symbol PUCCH format for &gt;2 bits</w:t>
      </w:r>
      <w:r w:rsidR="001E68AF">
        <w:t xml:space="preserve"> </w:t>
      </w:r>
      <w:r w:rsidR="001E68AF">
        <w:fldChar w:fldCharType="begin"/>
      </w:r>
      <w:r w:rsidR="001E68AF">
        <w:instrText xml:space="preserve"> REF _Ref473562398 \r \h </w:instrText>
      </w:r>
      <w:r w:rsidR="001E68AF">
        <w:fldChar w:fldCharType="separate"/>
      </w:r>
      <w:r w:rsidR="001E68AF">
        <w:t>[1]</w:t>
      </w:r>
      <w:r w:rsidR="001E68AF">
        <w:fldChar w:fldCharType="end"/>
      </w:r>
      <w:r w:rsidR="00131D77">
        <w:t>, one or more 2-symbol PUCCH formats</w:t>
      </w:r>
      <w:r w:rsidR="001E68AF">
        <w:t xml:space="preserve"> </w:t>
      </w:r>
      <w:r w:rsidR="001E68AF">
        <w:fldChar w:fldCharType="begin"/>
      </w:r>
      <w:r w:rsidR="001E68AF">
        <w:instrText xml:space="preserve"> REF _Ref473562398 \r \h </w:instrText>
      </w:r>
      <w:r w:rsidR="001E68AF">
        <w:fldChar w:fldCharType="separate"/>
      </w:r>
      <w:r w:rsidR="001E68AF">
        <w:t>[1]</w:t>
      </w:r>
      <w:r w:rsidR="001E68AF">
        <w:fldChar w:fldCharType="end"/>
      </w:r>
      <w:r w:rsidR="00131D77">
        <w:t>, one or more long PUCCH formats (for different payload ranges) with lengths 4 to 14 symbols</w:t>
      </w:r>
      <w:r w:rsidR="001E68AF">
        <w:t xml:space="preserve"> </w:t>
      </w:r>
      <w:r w:rsidR="001E68AF">
        <w:fldChar w:fldCharType="begin"/>
      </w:r>
      <w:r w:rsidR="001E68AF">
        <w:instrText xml:space="preserve"> REF _Ref469998882 \r \h </w:instrText>
      </w:r>
      <w:r w:rsidR="001E68AF">
        <w:fldChar w:fldCharType="separate"/>
      </w:r>
      <w:r w:rsidR="001E68AF">
        <w:t>[2]</w:t>
      </w:r>
      <w:r w:rsidR="001E68AF">
        <w:fldChar w:fldCharType="end"/>
      </w:r>
      <w:r w:rsidR="00131D77">
        <w:t xml:space="preserve">. Furthermore, PUCCH slot aggregation is supported. </w:t>
      </w:r>
    </w:p>
    <w:p w14:paraId="3452094E" w14:textId="1B669BDC" w:rsidR="00131D77" w:rsidRDefault="00131D77" w:rsidP="000D1F37">
      <w:r>
        <w:t xml:space="preserve">At the last meeting is </w:t>
      </w:r>
      <w:r w:rsidRPr="001E68AF">
        <w:t>has also been agreed to support TDM</w:t>
      </w:r>
      <w:r>
        <w:t xml:space="preserve"> of short and long PUCCH from same UE and two short PUCCH </w:t>
      </w:r>
      <w:r w:rsidR="00C829AD">
        <w:t>from the same UE</w:t>
      </w:r>
      <w:r w:rsidR="001E68AF">
        <w:t xml:space="preserve"> </w:t>
      </w:r>
      <w:r w:rsidR="001E68AF">
        <w:fldChar w:fldCharType="begin"/>
      </w:r>
      <w:r w:rsidR="001E68AF">
        <w:instrText xml:space="preserve"> REF _Ref481682274 \r \h </w:instrText>
      </w:r>
      <w:r w:rsidR="001E68AF">
        <w:fldChar w:fldCharType="separate"/>
      </w:r>
      <w:r w:rsidR="001E68AF">
        <w:t>[3]</w:t>
      </w:r>
      <w:r w:rsidR="001E68AF">
        <w:fldChar w:fldCharType="end"/>
      </w:r>
      <w:r w:rsidR="00C829AD">
        <w:t xml:space="preserve">. </w:t>
      </w:r>
    </w:p>
    <w:p w14:paraId="4B896903" w14:textId="2AE70477" w:rsidR="00131D77" w:rsidRDefault="00C829AD" w:rsidP="000D1F37">
      <w:r>
        <w:t xml:space="preserve">One possibility would be to separately indicate which PUCCH format to use (short PUCCH format 1, short PUCCH format2, long </w:t>
      </w:r>
      <w:r w:rsidR="00B66CEC">
        <w:t>PUCH fro</w:t>
      </w:r>
      <w:r w:rsidR="00954FEF">
        <w:t>mat1, …) and on which resources</w:t>
      </w:r>
      <w:r w:rsidR="00B66CEC">
        <w:t>.</w:t>
      </w:r>
      <w:r w:rsidR="00954FEF">
        <w:t xml:space="preserve"> In addition to the ARI a PUCCH format indicator </w:t>
      </w:r>
      <w:r w:rsidR="00A069B7">
        <w:t xml:space="preserve">would need to be included in the DCI. </w:t>
      </w:r>
      <w:r w:rsidR="00B66CEC">
        <w:t xml:space="preserve">A UE might be configured with different </w:t>
      </w:r>
      <w:r w:rsidR="000119F9">
        <w:t>numbers</w:t>
      </w:r>
      <w:r w:rsidR="00B66CEC">
        <w:t xml:space="preserve"> of each PUCCH format which makes separate signalling ineffective, the PUCCH resource field must be dimensioned for the PUCCH format with most configured resources. </w:t>
      </w:r>
    </w:p>
    <w:p w14:paraId="04BECFBE" w14:textId="1A89EBE5" w:rsidR="00A069B7" w:rsidRDefault="00B66CEC" w:rsidP="000D1F37">
      <w:r>
        <w:t xml:space="preserve">A more efficient solution would be to configure a UE with a pool of PUCCH </w:t>
      </w:r>
      <w:r w:rsidR="00EF4824">
        <w:t>formats and resources (opportunities)</w:t>
      </w:r>
      <w:r>
        <w:t xml:space="preserve">. This pool can contain different PUCCH formats, e.g. a few 1-symbol 1-2 bit PUCCH resources, a few 1-2 bit long PUCCH resources, etc. An ACK/NACK resource indicator (ARI) contained in the DCI is used to indicate which PUCCH opportunity </w:t>
      </w:r>
      <w:r w:rsidR="005B0059">
        <w:t>(PUCCH format and resource) should be used.</w:t>
      </w:r>
      <w:r w:rsidR="00A069B7">
        <w:t xml:space="preserve"> In this case it is up to the network to configure which and how many of each PUCCH format to configure. The already agreed time indicator would point to the slot used for HARQ feedback reporting and the ARI would select which PUCCH format on which resource to use in the indicated slot.</w:t>
      </w:r>
    </w:p>
    <w:p w14:paraId="4DB82482" w14:textId="54D51933" w:rsidR="00B66CEC" w:rsidRPr="00A069B7" w:rsidRDefault="00B4086D" w:rsidP="000D1F37">
      <w:pPr>
        <w:rPr>
          <w:b/>
          <w:i/>
        </w:rPr>
      </w:pPr>
      <w:r>
        <w:rPr>
          <w:b/>
          <w:i/>
        </w:rPr>
        <w:t>Proposal 2</w:t>
      </w:r>
      <w:r w:rsidR="00A069B7" w:rsidRPr="00A069B7">
        <w:rPr>
          <w:b/>
          <w:i/>
        </w:rPr>
        <w:t xml:space="preserve">: A UE can be semi-statically configured with a pool of PUCCH </w:t>
      </w:r>
      <w:r w:rsidR="000119F9">
        <w:rPr>
          <w:b/>
          <w:i/>
        </w:rPr>
        <w:t>opportunities</w:t>
      </w:r>
      <w:r w:rsidR="00A069B7" w:rsidRPr="00A069B7">
        <w:rPr>
          <w:b/>
          <w:i/>
        </w:rPr>
        <w:t xml:space="preserve"> consisting of same or different PUCCH formats. An ARI included in the DCI select</w:t>
      </w:r>
      <w:r w:rsidR="000119F9">
        <w:rPr>
          <w:b/>
          <w:i/>
        </w:rPr>
        <w:t>s</w:t>
      </w:r>
      <w:r w:rsidR="00A069B7" w:rsidRPr="00A069B7">
        <w:rPr>
          <w:b/>
          <w:i/>
        </w:rPr>
        <w:t xml:space="preserve"> a PUCCH </w:t>
      </w:r>
      <w:r w:rsidR="000119F9">
        <w:rPr>
          <w:b/>
          <w:i/>
        </w:rPr>
        <w:t>opportunity</w:t>
      </w:r>
      <w:r w:rsidR="00A069B7" w:rsidRPr="00A069B7">
        <w:rPr>
          <w:b/>
          <w:i/>
        </w:rPr>
        <w:t xml:space="preserve"> (and implicitly also the format).</w:t>
      </w:r>
    </w:p>
    <w:p w14:paraId="63080EC3" w14:textId="382B5DF9" w:rsidR="000D1F37" w:rsidRDefault="00B4086D" w:rsidP="00B4086D">
      <w:r>
        <w:t xml:space="preserve">The long PUCCH format exists in different length ranging from 4 to 14 symbols. A UE could be instructed to use differently long PUCCH in </w:t>
      </w:r>
      <w:r w:rsidRPr="00355F21">
        <w:t>different slots: It has been agreed in the</w:t>
      </w:r>
      <w:r>
        <w:t xml:space="preserve"> last meeting that TDM of long and short PUCCH from the same UE is supported in a slot. In this case the long PUCCH must stop before the short PUCCH starts. In another slot where the UE should only transmit long PUCCH it can extend until the end of the slot. One way to handle variable long PUCCH length is to configure the PUCCH pool with differently long PUCCH and use ARI to select among them.  </w:t>
      </w:r>
      <w:r w:rsidR="00974A1C">
        <w:t xml:space="preserve"> </w:t>
      </w:r>
    </w:p>
    <w:p w14:paraId="53C2370E" w14:textId="042CF69C" w:rsidR="002579B6" w:rsidRPr="00B4086D" w:rsidRDefault="002579B6" w:rsidP="00B4086D">
      <w:r>
        <w:lastRenderedPageBreak/>
        <w:t>The length of the long PUCCH must follow from the DCI scheduling the corresponding downlink and/or semi-statically configured: NR supports dynamic TDD and beamforming, if a UE is not scheduled it does not know the length of the uplink portion of a slo</w:t>
      </w:r>
      <w:r w:rsidRPr="001E68AF">
        <w:t>t. It has been agreed that a UE can derive the slot format f</w:t>
      </w:r>
      <w:r w:rsidR="000B56E1">
        <w:t>rom</w:t>
      </w:r>
      <w:r w:rsidRPr="001E68AF">
        <w:t xml:space="preserve"> the group common PDCCH but it has also been agreed that a UE should be able to operate without receiving this channel, therefore PUCCH length cannot be signalled on this channel</w:t>
      </w:r>
      <w:r w:rsidR="001E68AF" w:rsidRPr="001E68AF">
        <w:t xml:space="preserve"> </w:t>
      </w:r>
      <w:r w:rsidR="001E68AF" w:rsidRPr="001E68AF">
        <w:fldChar w:fldCharType="begin"/>
      </w:r>
      <w:r w:rsidR="001E68AF" w:rsidRPr="001E68AF">
        <w:instrText xml:space="preserve"> REF _Ref473562398 \r \h </w:instrText>
      </w:r>
      <w:r w:rsidR="001E68AF">
        <w:instrText xml:space="preserve"> \* MERGEFORMAT </w:instrText>
      </w:r>
      <w:r w:rsidR="001E68AF" w:rsidRPr="001E68AF">
        <w:fldChar w:fldCharType="separate"/>
      </w:r>
      <w:r w:rsidR="001E68AF" w:rsidRPr="001E68AF">
        <w:t>[1]</w:t>
      </w:r>
      <w:r w:rsidR="001E68AF" w:rsidRPr="001E68AF">
        <w:fldChar w:fldCharType="end"/>
      </w:r>
      <w:r w:rsidRPr="001E68AF">
        <w:t xml:space="preserve">. PUCCH length should therefore be part of the semi-static PUCCH </w:t>
      </w:r>
      <w:r>
        <w:t>pool configuration, i.e. each configured long PUCCH resource in the PUCCH pool has also a configured length.</w:t>
      </w:r>
    </w:p>
    <w:p w14:paraId="3FDAEECB" w14:textId="29622BF0" w:rsidR="00C01F33" w:rsidRDefault="00C01F33" w:rsidP="00CE0424">
      <w:pPr>
        <w:pStyle w:val="Heading1"/>
      </w:pPr>
      <w:r w:rsidRPr="00CE0424">
        <w:t>Conclusion</w:t>
      </w:r>
    </w:p>
    <w:p w14:paraId="2881CE66" w14:textId="36F22819" w:rsidR="00B4086D" w:rsidRDefault="00B4086D" w:rsidP="00B4086D">
      <w:pPr>
        <w:pStyle w:val="BodyText"/>
      </w:pPr>
      <w:r>
        <w:t>In this contribution we discuss our view on PUCCH resource allocation and propose</w:t>
      </w:r>
      <w:r w:rsidR="00C6602E" w:rsidRPr="00CE0424">
        <w:t>:</w:t>
      </w:r>
    </w:p>
    <w:p w14:paraId="25F26073" w14:textId="35A77607" w:rsidR="00974A1C" w:rsidRDefault="00B4086D" w:rsidP="00B4086D">
      <w:pPr>
        <w:pStyle w:val="BodyText"/>
        <w:rPr>
          <w:b/>
          <w:i/>
        </w:rPr>
      </w:pPr>
      <w:r w:rsidRPr="00CC38EA">
        <w:rPr>
          <w:b/>
          <w:i/>
        </w:rPr>
        <w:t>Proposal</w:t>
      </w:r>
      <w:r>
        <w:rPr>
          <w:b/>
          <w:i/>
        </w:rPr>
        <w:t xml:space="preserve"> 1</w:t>
      </w:r>
      <w:r w:rsidRPr="00CC38EA">
        <w:rPr>
          <w:b/>
          <w:i/>
        </w:rPr>
        <w:t xml:space="preserve">: HARQ feedback from different </w:t>
      </w:r>
      <w:r>
        <w:rPr>
          <w:b/>
          <w:i/>
        </w:rPr>
        <w:t>DL assignments</w:t>
      </w:r>
      <w:r w:rsidRPr="00CC38EA">
        <w:rPr>
          <w:b/>
          <w:i/>
        </w:rPr>
        <w:t xml:space="preserve"> can be jointly encoded and transmitted with a single </w:t>
      </w:r>
      <w:r>
        <w:rPr>
          <w:b/>
          <w:i/>
        </w:rPr>
        <w:t>UCI</w:t>
      </w:r>
      <w:r w:rsidRPr="00CC38EA">
        <w:rPr>
          <w:b/>
          <w:i/>
        </w:rPr>
        <w:t xml:space="preserve"> </w:t>
      </w:r>
      <w:r>
        <w:rPr>
          <w:b/>
          <w:i/>
        </w:rPr>
        <w:t>message</w:t>
      </w:r>
      <w:r w:rsidRPr="00CC38EA">
        <w:rPr>
          <w:b/>
          <w:i/>
        </w:rPr>
        <w:t>.</w:t>
      </w:r>
    </w:p>
    <w:p w14:paraId="5C33AA5E" w14:textId="64DB0218" w:rsidR="00B4086D" w:rsidRPr="00B4086D" w:rsidRDefault="000119F9" w:rsidP="00B4086D">
      <w:pPr>
        <w:pStyle w:val="BodyText"/>
        <w:rPr>
          <w:b/>
          <w:i/>
        </w:rPr>
      </w:pPr>
      <w:r>
        <w:rPr>
          <w:b/>
          <w:i/>
        </w:rPr>
        <w:t>Proposal 2</w:t>
      </w:r>
      <w:r w:rsidRPr="00A069B7">
        <w:rPr>
          <w:b/>
          <w:i/>
        </w:rPr>
        <w:t xml:space="preserve">: A UE can be semi-statically configured with a pool of PUCCH </w:t>
      </w:r>
      <w:r>
        <w:rPr>
          <w:b/>
          <w:i/>
        </w:rPr>
        <w:t>opportunities</w:t>
      </w:r>
      <w:r w:rsidRPr="00A069B7">
        <w:rPr>
          <w:b/>
          <w:i/>
        </w:rPr>
        <w:t xml:space="preserve"> consisting of same or different PUCCH formats. An ARI included in the DCI select</w:t>
      </w:r>
      <w:r>
        <w:rPr>
          <w:b/>
          <w:i/>
        </w:rPr>
        <w:t>s</w:t>
      </w:r>
      <w:r w:rsidRPr="00A069B7">
        <w:rPr>
          <w:b/>
          <w:i/>
        </w:rPr>
        <w:t xml:space="preserve"> a PUCCH </w:t>
      </w:r>
      <w:r>
        <w:rPr>
          <w:b/>
          <w:i/>
        </w:rPr>
        <w:t>opportunity</w:t>
      </w:r>
      <w:r w:rsidRPr="00A069B7">
        <w:rPr>
          <w:b/>
          <w:i/>
        </w:rPr>
        <w:t xml:space="preserve"> (and implicitly also the format).</w:t>
      </w:r>
    </w:p>
    <w:p w14:paraId="3CA25FCB" w14:textId="599B8E49" w:rsidR="00F507D1" w:rsidRPr="00CE0424" w:rsidRDefault="00F507D1" w:rsidP="0009033B">
      <w:pPr>
        <w:pStyle w:val="Heading1"/>
      </w:pPr>
      <w:r w:rsidRPr="00CE0424">
        <w:t>References</w:t>
      </w:r>
    </w:p>
    <w:p w14:paraId="46F3A355" w14:textId="741C2675" w:rsidR="005104C2" w:rsidRPr="001E68AF" w:rsidRDefault="001E68AF" w:rsidP="00A46896">
      <w:pPr>
        <w:pStyle w:val="Reference"/>
        <w:rPr>
          <w:lang w:val="en-US"/>
        </w:rPr>
      </w:pPr>
      <w:bookmarkStart w:id="72" w:name="_Ref473562398"/>
      <w:r>
        <w:t>“RAN1 Chairman’s Notes”, 3GPP TSG RAN WG1 Meeting NR #1, January 2017.</w:t>
      </w:r>
      <w:bookmarkEnd w:id="72"/>
    </w:p>
    <w:p w14:paraId="0DFF14F3" w14:textId="545E2F3D" w:rsidR="001E68AF" w:rsidRDefault="001E68AF" w:rsidP="001E68AF">
      <w:pPr>
        <w:pStyle w:val="Reference"/>
      </w:pPr>
      <w:bookmarkStart w:id="73" w:name="_Ref469998882"/>
      <w:r>
        <w:t>“RAN1 Chairman’s Notes”, 3GPP TSG RAN WG1 Meeting #88, February 2017.</w:t>
      </w:r>
      <w:bookmarkEnd w:id="73"/>
    </w:p>
    <w:p w14:paraId="1F7EC499" w14:textId="428E8160" w:rsidR="001E68AF" w:rsidRDefault="001E68AF" w:rsidP="001E68AF">
      <w:pPr>
        <w:pStyle w:val="Reference"/>
      </w:pPr>
      <w:bookmarkStart w:id="74" w:name="_Ref481682274"/>
      <w:r>
        <w:t>“RAN1 Chairman’s Notes”, 3GPP TSG RAN WG1 Meeting #88bis, April 2017.</w:t>
      </w:r>
      <w:bookmarkEnd w:id="74"/>
    </w:p>
    <w:p w14:paraId="3C471AF7" w14:textId="77777777" w:rsidR="001E68AF" w:rsidRDefault="001E68AF" w:rsidP="001E68AF">
      <w:pPr>
        <w:pStyle w:val="Reference"/>
        <w:numPr>
          <w:ilvl w:val="0"/>
          <w:numId w:val="0"/>
        </w:numPr>
      </w:pPr>
    </w:p>
    <w:p w14:paraId="76FC3AD4" w14:textId="77777777" w:rsidR="001E68AF" w:rsidRPr="000821F8" w:rsidRDefault="001E68AF" w:rsidP="001E68AF">
      <w:pPr>
        <w:pStyle w:val="Reference"/>
        <w:numPr>
          <w:ilvl w:val="0"/>
          <w:numId w:val="0"/>
        </w:numPr>
        <w:rPr>
          <w:lang w:val="en-US"/>
        </w:rPr>
      </w:pPr>
    </w:p>
    <w:sectPr w:rsidR="001E68AF" w:rsidRPr="000821F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97AB7" w14:textId="77777777" w:rsidR="006F294C" w:rsidRDefault="006F294C">
      <w:r>
        <w:separator/>
      </w:r>
    </w:p>
  </w:endnote>
  <w:endnote w:type="continuationSeparator" w:id="0">
    <w:p w14:paraId="3ECD1529" w14:textId="77777777" w:rsidR="006F294C" w:rsidRDefault="006F294C">
      <w:r>
        <w:continuationSeparator/>
      </w:r>
    </w:p>
  </w:endnote>
  <w:endnote w:type="continuationNotice" w:id="1">
    <w:p w14:paraId="22C01E33" w14:textId="77777777" w:rsidR="006F294C" w:rsidRDefault="006F2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4D6234E" w:rsidR="00291E3A" w:rsidRDefault="00291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737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737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6F152" w14:textId="77777777" w:rsidR="006F294C" w:rsidRDefault="006F294C">
      <w:r>
        <w:separator/>
      </w:r>
    </w:p>
  </w:footnote>
  <w:footnote w:type="continuationSeparator" w:id="0">
    <w:p w14:paraId="61E29762" w14:textId="77777777" w:rsidR="006F294C" w:rsidRDefault="006F294C">
      <w:r>
        <w:continuationSeparator/>
      </w:r>
    </w:p>
  </w:footnote>
  <w:footnote w:type="continuationNotice" w:id="1">
    <w:p w14:paraId="5C53011F" w14:textId="77777777" w:rsidR="006F294C" w:rsidRDefault="006F2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91E3A" w:rsidRDefault="00291E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2"/>
  </w:num>
  <w:num w:numId="8">
    <w:abstractNumId w:val="18"/>
  </w:num>
  <w:num w:numId="9">
    <w:abstractNumId w:val="13"/>
  </w:num>
  <w:num w:numId="10">
    <w:abstractNumId w:val="3"/>
  </w:num>
  <w:num w:numId="11">
    <w:abstractNumId w:val="2"/>
  </w:num>
  <w:num w:numId="12">
    <w:abstractNumId w:val="1"/>
  </w:num>
  <w:num w:numId="13">
    <w:abstractNumId w:val="31"/>
  </w:num>
  <w:num w:numId="14">
    <w:abstractNumId w:val="0"/>
  </w:num>
  <w:num w:numId="15">
    <w:abstractNumId w:val="14"/>
  </w:num>
  <w:num w:numId="16">
    <w:abstractNumId w:val="33"/>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6"/>
  </w:num>
  <w:num w:numId="31">
    <w:abstractNumId w:val="35"/>
  </w:num>
  <w:num w:numId="32">
    <w:abstractNumId w:val="21"/>
    <w:lvlOverride w:ilvl="0">
      <w:startOverride w:val="5"/>
    </w:lvlOverride>
  </w:num>
  <w:num w:numId="33">
    <w:abstractNumId w:val="30"/>
  </w:num>
  <w:num w:numId="34">
    <w:abstractNumId w:val="31"/>
    <w:lvlOverride w:ilvl="0">
      <w:startOverride w:val="1"/>
    </w:lvlOverride>
  </w:num>
  <w:num w:numId="35">
    <w:abstractNumId w:val="31"/>
    <w:lvlOverride w:ilvl="0">
      <w:startOverride w:val="1"/>
    </w:lvlOverride>
  </w:num>
  <w:num w:numId="36">
    <w:abstractNumId w:val="8"/>
  </w:num>
  <w:num w:numId="37">
    <w:abstractNumId w:val="31"/>
    <w:lvlOverride w:ilvl="0">
      <w:startOverride w:val="1"/>
    </w:lvlOverride>
  </w:num>
  <w:num w:numId="38">
    <w:abstractNumId w:val="34"/>
  </w:num>
  <w:num w:numId="39">
    <w:abstractNumId w:val="19"/>
  </w:num>
  <w:num w:numId="40">
    <w:abstractNumId w:val="12"/>
  </w:num>
  <w:num w:numId="41">
    <w:abstractNumId w:val="9"/>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9F9"/>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A8F"/>
    <w:rsid w:val="000B4AB9"/>
    <w:rsid w:val="000B56E1"/>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6FBE"/>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C7AD7"/>
    <w:rsid w:val="001D51BA"/>
    <w:rsid w:val="001D6342"/>
    <w:rsid w:val="001D6D53"/>
    <w:rsid w:val="001E1C24"/>
    <w:rsid w:val="001E58E2"/>
    <w:rsid w:val="001E68AF"/>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579B6"/>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47"/>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163C"/>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21C"/>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5E10"/>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94C"/>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87373"/>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3C5"/>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5352"/>
    <w:rsid w:val="00B5723B"/>
    <w:rsid w:val="00B5724B"/>
    <w:rsid w:val="00B60EF1"/>
    <w:rsid w:val="00B6188F"/>
    <w:rsid w:val="00B64E41"/>
    <w:rsid w:val="00B664C7"/>
    <w:rsid w:val="00B66CEC"/>
    <w:rsid w:val="00B719C2"/>
    <w:rsid w:val="00B739F6"/>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547"/>
    <w:rsid w:val="00C14D4B"/>
    <w:rsid w:val="00C154BB"/>
    <w:rsid w:val="00C20166"/>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2343"/>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0A7A"/>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3B"/>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531"/>
    <w:rsid w:val="00EE3A7B"/>
    <w:rsid w:val="00EE4928"/>
    <w:rsid w:val="00EE66C7"/>
    <w:rsid w:val="00EE7DBF"/>
    <w:rsid w:val="00EF0684"/>
    <w:rsid w:val="00EF18FE"/>
    <w:rsid w:val="00EF191A"/>
    <w:rsid w:val="00EF1EA9"/>
    <w:rsid w:val="00EF4824"/>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40F0C"/>
    <w:rsid w:val="00F46A6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08FABD8C-5C8A-4272-91AA-1C2723C3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1104</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2017-05-06T12:12:00Z</dcterms:created>
  <dcterms:modified xsi:type="dcterms:W3CDTF">2017-05-06T12:12:00Z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