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8F89B" w14:textId="73E9606C" w:rsidR="002731AE" w:rsidRPr="00446F9D" w:rsidRDefault="002731AE" w:rsidP="002731AE">
      <w:pPr>
        <w:pStyle w:val="Header"/>
        <w:tabs>
          <w:tab w:val="clear" w:pos="4536"/>
        </w:tabs>
        <w:rPr>
          <w:i/>
        </w:rPr>
      </w:pPr>
      <w:r>
        <w:t xml:space="preserve">3GPP </w:t>
      </w:r>
      <w:r w:rsidRPr="00446F9D">
        <w:t>TSG-RAN WG1</w:t>
      </w:r>
      <w:r w:rsidR="001A5604">
        <w:t xml:space="preserve"> </w:t>
      </w:r>
      <w:r w:rsidR="00EC35E0">
        <w:t>Meeting</w:t>
      </w:r>
      <w:r w:rsidR="00C02E04">
        <w:t>#89</w:t>
      </w:r>
      <w:r w:rsidRPr="00446F9D">
        <w:tab/>
      </w:r>
      <w:r w:rsidR="00A66ABA">
        <w:t>R1-1709069</w:t>
      </w:r>
      <w:bookmarkStart w:id="0" w:name="_GoBack"/>
      <w:bookmarkEnd w:id="0"/>
    </w:p>
    <w:p w14:paraId="16064913" w14:textId="1A1163DF" w:rsidR="002731AE" w:rsidRPr="000833FA" w:rsidRDefault="00C02E04" w:rsidP="002731AE">
      <w:pPr>
        <w:pStyle w:val="Header"/>
        <w:rPr>
          <w:color w:val="000000"/>
        </w:rPr>
      </w:pPr>
      <w:r>
        <w:t>Hangzhou, China, 15</w:t>
      </w:r>
      <w:r>
        <w:rPr>
          <w:vertAlign w:val="superscript"/>
        </w:rPr>
        <w:t>th</w:t>
      </w:r>
      <w:r w:rsidR="00D33FAD">
        <w:t xml:space="preserve"> </w:t>
      </w:r>
      <w:r w:rsidR="00EC35E0">
        <w:t xml:space="preserve">– </w:t>
      </w:r>
      <w:r>
        <w:t>19</w:t>
      </w:r>
      <w:r w:rsidR="00EC35E0" w:rsidRPr="00EC35E0">
        <w:rPr>
          <w:vertAlign w:val="superscript"/>
        </w:rPr>
        <w:t>th</w:t>
      </w:r>
      <w:r>
        <w:t xml:space="preserve"> May</w:t>
      </w:r>
      <w:r w:rsidR="002731AE">
        <w:t>, 2017</w:t>
      </w:r>
    </w:p>
    <w:p w14:paraId="288C0066" w14:textId="77777777" w:rsidR="00F618ED" w:rsidRPr="000833FA" w:rsidRDefault="00F618ED" w:rsidP="00F618ED">
      <w:pPr>
        <w:pStyle w:val="Header"/>
      </w:pPr>
    </w:p>
    <w:p w14:paraId="1DF813C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511AD6FD" w14:textId="07BE0551" w:rsidR="00F618ED" w:rsidRPr="00E220C0" w:rsidRDefault="00F618ED" w:rsidP="00F618ED">
      <w:pPr>
        <w:pStyle w:val="Header"/>
        <w:tabs>
          <w:tab w:val="clear" w:pos="4536"/>
          <w:tab w:val="left" w:pos="1800"/>
        </w:tabs>
      </w:pPr>
      <w:r w:rsidRPr="0003368D">
        <w:t>Title:</w:t>
      </w:r>
      <w:bookmarkStart w:id="1" w:name="Title"/>
      <w:bookmarkEnd w:id="1"/>
      <w:r w:rsidRPr="0003368D">
        <w:tab/>
      </w:r>
      <w:r w:rsidR="00E20E32">
        <w:t xml:space="preserve">On </w:t>
      </w:r>
      <w:r w:rsidR="001A5604">
        <w:t>Ag</w:t>
      </w:r>
      <w:r w:rsidR="00C02E04">
        <w:t>gregation Levels</w:t>
      </w:r>
    </w:p>
    <w:p w14:paraId="0DB675C4" w14:textId="40D3BCC5" w:rsidR="00F618ED" w:rsidRPr="00E220C0" w:rsidRDefault="00F618ED" w:rsidP="00F618ED">
      <w:pPr>
        <w:pStyle w:val="Header"/>
        <w:tabs>
          <w:tab w:val="left" w:pos="1800"/>
        </w:tabs>
      </w:pPr>
      <w:r w:rsidRPr="00E220C0">
        <w:t>Agenda Item:</w:t>
      </w:r>
      <w:bookmarkStart w:id="2" w:name="Source"/>
      <w:bookmarkEnd w:id="2"/>
      <w:r w:rsidRPr="00E220C0">
        <w:tab/>
      </w:r>
      <w:r w:rsidR="004E79E3">
        <w:t>7</w:t>
      </w:r>
      <w:r w:rsidR="002731AE">
        <w:t>.1.3.1</w:t>
      </w:r>
      <w:r w:rsidR="004E79E3">
        <w:t>.2</w:t>
      </w:r>
    </w:p>
    <w:p w14:paraId="2BD0891E" w14:textId="77777777"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11A9A3E9" w14:textId="77777777" w:rsidR="00F618ED" w:rsidRDefault="00F618ED" w:rsidP="00F618ED">
      <w:pPr>
        <w:pStyle w:val="Heading1"/>
        <w:spacing w:before="180"/>
        <w:ind w:left="562" w:hanging="562"/>
      </w:pPr>
      <w:r>
        <w:t>Introduction</w:t>
      </w:r>
    </w:p>
    <w:p w14:paraId="7A54A202" w14:textId="4BFC4F23" w:rsidR="00B65108" w:rsidRPr="000472B4" w:rsidRDefault="00EC35E0" w:rsidP="000472B4">
      <w:pPr>
        <w:rPr>
          <w:rFonts w:cs="Arial"/>
        </w:rPr>
      </w:pPr>
      <w:r>
        <w:rPr>
          <w:rFonts w:cs="Arial"/>
        </w:rPr>
        <w:t xml:space="preserve">The </w:t>
      </w:r>
      <w:r w:rsidRPr="002F4C18">
        <w:rPr>
          <w:rFonts w:cs="Arial"/>
          <w:b/>
        </w:rPr>
        <w:t>NR Study Item</w:t>
      </w:r>
      <w:r>
        <w:rPr>
          <w:rFonts w:cs="Arial"/>
        </w:rPr>
        <w:t xml:space="preserve"> was completed and closed in RAN plenary meeting#75 where the TR 38.802 was approved and is available in </w:t>
      </w:r>
      <w:r>
        <w:rPr>
          <w:rFonts w:cs="Arial"/>
        </w:rPr>
        <w:fldChar w:fldCharType="begin"/>
      </w:r>
      <w:r>
        <w:rPr>
          <w:rFonts w:cs="Arial"/>
        </w:rPr>
        <w:instrText xml:space="preserve"> REF _Ref477803323 \r \h </w:instrText>
      </w:r>
      <w:r>
        <w:rPr>
          <w:rFonts w:cs="Arial"/>
        </w:rPr>
      </w:r>
      <w:r>
        <w:rPr>
          <w:rFonts w:cs="Arial"/>
        </w:rPr>
        <w:fldChar w:fldCharType="separate"/>
      </w:r>
      <w:r>
        <w:rPr>
          <w:rFonts w:cs="Arial"/>
        </w:rPr>
        <w:t>[1]</w:t>
      </w:r>
      <w:r>
        <w:rPr>
          <w:rFonts w:cs="Arial"/>
        </w:rPr>
        <w:fldChar w:fldCharType="end"/>
      </w:r>
      <w:r>
        <w:rPr>
          <w:rFonts w:cs="Arial"/>
        </w:rPr>
        <w:t xml:space="preserve">. The </w:t>
      </w:r>
      <w:r w:rsidRPr="002F4C18">
        <w:rPr>
          <w:rFonts w:cs="Arial"/>
          <w:b/>
        </w:rPr>
        <w:t>NR Work Item</w:t>
      </w:r>
      <w:r>
        <w:rPr>
          <w:rFonts w:cs="Arial"/>
        </w:rPr>
        <w:t xml:space="preserve"> </w:t>
      </w:r>
      <w:r w:rsidRPr="00F600E4">
        <w:rPr>
          <w:rFonts w:cs="Arial"/>
        </w:rPr>
        <w:t xml:space="preserve">was </w:t>
      </w:r>
      <w:r w:rsidR="002D77A7">
        <w:rPr>
          <w:rFonts w:cs="Arial"/>
        </w:rPr>
        <w:t xml:space="preserve">also </w:t>
      </w:r>
      <w:r w:rsidRPr="00F600E4">
        <w:rPr>
          <w:rFonts w:cs="Arial"/>
        </w:rPr>
        <w:t xml:space="preserve">approved in </w:t>
      </w:r>
      <w:r w:rsidRPr="00F600E4">
        <w:rPr>
          <w:rFonts w:cs="Arial"/>
        </w:rPr>
        <w:fldChar w:fldCharType="begin"/>
      </w:r>
      <w:r w:rsidRPr="00F600E4">
        <w:rPr>
          <w:rFonts w:cs="Arial"/>
        </w:rPr>
        <w:instrText xml:space="preserve"> REF _Ref477803338 \n \h </w:instrText>
      </w:r>
      <w:r>
        <w:rPr>
          <w:rFonts w:cs="Arial"/>
        </w:rPr>
        <w:instrText xml:space="preserve"> \* MERGEFORMAT </w:instrText>
      </w:r>
      <w:r w:rsidRPr="00F600E4">
        <w:rPr>
          <w:rFonts w:cs="Arial"/>
        </w:rPr>
      </w:r>
      <w:r w:rsidRPr="00F600E4">
        <w:rPr>
          <w:rFonts w:cs="Arial"/>
        </w:rPr>
        <w:fldChar w:fldCharType="separate"/>
      </w:r>
      <w:r>
        <w:rPr>
          <w:rFonts w:cs="Arial"/>
        </w:rPr>
        <w:t>[2]</w:t>
      </w:r>
      <w:r w:rsidRPr="00F600E4">
        <w:rPr>
          <w:rFonts w:cs="Arial"/>
        </w:rPr>
        <w:fldChar w:fldCharType="end"/>
      </w:r>
      <w:r w:rsidR="002D77A7">
        <w:rPr>
          <w:rFonts w:cs="Arial"/>
        </w:rPr>
        <w:t xml:space="preserve"> where the WI targets </w:t>
      </w:r>
      <w:r w:rsidRPr="00F600E4">
        <w:rPr>
          <w:rFonts w:cs="Arial"/>
        </w:rPr>
        <w:t>meet</w:t>
      </w:r>
      <w:r w:rsidR="002D77A7">
        <w:rPr>
          <w:rFonts w:cs="Arial"/>
        </w:rPr>
        <w:t>ing</w:t>
      </w:r>
      <w:r w:rsidRPr="00F600E4">
        <w:rPr>
          <w:rFonts w:cs="Arial"/>
        </w:rPr>
        <w:t xml:space="preserve"> both eMBB and URLLC related 5G requirements in Rel-15. </w:t>
      </w:r>
      <w:r w:rsidRPr="0084082E">
        <w:t>The design of DL control channel is an essential part of the WI.</w:t>
      </w:r>
      <w:r w:rsidR="000472B4">
        <w:t xml:space="preserve"> In this contribution, we discuss how different aggregation levels can be configured for robust PDCCH reception in NR. </w:t>
      </w:r>
    </w:p>
    <w:p w14:paraId="2D03C97A" w14:textId="77777777" w:rsidR="00EC35E0" w:rsidRDefault="00EC35E0" w:rsidP="009A0611">
      <w:pPr>
        <w:pStyle w:val="BodyText"/>
      </w:pPr>
    </w:p>
    <w:p w14:paraId="635F5223" w14:textId="70550894" w:rsidR="004B1C8B" w:rsidRDefault="00230310" w:rsidP="00230310">
      <w:pPr>
        <w:pStyle w:val="Heading1"/>
        <w:spacing w:before="180"/>
        <w:ind w:left="562" w:hanging="562"/>
      </w:pPr>
      <w:r>
        <w:t>Discussion</w:t>
      </w:r>
    </w:p>
    <w:p w14:paraId="6E0435E6" w14:textId="04944104" w:rsidR="0017298C" w:rsidRDefault="00A413C1" w:rsidP="0017298C">
      <w:pPr>
        <w:pStyle w:val="BodyText"/>
      </w:pPr>
      <w:r>
        <w:t xml:space="preserve">The aggregation level of a downlink control channel indicates the amount of physical resources spent on transmitting the coded DCI, i.e. different aggregation levels can be used to vary the code rate and support link adaptation of the control channel. To blindly detect the aggregation level, which includes obtaining a channel estimate using the DM-RS associated with a particular control channel candidate, it is preferable if there is some form of hierarchical structure of the control channels as shown </w:t>
      </w:r>
      <w:r w:rsidR="00533F0E">
        <w:t xml:space="preserve">at the top of </w:t>
      </w:r>
      <w:r w:rsidR="00533F0E">
        <w:fldChar w:fldCharType="begin"/>
      </w:r>
      <w:r w:rsidR="00533F0E">
        <w:instrText xml:space="preserve"> REF _Ref465772198 \h </w:instrText>
      </w:r>
      <w:r w:rsidR="00533F0E">
        <w:fldChar w:fldCharType="separate"/>
      </w:r>
      <w:r w:rsidR="00EC35E0">
        <w:t xml:space="preserve">Figure </w:t>
      </w:r>
      <w:r w:rsidR="00EC35E0">
        <w:rPr>
          <w:noProof/>
        </w:rPr>
        <w:t>2</w:t>
      </w:r>
      <w:r w:rsidR="00533F0E">
        <w:fldChar w:fldCharType="end"/>
      </w:r>
      <w:r w:rsidR="00533F0E">
        <w:t xml:space="preserve">. This way, the channel estimate for aggregation level </w:t>
      </w:r>
      <w:r w:rsidR="00533F0E" w:rsidRPr="00533F0E">
        <w:rPr>
          <w:i/>
        </w:rPr>
        <w:t>n</w:t>
      </w:r>
      <w:r w:rsidR="00533F0E">
        <w:t xml:space="preserve">+1 can be obtained from the channel estimated for the two underlying control channel candidates for aggregation level </w:t>
      </w:r>
      <w:r w:rsidR="00533F0E">
        <w:rPr>
          <w:i/>
        </w:rPr>
        <w:t>n</w:t>
      </w:r>
      <w:r w:rsidR="00533F0E">
        <w:t xml:space="preserve">, thereby possibly simplifying the UE implementation. </w:t>
      </w:r>
      <w:r w:rsidR="0083452B">
        <w:t xml:space="preserve">That is in-line with the agreement </w:t>
      </w:r>
      <w:r w:rsidR="002D77A7">
        <w:t xml:space="preserve">already </w:t>
      </w:r>
      <w:r w:rsidR="0083452B">
        <w:t xml:space="preserve">made </w:t>
      </w:r>
      <w:r w:rsidR="00A628AA">
        <w:t>as follows</w:t>
      </w:r>
      <w:r w:rsidR="0083452B">
        <w:t>:</w:t>
      </w:r>
    </w:p>
    <w:p w14:paraId="112E3C75" w14:textId="77777777" w:rsidR="0083452B" w:rsidRPr="00F24B1D" w:rsidRDefault="0083452B" w:rsidP="000776F1">
      <w:pPr>
        <w:pStyle w:val="BodyText"/>
        <w:numPr>
          <w:ilvl w:val="0"/>
          <w:numId w:val="27"/>
        </w:numPr>
        <w:spacing w:after="0"/>
        <w:rPr>
          <w:szCs w:val="20"/>
        </w:rPr>
      </w:pPr>
      <w:r w:rsidRPr="00F24B1D">
        <w:rPr>
          <w:szCs w:val="20"/>
        </w:rPr>
        <w:t>For one UE, the channel estimate obtained for one R</w:t>
      </w:r>
      <w:r w:rsidRPr="00F24B1D">
        <w:rPr>
          <w:rFonts w:hint="eastAsia"/>
          <w:szCs w:val="20"/>
          <w:lang w:eastAsia="ja-JP"/>
        </w:rPr>
        <w:t>E</w:t>
      </w:r>
      <w:r w:rsidRPr="00F24B1D">
        <w:rPr>
          <w:szCs w:val="20"/>
        </w:rPr>
        <w:t xml:space="preserve"> </w:t>
      </w:r>
      <w:r w:rsidRPr="00F24B1D">
        <w:rPr>
          <w:szCs w:val="20"/>
          <w:lang w:eastAsia="ja-JP"/>
        </w:rPr>
        <w:t>should be</w:t>
      </w:r>
      <w:r w:rsidRPr="00F24B1D">
        <w:rPr>
          <w:szCs w:val="20"/>
        </w:rPr>
        <w:t xml:space="preserve"> reusable across multiple blind </w:t>
      </w:r>
      <w:proofErr w:type="spellStart"/>
      <w:r w:rsidRPr="00F24B1D">
        <w:rPr>
          <w:szCs w:val="20"/>
        </w:rPr>
        <w:t>decodings</w:t>
      </w:r>
      <w:proofErr w:type="spellEnd"/>
      <w:r w:rsidRPr="00F24B1D">
        <w:rPr>
          <w:szCs w:val="20"/>
        </w:rPr>
        <w:t xml:space="preserve"> involving that R</w:t>
      </w:r>
      <w:r w:rsidRPr="00F24B1D">
        <w:rPr>
          <w:rFonts w:hint="eastAsia"/>
          <w:szCs w:val="20"/>
          <w:lang w:eastAsia="ja-JP"/>
        </w:rPr>
        <w:t>E</w:t>
      </w:r>
      <w:r w:rsidRPr="00F24B1D">
        <w:rPr>
          <w:szCs w:val="20"/>
          <w:lang w:eastAsia="ja-JP"/>
        </w:rPr>
        <w:t xml:space="preserve"> in at least the same control resource set and type of search space (common or UE-specific).</w:t>
      </w:r>
    </w:p>
    <w:p w14:paraId="7F4A886C" w14:textId="3642FC07" w:rsidR="000472B4" w:rsidRDefault="000472B4" w:rsidP="0017298C">
      <w:pPr>
        <w:pStyle w:val="BodyText"/>
      </w:pPr>
    </w:p>
    <w:p w14:paraId="3843489E" w14:textId="77777777" w:rsidR="00737D53" w:rsidRPr="00737D53" w:rsidRDefault="00737D53" w:rsidP="0017298C">
      <w:pPr>
        <w:pStyle w:val="BodyText"/>
        <w:rPr>
          <w:b/>
        </w:rPr>
      </w:pPr>
    </w:p>
    <w:p w14:paraId="2571F4D6" w14:textId="4A37E6E0" w:rsidR="00533F0E" w:rsidRDefault="00533F0E" w:rsidP="00533F0E">
      <w:pPr>
        <w:pStyle w:val="BodyText"/>
        <w:keepNext/>
      </w:pPr>
      <w:r w:rsidRPr="00533F0E">
        <w:rPr>
          <w:noProof/>
        </w:rPr>
        <w:drawing>
          <wp:inline distT="0" distB="0" distL="0" distR="0" wp14:anchorId="492F0AA5" wp14:editId="283E85B3">
            <wp:extent cx="5791357" cy="10747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885" cy="1101909"/>
                    </a:xfrm>
                    <a:prstGeom prst="rect">
                      <a:avLst/>
                    </a:prstGeom>
                    <a:noFill/>
                    <a:ln>
                      <a:noFill/>
                    </a:ln>
                  </pic:spPr>
                </pic:pic>
              </a:graphicData>
            </a:graphic>
          </wp:inline>
        </w:drawing>
      </w:r>
    </w:p>
    <w:p w14:paraId="7D81781D" w14:textId="1BF82138" w:rsidR="00533F0E" w:rsidRDefault="00533F0E" w:rsidP="00533F0E">
      <w:pPr>
        <w:pStyle w:val="Caption"/>
        <w:jc w:val="both"/>
      </w:pPr>
      <w:bookmarkStart w:id="4" w:name="_Ref465772198"/>
      <w:r>
        <w:t xml:space="preserve">Figure </w:t>
      </w:r>
      <w:r w:rsidR="007353F4">
        <w:fldChar w:fldCharType="begin"/>
      </w:r>
      <w:r w:rsidR="007353F4">
        <w:instrText xml:space="preserve"> SEQ Figure \* ARABIC </w:instrText>
      </w:r>
      <w:r w:rsidR="007353F4">
        <w:fldChar w:fldCharType="separate"/>
      </w:r>
      <w:r w:rsidR="00EC35E0">
        <w:rPr>
          <w:noProof/>
        </w:rPr>
        <w:t>2</w:t>
      </w:r>
      <w:r w:rsidR="007353F4">
        <w:rPr>
          <w:noProof/>
        </w:rPr>
        <w:fldChar w:fldCharType="end"/>
      </w:r>
      <w:bookmarkEnd w:id="4"/>
      <w:r>
        <w:t>: Hierarchical structure of aggregation levels (top), random structure of aggregation levels (bottom).</w:t>
      </w:r>
    </w:p>
    <w:p w14:paraId="69E5055A" w14:textId="77777777" w:rsidR="007B1591" w:rsidRDefault="007B1591" w:rsidP="007B1591">
      <w:pPr>
        <w:pStyle w:val="BodyText"/>
      </w:pPr>
    </w:p>
    <w:p w14:paraId="74E3C90A" w14:textId="3AF54D51" w:rsidR="007B1591" w:rsidRDefault="007B1591" w:rsidP="007B1591">
      <w:pPr>
        <w:pStyle w:val="BodyText"/>
      </w:pPr>
      <w:r>
        <w:t xml:space="preserve">At the same time concerns have been raised about the possibility that a PDCCH for one UE at a high aggregation level may block PDCCH candidates at all aggregation levels for another UE. This could be a problem if the REGs containing search spaces for both UEs at all aggregation levels fully or largely overlap. In LTE, this kind of hierarchical structure is not imposed and </w:t>
      </w:r>
      <w:r w:rsidR="0000450E">
        <w:t>a more random structure as shown in the bottom of the figure is used. T</w:t>
      </w:r>
      <w:r>
        <w:t>herefore, there is a lower probability of this kind of blocking occurring.</w:t>
      </w:r>
    </w:p>
    <w:p w14:paraId="22F6E7E7" w14:textId="40E66985" w:rsidR="00690C41" w:rsidRDefault="007B1591" w:rsidP="007B1591">
      <w:pPr>
        <w:pStyle w:val="BodyText"/>
      </w:pPr>
      <w:r>
        <w:t xml:space="preserve">It is clear that blocking probability depends on many factors including the number of UEs in the cell, the size of the control resource sets, the need for higher aggregation levels and so on. Hence, it is useful for there to be some flexibility in the way search spaces for multiple aggregation levels are defined so that a hierarchical structure can be used where blocking is not expected to be a problem, but a more random structure like used in LTE can be employed otherwise. </w:t>
      </w:r>
      <w:r w:rsidR="00690C41">
        <w:t>It is also possible for a given design of search spaces to have a more hierarchical structure or not depending on the size of the control resource set.</w:t>
      </w:r>
    </w:p>
    <w:p w14:paraId="7F357B50" w14:textId="4C639278" w:rsidR="007B1591" w:rsidRDefault="007B1591" w:rsidP="007B1591">
      <w:pPr>
        <w:pStyle w:val="BodyText"/>
      </w:pPr>
      <w:r>
        <w:t xml:space="preserve">In any case, whenever </w:t>
      </w:r>
      <w:r>
        <w:t xml:space="preserve">a REG is used across multiple PDCCH candidates, the channel estimate can be reused and the design should allow for this. </w:t>
      </w:r>
      <w:r>
        <w:t>Therefore, we propose the following:</w:t>
      </w:r>
    </w:p>
    <w:p w14:paraId="4774C1D5" w14:textId="5511B53D" w:rsidR="007B1591" w:rsidRPr="007B1591" w:rsidRDefault="007B1591" w:rsidP="007B1591">
      <w:pPr>
        <w:rPr>
          <w:lang w:val="en-GB"/>
        </w:rPr>
      </w:pPr>
      <w:r>
        <w:rPr>
          <w:b/>
        </w:rPr>
        <w:t xml:space="preserve">Proposal: </w:t>
      </w:r>
      <w:r>
        <w:rPr>
          <w:rFonts w:eastAsiaTheme="minorHAnsi"/>
        </w:rPr>
        <w:t>A single channel estimate can be used for all search space candidates which share a common REG.</w:t>
      </w:r>
    </w:p>
    <w:p w14:paraId="59680E5B" w14:textId="77777777" w:rsidR="00EE48AE" w:rsidRPr="00EE48AE" w:rsidRDefault="00EE48AE" w:rsidP="00EE48AE"/>
    <w:p w14:paraId="6C34731C" w14:textId="56AF8D32" w:rsidR="00DA7D33" w:rsidRDefault="00DA7D33" w:rsidP="00DA7D33">
      <w:pPr>
        <w:pStyle w:val="Heading1"/>
        <w:spacing w:before="180"/>
        <w:ind w:left="562" w:hanging="562"/>
      </w:pPr>
      <w:r>
        <w:lastRenderedPageBreak/>
        <w:t>Conclusion</w:t>
      </w:r>
    </w:p>
    <w:p w14:paraId="27C8A7A2" w14:textId="04F4FFDA" w:rsidR="00B650EF" w:rsidRDefault="007B1591" w:rsidP="00B650EF">
      <w:pPr>
        <w:pStyle w:val="BodyText"/>
      </w:pPr>
      <w:r>
        <w:t xml:space="preserve">In this contribution, </w:t>
      </w:r>
      <w:r>
        <w:t>we discuss</w:t>
      </w:r>
      <w:r>
        <w:t>ed</w:t>
      </w:r>
      <w:r>
        <w:t xml:space="preserve"> how different aggregation levels can be configured for robust PDCCH reception in NR</w:t>
      </w:r>
      <w:r>
        <w:t xml:space="preserve"> and proposed the following</w:t>
      </w:r>
    </w:p>
    <w:p w14:paraId="55E8428A" w14:textId="51B2B12F" w:rsidR="00B650EF" w:rsidRDefault="00591BD5" w:rsidP="00591BD5">
      <w:pPr>
        <w:pStyle w:val="BodyText"/>
      </w:pPr>
      <w:r w:rsidRPr="00591BD5">
        <w:rPr>
          <w:rFonts w:eastAsiaTheme="minorHAnsi"/>
          <w:b/>
        </w:rPr>
        <w:t>Proposal:</w:t>
      </w:r>
      <w:r>
        <w:rPr>
          <w:rFonts w:eastAsiaTheme="minorHAnsi"/>
        </w:rPr>
        <w:t xml:space="preserve"> </w:t>
      </w:r>
      <w:r w:rsidR="007B1591">
        <w:rPr>
          <w:rFonts w:eastAsiaTheme="minorHAnsi"/>
        </w:rPr>
        <w:t>A single channel estimate can be used for all search space candidates which share a common REG.</w:t>
      </w:r>
    </w:p>
    <w:p w14:paraId="7E26D3B6" w14:textId="46F35A08" w:rsidR="00EC35E0" w:rsidRDefault="00EC35E0" w:rsidP="002D77A7">
      <w:pPr>
        <w:pStyle w:val="BodyText"/>
        <w:ind w:left="1080"/>
      </w:pPr>
    </w:p>
    <w:p w14:paraId="7B90F6D1" w14:textId="05A8810E" w:rsidR="00EC35E0" w:rsidRDefault="00EC35E0" w:rsidP="00EC35E0">
      <w:pPr>
        <w:pStyle w:val="Heading1"/>
        <w:keepLines/>
        <w:numPr>
          <w:ilvl w:val="0"/>
          <w:numId w:val="0"/>
        </w:numPr>
        <w:pBdr>
          <w:top w:val="single" w:sz="12" w:space="3" w:color="auto"/>
        </w:pBdr>
        <w:overflowPunct w:val="0"/>
        <w:autoSpaceDE w:val="0"/>
        <w:autoSpaceDN w:val="0"/>
        <w:adjustRightInd w:val="0"/>
        <w:spacing w:after="180"/>
        <w:textAlignment w:val="baseline"/>
      </w:pPr>
      <w:r w:rsidRPr="00CE0424">
        <w:t>References</w:t>
      </w:r>
      <w:bookmarkStart w:id="5" w:name="_Ref477422803"/>
    </w:p>
    <w:p w14:paraId="0359B201" w14:textId="77777777" w:rsidR="00EC35E0" w:rsidRDefault="00EC35E0" w:rsidP="00EC35E0">
      <w:pPr>
        <w:pStyle w:val="Reference"/>
      </w:pPr>
      <w:bookmarkStart w:id="6" w:name="_Ref477803323"/>
      <w:r>
        <w:t>RP-170377</w:t>
      </w:r>
      <w:bookmarkEnd w:id="6"/>
      <w:r>
        <w:tab/>
      </w:r>
      <w:r>
        <w:tab/>
      </w:r>
      <w:r w:rsidRPr="00D54B8E">
        <w:t>TR 38.802 v2.0.0 on Study on New Radio (NR) Access Technology Phys</w:t>
      </w:r>
      <w:r>
        <w:t>ical Layer Aspects; NTT DOCOMO</w:t>
      </w:r>
    </w:p>
    <w:p w14:paraId="230E906E" w14:textId="77777777" w:rsidR="00EC35E0" w:rsidRDefault="00EC35E0" w:rsidP="00EC35E0">
      <w:pPr>
        <w:pStyle w:val="Reference"/>
      </w:pPr>
      <w:bookmarkStart w:id="7" w:name="_Ref477803338"/>
      <w:r>
        <w:t>RP-170855</w:t>
      </w:r>
      <w:bookmarkEnd w:id="7"/>
      <w:r>
        <w:tab/>
      </w:r>
      <w:r>
        <w:tab/>
      </w:r>
      <w:r w:rsidRPr="0098532B">
        <w:t>New WID on New Radio Access Technology</w:t>
      </w:r>
      <w:r>
        <w:t>; NTT DOCOMO</w:t>
      </w:r>
    </w:p>
    <w:bookmarkEnd w:id="5"/>
    <w:p w14:paraId="7A41775D" w14:textId="77777777" w:rsidR="00EC35E0" w:rsidRPr="00B650EF" w:rsidRDefault="00EC35E0" w:rsidP="00EC35E0">
      <w:pPr>
        <w:pStyle w:val="BodyText"/>
      </w:pPr>
    </w:p>
    <w:sectPr w:rsidR="00EC35E0" w:rsidRPr="00B650EF"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2665A"/>
    <w:multiLevelType w:val="hybridMultilevel"/>
    <w:tmpl w:val="9C54D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DF66E5F"/>
    <w:multiLevelType w:val="hybridMultilevel"/>
    <w:tmpl w:val="420666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C9508D"/>
    <w:multiLevelType w:val="hybridMultilevel"/>
    <w:tmpl w:val="9CA84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A523B9"/>
    <w:multiLevelType w:val="hybridMultilevel"/>
    <w:tmpl w:val="2CD20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
  </w:num>
  <w:num w:numId="4">
    <w:abstractNumId w:val="25"/>
  </w:num>
  <w:num w:numId="5">
    <w:abstractNumId w:val="22"/>
  </w:num>
  <w:num w:numId="6">
    <w:abstractNumId w:val="18"/>
  </w:num>
  <w:num w:numId="7">
    <w:abstractNumId w:val="24"/>
  </w:num>
  <w:num w:numId="8">
    <w:abstractNumId w:val="23"/>
  </w:num>
  <w:num w:numId="9">
    <w:abstractNumId w:val="10"/>
  </w:num>
  <w:num w:numId="10">
    <w:abstractNumId w:val="3"/>
  </w:num>
  <w:num w:numId="11">
    <w:abstractNumId w:val="17"/>
  </w:num>
  <w:num w:numId="12">
    <w:abstractNumId w:val="26"/>
  </w:num>
  <w:num w:numId="13">
    <w:abstractNumId w:val="2"/>
  </w:num>
  <w:num w:numId="14">
    <w:abstractNumId w:val="4"/>
  </w:num>
  <w:num w:numId="15">
    <w:abstractNumId w:val="11"/>
  </w:num>
  <w:num w:numId="16">
    <w:abstractNumId w:val="5"/>
  </w:num>
  <w:num w:numId="17">
    <w:abstractNumId w:val="25"/>
  </w:num>
  <w:num w:numId="18">
    <w:abstractNumId w:val="16"/>
  </w:num>
  <w:num w:numId="19">
    <w:abstractNumId w:val="19"/>
  </w:num>
  <w:num w:numId="20">
    <w:abstractNumId w:val="8"/>
  </w:num>
  <w:num w:numId="21">
    <w:abstractNumId w:val="7"/>
  </w:num>
  <w:num w:numId="22">
    <w:abstractNumId w:val="20"/>
  </w:num>
  <w:num w:numId="23">
    <w:abstractNumId w:val="14"/>
  </w:num>
  <w:num w:numId="24">
    <w:abstractNumId w:val="21"/>
  </w:num>
  <w:num w:numId="25">
    <w:abstractNumId w:val="13"/>
  </w:num>
  <w:num w:numId="26">
    <w:abstractNumId w:val="6"/>
  </w:num>
  <w:num w:numId="27">
    <w:abstractNumId w:val="9"/>
  </w:num>
  <w:num w:numId="28">
    <w:abstractNumId w:val="0"/>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450E"/>
    <w:rsid w:val="000208D5"/>
    <w:rsid w:val="00024F13"/>
    <w:rsid w:val="000472B4"/>
    <w:rsid w:val="00057709"/>
    <w:rsid w:val="000776F1"/>
    <w:rsid w:val="00106ABF"/>
    <w:rsid w:val="0017298C"/>
    <w:rsid w:val="001743D6"/>
    <w:rsid w:val="00182B5F"/>
    <w:rsid w:val="001A5604"/>
    <w:rsid w:val="001B243C"/>
    <w:rsid w:val="001F0CAF"/>
    <w:rsid w:val="00213303"/>
    <w:rsid w:val="00230310"/>
    <w:rsid w:val="002731AE"/>
    <w:rsid w:val="0028065B"/>
    <w:rsid w:val="00286B6D"/>
    <w:rsid w:val="002D77A7"/>
    <w:rsid w:val="002E444B"/>
    <w:rsid w:val="00335675"/>
    <w:rsid w:val="0034475B"/>
    <w:rsid w:val="0048093F"/>
    <w:rsid w:val="0049799A"/>
    <w:rsid w:val="004B1C8B"/>
    <w:rsid w:val="004B3874"/>
    <w:rsid w:val="004C2C58"/>
    <w:rsid w:val="004E79E3"/>
    <w:rsid w:val="0052140E"/>
    <w:rsid w:val="00533F0E"/>
    <w:rsid w:val="00543E22"/>
    <w:rsid w:val="005514B5"/>
    <w:rsid w:val="005838EA"/>
    <w:rsid w:val="00591BD5"/>
    <w:rsid w:val="005A4592"/>
    <w:rsid w:val="00627565"/>
    <w:rsid w:val="0064000B"/>
    <w:rsid w:val="00690C41"/>
    <w:rsid w:val="006A286A"/>
    <w:rsid w:val="006B481E"/>
    <w:rsid w:val="006D4A4B"/>
    <w:rsid w:val="006E3E51"/>
    <w:rsid w:val="006E6E6F"/>
    <w:rsid w:val="007353F4"/>
    <w:rsid w:val="00737D53"/>
    <w:rsid w:val="007B1591"/>
    <w:rsid w:val="007C7533"/>
    <w:rsid w:val="0083452B"/>
    <w:rsid w:val="008366AE"/>
    <w:rsid w:val="008A0342"/>
    <w:rsid w:val="008C24C8"/>
    <w:rsid w:val="0091297D"/>
    <w:rsid w:val="00942F98"/>
    <w:rsid w:val="00982801"/>
    <w:rsid w:val="00997C2F"/>
    <w:rsid w:val="009A0611"/>
    <w:rsid w:val="009B5722"/>
    <w:rsid w:val="009E46CD"/>
    <w:rsid w:val="00A413C1"/>
    <w:rsid w:val="00A628AA"/>
    <w:rsid w:val="00A66ABA"/>
    <w:rsid w:val="00AA000E"/>
    <w:rsid w:val="00AF258E"/>
    <w:rsid w:val="00B03ED8"/>
    <w:rsid w:val="00B249BB"/>
    <w:rsid w:val="00B368D9"/>
    <w:rsid w:val="00B650EF"/>
    <w:rsid w:val="00B65108"/>
    <w:rsid w:val="00B828BD"/>
    <w:rsid w:val="00BB2430"/>
    <w:rsid w:val="00BB422B"/>
    <w:rsid w:val="00BB7B54"/>
    <w:rsid w:val="00BC0FFC"/>
    <w:rsid w:val="00BE4063"/>
    <w:rsid w:val="00C014C0"/>
    <w:rsid w:val="00C02E04"/>
    <w:rsid w:val="00C1560A"/>
    <w:rsid w:val="00C62894"/>
    <w:rsid w:val="00C663D3"/>
    <w:rsid w:val="00C8496C"/>
    <w:rsid w:val="00CA5E5D"/>
    <w:rsid w:val="00CB5A40"/>
    <w:rsid w:val="00CC1CA7"/>
    <w:rsid w:val="00CC260C"/>
    <w:rsid w:val="00CE6CB0"/>
    <w:rsid w:val="00D03072"/>
    <w:rsid w:val="00D22790"/>
    <w:rsid w:val="00D33FAD"/>
    <w:rsid w:val="00D577BB"/>
    <w:rsid w:val="00D84D5E"/>
    <w:rsid w:val="00DA7D33"/>
    <w:rsid w:val="00DB6F36"/>
    <w:rsid w:val="00DD11CB"/>
    <w:rsid w:val="00DE0D8A"/>
    <w:rsid w:val="00DE1BAA"/>
    <w:rsid w:val="00E10C1F"/>
    <w:rsid w:val="00E20E32"/>
    <w:rsid w:val="00E72A8F"/>
    <w:rsid w:val="00EB26FB"/>
    <w:rsid w:val="00EC35E0"/>
    <w:rsid w:val="00EE48AE"/>
    <w:rsid w:val="00F116A9"/>
    <w:rsid w:val="00F346B4"/>
    <w:rsid w:val="00F618ED"/>
    <w:rsid w:val="00F81C1C"/>
    <w:rsid w:val="00F90A69"/>
    <w:rsid w:val="00F92325"/>
    <w:rsid w:val="00F92540"/>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B635"/>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Heading4"/>
    <w:next w:val="Normal"/>
    <w:link w:val="Heading5Char"/>
    <w:qFormat/>
    <w:rsid w:val="00EC35E0"/>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Times New Roman" w:hAnsi="Arial" w:cs="Arial"/>
      <w:b w:val="0"/>
      <w:bCs w:val="0"/>
      <w:sz w:val="22"/>
      <w:szCs w:val="22"/>
      <w:lang w:val="en-GB" w:eastAsia="zh-CN"/>
    </w:rPr>
  </w:style>
  <w:style w:type="paragraph" w:styleId="Heading6">
    <w:name w:val="heading 6"/>
    <w:basedOn w:val="Normal"/>
    <w:next w:val="Normal"/>
    <w:link w:val="Heading6Char"/>
    <w:qFormat/>
    <w:rsid w:val="00EC35E0"/>
    <w:pPr>
      <w:keepNext/>
      <w:keepLines/>
      <w:tabs>
        <w:tab w:val="num" w:pos="1152"/>
      </w:tabs>
      <w:overflowPunct w:val="0"/>
      <w:autoSpaceDE w:val="0"/>
      <w:autoSpaceDN w:val="0"/>
      <w:adjustRightInd w:val="0"/>
      <w:spacing w:before="120" w:after="120"/>
      <w:ind w:left="1152" w:hanging="1152"/>
      <w:jc w:val="both"/>
      <w:textAlignment w:val="baseline"/>
      <w:outlineLvl w:val="5"/>
    </w:pPr>
    <w:rPr>
      <w:rFonts w:cs="Arial"/>
      <w:szCs w:val="20"/>
      <w:lang w:val="en-GB" w:eastAsia="zh-CN"/>
    </w:rPr>
  </w:style>
  <w:style w:type="paragraph" w:styleId="Heading7">
    <w:name w:val="heading 7"/>
    <w:basedOn w:val="Normal"/>
    <w:next w:val="Normal"/>
    <w:link w:val="Heading7Char"/>
    <w:qFormat/>
    <w:rsid w:val="00EC35E0"/>
    <w:pPr>
      <w:keepNext/>
      <w:keepLines/>
      <w:tabs>
        <w:tab w:val="num" w:pos="1296"/>
      </w:tabs>
      <w:overflowPunct w:val="0"/>
      <w:autoSpaceDE w:val="0"/>
      <w:autoSpaceDN w:val="0"/>
      <w:adjustRightInd w:val="0"/>
      <w:spacing w:before="120" w:after="120"/>
      <w:ind w:left="1296" w:hanging="1296"/>
      <w:jc w:val="both"/>
      <w:textAlignment w:val="baseline"/>
      <w:outlineLvl w:val="6"/>
    </w:pPr>
    <w:rPr>
      <w:rFonts w:cs="Arial"/>
      <w:szCs w:val="20"/>
      <w:lang w:val="en-GB" w:eastAsia="zh-CN"/>
    </w:rPr>
  </w:style>
  <w:style w:type="paragraph" w:styleId="Heading8">
    <w:name w:val="heading 8"/>
    <w:basedOn w:val="Heading7"/>
    <w:next w:val="Normal"/>
    <w:link w:val="Heading8Char"/>
    <w:qFormat/>
    <w:rsid w:val="00EC35E0"/>
    <w:pPr>
      <w:tabs>
        <w:tab w:val="clear" w:pos="1296"/>
        <w:tab w:val="num" w:pos="1440"/>
      </w:tabs>
      <w:ind w:left="1440" w:hanging="1440"/>
      <w:outlineLvl w:val="7"/>
    </w:pPr>
  </w:style>
  <w:style w:type="paragraph" w:styleId="Heading9">
    <w:name w:val="heading 9"/>
    <w:basedOn w:val="Heading8"/>
    <w:next w:val="Normal"/>
    <w:link w:val="Heading9Char"/>
    <w:qFormat/>
    <w:rsid w:val="00EC35E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character" w:styleId="CommentReference">
    <w:name w:val="annotation reference"/>
    <w:basedOn w:val="DefaultParagraphFont"/>
    <w:uiPriority w:val="99"/>
    <w:semiHidden/>
    <w:unhideWhenUsed/>
    <w:rsid w:val="00627565"/>
    <w:rPr>
      <w:sz w:val="16"/>
      <w:szCs w:val="16"/>
    </w:rPr>
  </w:style>
  <w:style w:type="paragraph" w:styleId="CommentText">
    <w:name w:val="annotation text"/>
    <w:basedOn w:val="Normal"/>
    <w:link w:val="CommentTextChar"/>
    <w:uiPriority w:val="99"/>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character" w:customStyle="1" w:styleId="Heading5Char">
    <w:name w:val="Heading 5 Char"/>
    <w:basedOn w:val="DefaultParagraphFont"/>
    <w:link w:val="Heading5"/>
    <w:rsid w:val="00EC35E0"/>
    <w:rPr>
      <w:rFonts w:ascii="Arial" w:hAnsi="Arial" w:cs="Arial"/>
      <w:lang w:val="en-GB" w:eastAsia="zh-CN"/>
    </w:rPr>
  </w:style>
  <w:style w:type="character" w:customStyle="1" w:styleId="Heading6Char">
    <w:name w:val="Heading 6 Char"/>
    <w:basedOn w:val="DefaultParagraphFont"/>
    <w:link w:val="Heading6"/>
    <w:rsid w:val="00EC35E0"/>
    <w:rPr>
      <w:rFonts w:ascii="Times New Roman" w:cs="Arial"/>
      <w:sz w:val="20"/>
      <w:szCs w:val="20"/>
      <w:lang w:val="en-GB" w:eastAsia="zh-CN"/>
    </w:rPr>
  </w:style>
  <w:style w:type="character" w:customStyle="1" w:styleId="Heading7Char">
    <w:name w:val="Heading 7 Char"/>
    <w:basedOn w:val="DefaultParagraphFont"/>
    <w:link w:val="Heading7"/>
    <w:rsid w:val="00EC35E0"/>
    <w:rPr>
      <w:rFonts w:ascii="Times New Roman" w:cs="Arial"/>
      <w:sz w:val="20"/>
      <w:szCs w:val="20"/>
      <w:lang w:val="en-GB" w:eastAsia="zh-CN"/>
    </w:rPr>
  </w:style>
  <w:style w:type="character" w:customStyle="1" w:styleId="Heading8Char">
    <w:name w:val="Heading 8 Char"/>
    <w:basedOn w:val="DefaultParagraphFont"/>
    <w:link w:val="Heading8"/>
    <w:rsid w:val="00EC35E0"/>
    <w:rPr>
      <w:rFonts w:ascii="Times New Roman" w:cs="Arial"/>
      <w:sz w:val="20"/>
      <w:szCs w:val="20"/>
      <w:lang w:val="en-GB" w:eastAsia="zh-CN"/>
    </w:rPr>
  </w:style>
  <w:style w:type="character" w:customStyle="1" w:styleId="Heading9Char">
    <w:name w:val="Heading 9 Char"/>
    <w:basedOn w:val="DefaultParagraphFont"/>
    <w:link w:val="Heading9"/>
    <w:rsid w:val="00EC35E0"/>
    <w:rPr>
      <w:rFonts w:ascii="Times New Roman" w:cs="Arial"/>
      <w:sz w:val="20"/>
      <w:szCs w:val="20"/>
      <w:lang w:val="en-GB" w:eastAsia="zh-CN"/>
    </w:rPr>
  </w:style>
  <w:style w:type="paragraph" w:customStyle="1" w:styleId="Reference">
    <w:name w:val="Reference"/>
    <w:basedOn w:val="Normal"/>
    <w:link w:val="ReferenceChar"/>
    <w:qFormat/>
    <w:rsid w:val="00EC35E0"/>
    <w:pPr>
      <w:numPr>
        <w:numId w:val="29"/>
      </w:numPr>
      <w:overflowPunct w:val="0"/>
      <w:autoSpaceDE w:val="0"/>
      <w:autoSpaceDN w:val="0"/>
      <w:adjustRightInd w:val="0"/>
      <w:spacing w:after="120"/>
      <w:jc w:val="both"/>
      <w:textAlignment w:val="baseline"/>
    </w:pPr>
    <w:rPr>
      <w:szCs w:val="20"/>
      <w:lang w:val="en-GB" w:eastAsia="zh-CN"/>
    </w:rPr>
  </w:style>
  <w:style w:type="character" w:customStyle="1" w:styleId="ReferenceChar">
    <w:name w:val="Reference Char"/>
    <w:link w:val="Reference"/>
    <w:rsid w:val="00EC35E0"/>
    <w:rPr>
      <w:rFonts w:ascii="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5NUHHDQN7SK2-1-114819</_dlc_DocId>
    <TaxCatchAll xmlns="08b2df90-05d3-4030-90d4-c9feeb4a1cd9">
      <Value>2</Value>
      <Value>1</Value>
    </TaxCatchAll>
    <_dlc_DocIdUrl xmlns="08b2df90-05d3-4030-90d4-c9feeb4a1cd9">
      <Url>https://ericoll.internal.ericsson.com/sites/STAR/_layouts/DocIdRedir.aspx?ID=5NUHHDQN7SK2-1-114819</Url>
      <Description>5NUHHDQN7SK2-1-114819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55ABE-B3FB-4114-8B9F-13F31ECF3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BEB67-3067-4180-9759-3B5160EE8A86}">
  <ds:schemaRefs>
    <ds:schemaRef ds:uri="Microsoft.SharePoint.Taxonomy.ContentTypeSync"/>
  </ds:schemaRefs>
</ds:datastoreItem>
</file>

<file path=customXml/itemProps3.xml><?xml version="1.0" encoding="utf-8"?>
<ds:datastoreItem xmlns:ds="http://schemas.openxmlformats.org/officeDocument/2006/customXml" ds:itemID="{4AC0D455-E160-4800-8178-46745ECB121B}">
  <ds:schemaRefs>
    <ds:schemaRef ds:uri="http://schemas.microsoft.com/sharepoint/events"/>
  </ds:schemaRefs>
</ds:datastoreItem>
</file>

<file path=customXml/itemProps4.xml><?xml version="1.0" encoding="utf-8"?>
<ds:datastoreItem xmlns:ds="http://schemas.openxmlformats.org/officeDocument/2006/customXml" ds:itemID="{ED777DB4-8CBA-43E6-B343-6AA64744BF03}">
  <ds:schemaRefs>
    <ds:schemaRef ds:uri="http://schemas.microsoft.com/sharepoint/v3/contenttype/forms"/>
  </ds:schemaRefs>
</ds:datastoreItem>
</file>

<file path=customXml/itemProps5.xml><?xml version="1.0" encoding="utf-8"?>
<ds:datastoreItem xmlns:ds="http://schemas.openxmlformats.org/officeDocument/2006/customXml" ds:itemID="{A42164F5-7FD9-46E7-8065-35C8BC808B07}">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06348AD2-DEE7-4D7B-B428-AF474D813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568</Words>
  <Characters>3239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Ericsson</cp:lastModifiedBy>
  <cp:revision>2</cp:revision>
  <dcterms:created xsi:type="dcterms:W3CDTF">2017-05-06T02:52:00Z</dcterms:created>
  <dcterms:modified xsi:type="dcterms:W3CDTF">2017-05-06T02:52:00Z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014d932d-0598-49cf-93a1-e2dc34c1f06a</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