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sidR="006540A1">
        <w:rPr>
          <w:noProof w:val="0"/>
          <w:sz w:val="24"/>
          <w:lang w:val="en-GB"/>
        </w:rPr>
        <w:t>#</w:t>
      </w:r>
      <w:r w:rsidR="00F2194C">
        <w:rPr>
          <w:noProof w:val="0"/>
          <w:sz w:val="24"/>
          <w:lang w:val="en-GB"/>
        </w:rPr>
        <w:t>89</w:t>
      </w:r>
      <w:r w:rsidRPr="008C1FE3">
        <w:rPr>
          <w:bCs/>
          <w:noProof w:val="0"/>
          <w:sz w:val="24"/>
          <w:lang w:val="en-GB"/>
        </w:rPr>
        <w:tab/>
      </w:r>
      <w:r w:rsidR="00F2194C">
        <w:rPr>
          <w:bCs/>
          <w:noProof w:val="0"/>
          <w:sz w:val="24"/>
          <w:lang w:val="en-GB" w:eastAsia="ja-JP"/>
        </w:rPr>
        <w:t>R1-17</w:t>
      </w:r>
      <w:r w:rsidR="00235F9D" w:rsidRPr="00235F9D">
        <w:rPr>
          <w:bCs/>
          <w:noProof w:val="0"/>
          <w:sz w:val="24"/>
          <w:lang w:val="en-GB" w:eastAsia="ja-JP"/>
        </w:rPr>
        <w:t>0</w:t>
      </w:r>
      <w:r w:rsidR="000135B8">
        <w:rPr>
          <w:bCs/>
          <w:noProof w:val="0"/>
          <w:sz w:val="24"/>
          <w:lang w:val="en-GB" w:eastAsia="ja-JP"/>
        </w:rPr>
        <w:t>8916</w:t>
      </w:r>
    </w:p>
    <w:p w:rsidR="00787640" w:rsidRPr="00461210" w:rsidRDefault="00E33BC0" w:rsidP="00F7039A">
      <w:pPr>
        <w:pStyle w:val="Header"/>
        <w:tabs>
          <w:tab w:val="right" w:pos="9639"/>
        </w:tabs>
        <w:rPr>
          <w:bCs/>
          <w:noProof w:val="0"/>
          <w:sz w:val="24"/>
          <w:lang w:val="en-GB"/>
        </w:rPr>
      </w:pPr>
      <w:r>
        <w:rPr>
          <w:noProof w:val="0"/>
          <w:sz w:val="24"/>
          <w:lang w:val="en-GB"/>
        </w:rPr>
        <w:t>Hangzhou, China</w:t>
      </w:r>
      <w:r w:rsidR="00C90FB7">
        <w:rPr>
          <w:noProof w:val="0"/>
          <w:sz w:val="24"/>
          <w:lang w:val="en-GB"/>
        </w:rPr>
        <w:t>,</w:t>
      </w:r>
      <w:r w:rsidR="00E176EA">
        <w:rPr>
          <w:noProof w:val="0"/>
          <w:sz w:val="24"/>
          <w:lang w:val="en-GB"/>
        </w:rPr>
        <w:t xml:space="preserve"> </w:t>
      </w:r>
      <w:r>
        <w:rPr>
          <w:bCs/>
          <w:sz w:val="24"/>
          <w:lang w:eastAsia="zh-CN"/>
        </w:rPr>
        <w:t>15</w:t>
      </w:r>
      <w:r w:rsidRPr="00E33BC0">
        <w:rPr>
          <w:bCs/>
          <w:sz w:val="24"/>
          <w:vertAlign w:val="superscript"/>
          <w:lang w:eastAsia="zh-CN"/>
        </w:rPr>
        <w:t>th</w:t>
      </w:r>
      <w:r>
        <w:rPr>
          <w:bCs/>
          <w:sz w:val="24"/>
          <w:lang w:eastAsia="zh-CN"/>
        </w:rPr>
        <w:t xml:space="preserve"> </w:t>
      </w:r>
      <w:r w:rsidR="00383933">
        <w:rPr>
          <w:bCs/>
          <w:sz w:val="24"/>
          <w:lang w:eastAsia="zh-CN"/>
        </w:rPr>
        <w:t xml:space="preserve">- </w:t>
      </w:r>
      <w:r>
        <w:rPr>
          <w:bCs/>
          <w:sz w:val="24"/>
          <w:lang w:eastAsia="zh-CN"/>
        </w:rPr>
        <w:t>19</w:t>
      </w:r>
      <w:r w:rsidR="00CD4B77" w:rsidRPr="00CD4B77">
        <w:rPr>
          <w:bCs/>
          <w:sz w:val="24"/>
          <w:vertAlign w:val="superscript"/>
          <w:lang w:eastAsia="zh-CN"/>
        </w:rPr>
        <w:t>th</w:t>
      </w:r>
      <w:r w:rsidR="00CD4B77">
        <w:rPr>
          <w:bCs/>
          <w:sz w:val="24"/>
          <w:lang w:eastAsia="zh-CN"/>
        </w:rPr>
        <w:t xml:space="preserve"> </w:t>
      </w:r>
      <w:r w:rsidR="00383933">
        <w:rPr>
          <w:noProof w:val="0"/>
          <w:sz w:val="24"/>
          <w:lang w:val="en-GB"/>
        </w:rPr>
        <w:t>April</w:t>
      </w:r>
      <w:r w:rsidR="005320DC">
        <w:rPr>
          <w:bCs/>
          <w:sz w:val="24"/>
          <w:lang w:eastAsia="zh-CN"/>
        </w:rPr>
        <w:t>,</w:t>
      </w:r>
      <w:r w:rsidR="00D1404E">
        <w:rPr>
          <w:bCs/>
          <w:sz w:val="24"/>
          <w:lang w:eastAsia="zh-CN"/>
        </w:rPr>
        <w:t xml:space="preserve"> </w:t>
      </w:r>
      <w:r w:rsidR="00D1404E" w:rsidRPr="00235B77">
        <w:rPr>
          <w:bCs/>
          <w:sz w:val="24"/>
          <w:lang w:eastAsia="zh-CN"/>
        </w:rPr>
        <w:t>201</w:t>
      </w:r>
      <w:r w:rsidR="006540A1">
        <w:rPr>
          <w:bCs/>
          <w:sz w:val="24"/>
          <w:lang w:eastAsia="zh-CN"/>
        </w:rPr>
        <w:t>7</w:t>
      </w:r>
    </w:p>
    <w:bookmarkEnd w:id="0"/>
    <w:bookmarkEnd w:id="1"/>
    <w:p w:rsidR="00787640" w:rsidRPr="007B7496" w:rsidRDefault="00787640" w:rsidP="00787640">
      <w:pPr>
        <w:pStyle w:val="Header"/>
        <w:rPr>
          <w:bCs/>
          <w:noProof w:val="0"/>
          <w:sz w:val="24"/>
          <w:lang w:val="en-GB" w:eastAsia="ja-JP"/>
        </w:rPr>
      </w:pPr>
    </w:p>
    <w:p w:rsidR="00787640" w:rsidRPr="007B7496" w:rsidRDefault="00787640" w:rsidP="00787640">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235F9D" w:rsidRPr="00235F9D">
        <w:rPr>
          <w:rFonts w:cs="Arial"/>
          <w:b/>
          <w:bCs/>
          <w:sz w:val="24"/>
        </w:rPr>
        <w:t>7.1.2.3.5</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F80DB5">
        <w:rPr>
          <w:rFonts w:ascii="Arial" w:hAnsi="Arial" w:cs="Arial"/>
          <w:b/>
          <w:bCs/>
          <w:sz w:val="24"/>
        </w:rPr>
        <w:t>, Alcatel-Lucent Shanghai Bell</w:t>
      </w:r>
      <w:r w:rsidR="00DD5FAA">
        <w:rPr>
          <w:rFonts w:ascii="Arial" w:hAnsi="Arial" w:cs="Arial"/>
          <w:b/>
          <w:bCs/>
          <w:sz w:val="24"/>
        </w:rPr>
        <w:t xml:space="preserve"> </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2F6E7D">
        <w:rPr>
          <w:rFonts w:ascii="Arial" w:hAnsi="Arial" w:cs="Arial"/>
          <w:b/>
          <w:bCs/>
          <w:sz w:val="24"/>
        </w:rPr>
        <w:t>On Type I</w:t>
      </w:r>
      <w:r w:rsidR="00E33BC0">
        <w:rPr>
          <w:rFonts w:ascii="Arial" w:hAnsi="Arial" w:cs="Arial"/>
          <w:b/>
          <w:bCs/>
          <w:sz w:val="24"/>
        </w:rPr>
        <w:t>I</w:t>
      </w:r>
      <w:r w:rsidR="002F6E7D">
        <w:rPr>
          <w:rFonts w:ascii="Arial" w:hAnsi="Arial" w:cs="Arial"/>
          <w:b/>
          <w:bCs/>
          <w:sz w:val="24"/>
        </w:rPr>
        <w:t xml:space="preserve"> CSI</w:t>
      </w:r>
      <w:r w:rsidR="008B1FF7">
        <w:rPr>
          <w:rFonts w:ascii="Arial" w:hAnsi="Arial" w:cs="Arial"/>
          <w:b/>
          <w:bCs/>
          <w:sz w:val="24"/>
        </w:rPr>
        <w:t xml:space="preserve"> Feedback in NR</w:t>
      </w:r>
    </w:p>
    <w:p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34111C" w:rsidRPr="007B7496" w:rsidRDefault="0034111C">
      <w:pPr>
        <w:pStyle w:val="Heading1"/>
      </w:pPr>
      <w:r w:rsidRPr="007B7496">
        <w:t>1</w:t>
      </w:r>
      <w:r w:rsidRPr="007B7496">
        <w:tab/>
      </w:r>
      <w:r w:rsidR="00EE7FA7" w:rsidRPr="007B7496">
        <w:t>Introduction</w:t>
      </w:r>
    </w:p>
    <w:p w:rsidR="000F1730" w:rsidRPr="00EF4EE4" w:rsidRDefault="00F2194C" w:rsidP="00570A5D">
      <w:pPr>
        <w:spacing w:before="100" w:beforeAutospacing="1" w:after="100" w:afterAutospacing="1"/>
        <w:jc w:val="both"/>
        <w:rPr>
          <w:rFonts w:ascii="Times New Roman" w:eastAsia="Times New Roman" w:hAnsi="Times New Roman" w:cs="Times New Roman"/>
          <w:sz w:val="20"/>
          <w:szCs w:val="20"/>
        </w:rPr>
      </w:pPr>
      <w:r w:rsidRPr="00EF4EE4">
        <w:rPr>
          <w:rFonts w:ascii="Times New Roman" w:eastAsia="Times New Roman" w:hAnsi="Times New Roman" w:cs="Times New Roman"/>
          <w:sz w:val="20"/>
          <w:szCs w:val="20"/>
        </w:rPr>
        <w:t>At the last RAN1#88bis,</w:t>
      </w:r>
      <w:r w:rsidR="00E33BC0" w:rsidRPr="00EF4EE4">
        <w:rPr>
          <w:rFonts w:ascii="Times New Roman" w:eastAsia="Times New Roman" w:hAnsi="Times New Roman" w:cs="Times New Roman"/>
          <w:sz w:val="20"/>
          <w:szCs w:val="20"/>
        </w:rPr>
        <w:t xml:space="preserve"> the following agreements were</w:t>
      </w:r>
      <w:r w:rsidR="005B18A9" w:rsidRPr="00EF4EE4">
        <w:rPr>
          <w:rFonts w:ascii="Times New Roman" w:eastAsia="Times New Roman" w:hAnsi="Times New Roman" w:cs="Times New Roman"/>
          <w:sz w:val="20"/>
          <w:szCs w:val="20"/>
        </w:rPr>
        <w:t xml:space="preserve"> reached regarding Type I</w:t>
      </w:r>
      <w:r w:rsidR="00E33BC0" w:rsidRPr="00EF4EE4">
        <w:rPr>
          <w:rFonts w:ascii="Times New Roman" w:eastAsia="Times New Roman" w:hAnsi="Times New Roman" w:cs="Times New Roman"/>
          <w:sz w:val="20"/>
          <w:szCs w:val="20"/>
        </w:rPr>
        <w:t>I</w:t>
      </w:r>
      <w:r w:rsidR="005B18A9" w:rsidRPr="00EF4EE4">
        <w:rPr>
          <w:rFonts w:ascii="Times New Roman" w:eastAsia="Times New Roman" w:hAnsi="Times New Roman" w:cs="Times New Roman"/>
          <w:sz w:val="20"/>
          <w:szCs w:val="20"/>
        </w:rPr>
        <w:t xml:space="preserve"> CSI feedback </w:t>
      </w:r>
      <w:r w:rsidR="005B18A9" w:rsidRPr="00EF4EE4">
        <w:rPr>
          <w:rFonts w:ascii="Times New Roman" w:eastAsia="Times New Roman" w:hAnsi="Times New Roman" w:cs="Times New Roman"/>
          <w:sz w:val="20"/>
          <w:szCs w:val="20"/>
        </w:rPr>
        <w:fldChar w:fldCharType="begin"/>
      </w:r>
      <w:r w:rsidR="005B18A9" w:rsidRPr="00EF4EE4">
        <w:rPr>
          <w:rFonts w:ascii="Times New Roman" w:eastAsia="Times New Roman" w:hAnsi="Times New Roman" w:cs="Times New Roman"/>
          <w:sz w:val="20"/>
          <w:szCs w:val="20"/>
        </w:rPr>
        <w:instrText xml:space="preserve"> REF _Ref471305800 \r \h </w:instrText>
      </w:r>
      <w:r w:rsidR="00F51D82" w:rsidRPr="00EF4EE4">
        <w:rPr>
          <w:rFonts w:ascii="Times New Roman" w:eastAsia="Times New Roman" w:hAnsi="Times New Roman" w:cs="Times New Roman"/>
          <w:sz w:val="20"/>
          <w:szCs w:val="20"/>
        </w:rPr>
        <w:instrText xml:space="preserve"> \* MERGEFORMAT </w:instrText>
      </w:r>
      <w:r w:rsidR="005B18A9" w:rsidRPr="00EF4EE4">
        <w:rPr>
          <w:rFonts w:ascii="Times New Roman" w:eastAsia="Times New Roman" w:hAnsi="Times New Roman" w:cs="Times New Roman"/>
          <w:sz w:val="20"/>
          <w:szCs w:val="20"/>
        </w:rPr>
      </w:r>
      <w:r w:rsidR="005B18A9" w:rsidRPr="00EF4EE4">
        <w:rPr>
          <w:rFonts w:ascii="Times New Roman" w:eastAsia="Times New Roman" w:hAnsi="Times New Roman" w:cs="Times New Roman"/>
          <w:sz w:val="20"/>
          <w:szCs w:val="20"/>
        </w:rPr>
        <w:fldChar w:fldCharType="separate"/>
      </w:r>
      <w:r w:rsidR="005B18A9" w:rsidRPr="00EF4EE4">
        <w:rPr>
          <w:rFonts w:ascii="Times New Roman" w:eastAsia="Times New Roman" w:hAnsi="Times New Roman" w:cs="Times New Roman"/>
          <w:sz w:val="20"/>
          <w:szCs w:val="20"/>
        </w:rPr>
        <w:t>[1]</w:t>
      </w:r>
      <w:r w:rsidR="005B18A9" w:rsidRPr="00EF4EE4">
        <w:rPr>
          <w:rFonts w:ascii="Times New Roman" w:eastAsia="Times New Roman" w:hAnsi="Times New Roman" w:cs="Times New Roman"/>
          <w:sz w:val="20"/>
          <w:szCs w:val="20"/>
        </w:rPr>
        <w:fldChar w:fldCharType="end"/>
      </w:r>
      <w:r w:rsidR="005B18A9" w:rsidRPr="00EF4EE4">
        <w:rPr>
          <w:rFonts w:ascii="Times New Roman" w:eastAsia="Times New Roman" w:hAnsi="Times New Roman" w:cs="Times New Roman"/>
          <w:sz w:val="20"/>
          <w:szCs w:val="20"/>
        </w:rPr>
        <w:t>:</w:t>
      </w:r>
    </w:p>
    <w:p w:rsidR="00E33BC0" w:rsidRPr="00EF4EE4" w:rsidRDefault="00E33BC0" w:rsidP="00E33BC0">
      <w:pPr>
        <w:numPr>
          <w:ilvl w:val="0"/>
          <w:numId w:val="25"/>
        </w:numPr>
        <w:spacing w:before="100" w:beforeAutospacing="1" w:after="100" w:afterAutospacing="1"/>
        <w:jc w:val="both"/>
        <w:rPr>
          <w:rFonts w:ascii="Times New Roman" w:eastAsia="Times New Roman" w:hAnsi="Times New Roman" w:cs="Times New Roman"/>
          <w:sz w:val="20"/>
          <w:szCs w:val="20"/>
        </w:rPr>
      </w:pPr>
      <w:r w:rsidRPr="00EF4EE4">
        <w:rPr>
          <w:rFonts w:ascii="Times New Roman" w:eastAsia="Times New Roman" w:hAnsi="Times New Roman" w:cs="Times New Roman"/>
          <w:sz w:val="20"/>
          <w:szCs w:val="20"/>
        </w:rPr>
        <w:t>Study mechanisms targeting efficient use of peak and/or average CSI overhead for CSI feedback Type II.</w:t>
      </w:r>
    </w:p>
    <w:p w:rsidR="00E33BC0" w:rsidRPr="00EF4EE4" w:rsidRDefault="00E33BC0" w:rsidP="00E33BC0">
      <w:pPr>
        <w:numPr>
          <w:ilvl w:val="1"/>
          <w:numId w:val="25"/>
        </w:numPr>
        <w:spacing w:before="100" w:beforeAutospacing="1" w:after="100" w:afterAutospacing="1"/>
        <w:jc w:val="both"/>
        <w:rPr>
          <w:rFonts w:ascii="Times New Roman" w:eastAsia="Times New Roman" w:hAnsi="Times New Roman" w:cs="Times New Roman"/>
          <w:sz w:val="20"/>
          <w:szCs w:val="20"/>
        </w:rPr>
      </w:pPr>
      <w:r w:rsidRPr="00EF4EE4">
        <w:rPr>
          <w:rFonts w:ascii="Times New Roman" w:eastAsia="Times New Roman" w:hAnsi="Times New Roman" w:cs="Times New Roman"/>
          <w:sz w:val="20"/>
          <w:szCs w:val="20"/>
        </w:rPr>
        <w:t>For Category I, e.g.</w:t>
      </w:r>
    </w:p>
    <w:p w:rsidR="00E33BC0" w:rsidRPr="00EF4EE4" w:rsidRDefault="00E33BC0" w:rsidP="00E33BC0">
      <w:pPr>
        <w:numPr>
          <w:ilvl w:val="2"/>
          <w:numId w:val="25"/>
        </w:numPr>
        <w:spacing w:before="100" w:beforeAutospacing="1" w:after="100" w:afterAutospacing="1"/>
        <w:jc w:val="both"/>
        <w:rPr>
          <w:rFonts w:ascii="Times New Roman" w:eastAsia="Times New Roman" w:hAnsi="Times New Roman" w:cs="Times New Roman"/>
          <w:sz w:val="20"/>
          <w:szCs w:val="20"/>
        </w:rPr>
      </w:pPr>
      <w:r w:rsidRPr="00EF4EE4">
        <w:rPr>
          <w:rFonts w:ascii="Times New Roman" w:eastAsia="Times New Roman" w:hAnsi="Times New Roman" w:cs="Times New Roman"/>
          <w:sz w:val="20"/>
          <w:szCs w:val="20"/>
        </w:rPr>
        <w:t xml:space="preserve">Mechanism 1: Frequency selective precoding feedback with delay-related parameter(s) (e.g. </w:t>
      </w:r>
      <w:hyperlink r:id="rId13" w:history="1">
        <w:r w:rsidRPr="00EF4EE4">
          <w:rPr>
            <w:rStyle w:val="Hyperlink"/>
            <w:rFonts w:ascii="Times New Roman" w:eastAsia="Times New Roman" w:hAnsi="Times New Roman" w:cs="Times New Roman"/>
            <w:sz w:val="20"/>
            <w:szCs w:val="20"/>
          </w:rPr>
          <w:t>R1-1704884</w:t>
        </w:r>
      </w:hyperlink>
      <w:r w:rsidRPr="00EF4EE4">
        <w:rPr>
          <w:rFonts w:ascii="Times New Roman" w:eastAsia="Times New Roman" w:hAnsi="Times New Roman" w:cs="Times New Roman"/>
          <w:sz w:val="20"/>
          <w:szCs w:val="20"/>
        </w:rPr>
        <w:t xml:space="preserve">, </w:t>
      </w:r>
      <w:hyperlink r:id="rId14" w:history="1">
        <w:r w:rsidRPr="00EF4EE4">
          <w:rPr>
            <w:rStyle w:val="Hyperlink"/>
            <w:rFonts w:ascii="Times New Roman" w:eastAsia="Times New Roman" w:hAnsi="Times New Roman" w:cs="Times New Roman"/>
            <w:sz w:val="20"/>
            <w:szCs w:val="20"/>
          </w:rPr>
          <w:t>R1-1705927</w:t>
        </w:r>
      </w:hyperlink>
      <w:r w:rsidRPr="00EF4EE4">
        <w:rPr>
          <w:rFonts w:ascii="Times New Roman" w:eastAsia="Times New Roman" w:hAnsi="Times New Roman" w:cs="Times New Roman"/>
          <w:sz w:val="20"/>
          <w:szCs w:val="20"/>
        </w:rPr>
        <w:t>)</w:t>
      </w:r>
    </w:p>
    <w:p w:rsidR="00E33BC0" w:rsidRPr="00EF4EE4" w:rsidRDefault="00E33BC0" w:rsidP="00E33BC0">
      <w:pPr>
        <w:numPr>
          <w:ilvl w:val="2"/>
          <w:numId w:val="25"/>
        </w:numPr>
        <w:spacing w:before="100" w:beforeAutospacing="1" w:after="100" w:afterAutospacing="1"/>
        <w:jc w:val="both"/>
        <w:rPr>
          <w:rFonts w:ascii="Times New Roman" w:eastAsia="Times New Roman" w:hAnsi="Times New Roman" w:cs="Times New Roman"/>
          <w:sz w:val="20"/>
          <w:szCs w:val="20"/>
        </w:rPr>
      </w:pPr>
      <w:r w:rsidRPr="00EF4EE4">
        <w:rPr>
          <w:rFonts w:ascii="Times New Roman" w:eastAsia="Times New Roman" w:hAnsi="Times New Roman" w:cs="Times New Roman"/>
          <w:sz w:val="20"/>
          <w:szCs w:val="20"/>
        </w:rPr>
        <w:t xml:space="preserve">Mechanism 2: Differential CSI reporting in time domain h(e.g. </w:t>
      </w:r>
      <w:hyperlink r:id="rId15" w:history="1">
        <w:r w:rsidRPr="00EF4EE4">
          <w:rPr>
            <w:rStyle w:val="Hyperlink"/>
            <w:rFonts w:ascii="Times New Roman" w:eastAsia="Times New Roman" w:hAnsi="Times New Roman" w:cs="Times New Roman"/>
            <w:sz w:val="20"/>
            <w:szCs w:val="20"/>
          </w:rPr>
          <w:t>R1-1705349</w:t>
        </w:r>
      </w:hyperlink>
      <w:r w:rsidRPr="00EF4EE4">
        <w:rPr>
          <w:rFonts w:ascii="Times New Roman" w:eastAsia="Times New Roman" w:hAnsi="Times New Roman" w:cs="Times New Roman"/>
          <w:sz w:val="20"/>
          <w:szCs w:val="20"/>
        </w:rPr>
        <w:t xml:space="preserve">, </w:t>
      </w:r>
      <w:hyperlink r:id="rId16" w:history="1">
        <w:r w:rsidRPr="00EF4EE4">
          <w:rPr>
            <w:rStyle w:val="Hyperlink"/>
            <w:rFonts w:ascii="Times New Roman" w:eastAsia="Times New Roman" w:hAnsi="Times New Roman" w:cs="Times New Roman"/>
            <w:sz w:val="20"/>
            <w:szCs w:val="20"/>
          </w:rPr>
          <w:t>R1-1705588</w:t>
        </w:r>
      </w:hyperlink>
      <w:r w:rsidRPr="00EF4EE4">
        <w:rPr>
          <w:rFonts w:ascii="Times New Roman" w:eastAsia="Times New Roman" w:hAnsi="Times New Roman" w:cs="Times New Roman"/>
          <w:sz w:val="20"/>
          <w:szCs w:val="20"/>
        </w:rPr>
        <w:t>)</w:t>
      </w:r>
    </w:p>
    <w:p w:rsidR="00E33BC0" w:rsidRPr="00EF4EE4" w:rsidRDefault="00E33BC0" w:rsidP="00E33BC0">
      <w:pPr>
        <w:numPr>
          <w:ilvl w:val="2"/>
          <w:numId w:val="25"/>
        </w:numPr>
        <w:spacing w:before="100" w:beforeAutospacing="1" w:after="100" w:afterAutospacing="1"/>
        <w:jc w:val="both"/>
        <w:rPr>
          <w:rFonts w:ascii="Times New Roman" w:eastAsia="Times New Roman" w:hAnsi="Times New Roman" w:cs="Times New Roman"/>
          <w:sz w:val="20"/>
          <w:szCs w:val="20"/>
        </w:rPr>
      </w:pPr>
      <w:r w:rsidRPr="00EF4EE4">
        <w:rPr>
          <w:rFonts w:ascii="Times New Roman" w:eastAsia="Times New Roman" w:hAnsi="Times New Roman" w:cs="Times New Roman"/>
          <w:sz w:val="20"/>
          <w:szCs w:val="20"/>
        </w:rPr>
        <w:t xml:space="preserve">Mechanism 3: Uneven quantization bit allocation for the beam amplitudes or/and phases (e.g. </w:t>
      </w:r>
      <w:hyperlink r:id="rId17" w:history="1">
        <w:r w:rsidRPr="00EF4EE4">
          <w:rPr>
            <w:rStyle w:val="Hyperlink"/>
            <w:rFonts w:ascii="Times New Roman" w:eastAsia="Times New Roman" w:hAnsi="Times New Roman" w:cs="Times New Roman"/>
            <w:sz w:val="20"/>
            <w:szCs w:val="20"/>
          </w:rPr>
          <w:t>R1-1705076</w:t>
        </w:r>
      </w:hyperlink>
      <w:r w:rsidRPr="00EF4EE4">
        <w:rPr>
          <w:rFonts w:ascii="Times New Roman" w:eastAsia="Times New Roman" w:hAnsi="Times New Roman" w:cs="Times New Roman"/>
          <w:sz w:val="20"/>
          <w:szCs w:val="20"/>
        </w:rPr>
        <w:t>)</w:t>
      </w:r>
    </w:p>
    <w:p w:rsidR="00E33BC0" w:rsidRPr="00EF4EE4" w:rsidRDefault="00E33BC0" w:rsidP="00E33BC0">
      <w:pPr>
        <w:numPr>
          <w:ilvl w:val="2"/>
          <w:numId w:val="25"/>
        </w:numPr>
        <w:spacing w:before="100" w:beforeAutospacing="1" w:after="100" w:afterAutospacing="1"/>
        <w:jc w:val="both"/>
        <w:rPr>
          <w:rFonts w:ascii="Times New Roman" w:eastAsia="Times New Roman" w:hAnsi="Times New Roman" w:cs="Times New Roman"/>
          <w:sz w:val="20"/>
          <w:szCs w:val="20"/>
        </w:rPr>
      </w:pPr>
      <w:r w:rsidRPr="00EF4EE4">
        <w:rPr>
          <w:rFonts w:ascii="Times New Roman" w:eastAsia="Times New Roman" w:hAnsi="Times New Roman" w:cs="Times New Roman"/>
          <w:sz w:val="20"/>
          <w:szCs w:val="20"/>
        </w:rPr>
        <w:t xml:space="preserve">Mechanism 4: Matrix quantization considering inter-layer orthogonality for W2(e.g., </w:t>
      </w:r>
      <w:hyperlink r:id="rId18" w:history="1">
        <w:r w:rsidRPr="00EF4EE4">
          <w:rPr>
            <w:rStyle w:val="Hyperlink"/>
            <w:rFonts w:ascii="Times New Roman" w:eastAsia="Times New Roman" w:hAnsi="Times New Roman" w:cs="Times New Roman"/>
            <w:sz w:val="20"/>
            <w:szCs w:val="20"/>
          </w:rPr>
          <w:t>R1-1704408</w:t>
        </w:r>
      </w:hyperlink>
      <w:r w:rsidRPr="00EF4EE4">
        <w:rPr>
          <w:rFonts w:ascii="Times New Roman" w:eastAsia="Times New Roman" w:hAnsi="Times New Roman" w:cs="Times New Roman"/>
          <w:sz w:val="20"/>
          <w:szCs w:val="20"/>
        </w:rPr>
        <w:t>)</w:t>
      </w:r>
    </w:p>
    <w:p w:rsidR="00E33BC0" w:rsidRPr="00EF4EE4" w:rsidRDefault="00E33BC0" w:rsidP="00E33BC0">
      <w:pPr>
        <w:numPr>
          <w:ilvl w:val="2"/>
          <w:numId w:val="25"/>
        </w:numPr>
        <w:spacing w:before="100" w:beforeAutospacing="1" w:after="100" w:afterAutospacing="1"/>
        <w:jc w:val="both"/>
        <w:rPr>
          <w:rFonts w:ascii="Times New Roman" w:eastAsia="Times New Roman" w:hAnsi="Times New Roman" w:cs="Times New Roman"/>
          <w:sz w:val="20"/>
          <w:szCs w:val="20"/>
        </w:rPr>
      </w:pPr>
      <w:r w:rsidRPr="00EF4EE4">
        <w:rPr>
          <w:rFonts w:ascii="Times New Roman" w:eastAsia="Times New Roman" w:hAnsi="Times New Roman" w:cs="Times New Roman"/>
          <w:sz w:val="20"/>
          <w:szCs w:val="20"/>
        </w:rPr>
        <w:t xml:space="preserve">Note: performance should be also considered for overhead reduction </w:t>
      </w:r>
    </w:p>
    <w:p w:rsidR="00E33BC0" w:rsidRPr="00EF4EE4" w:rsidRDefault="00E33BC0" w:rsidP="00E33BC0">
      <w:pPr>
        <w:numPr>
          <w:ilvl w:val="2"/>
          <w:numId w:val="25"/>
        </w:numPr>
        <w:spacing w:before="100" w:beforeAutospacing="1" w:after="100" w:afterAutospacing="1"/>
        <w:jc w:val="both"/>
        <w:rPr>
          <w:rFonts w:ascii="Times New Roman" w:eastAsia="Times New Roman" w:hAnsi="Times New Roman" w:cs="Times New Roman"/>
          <w:sz w:val="20"/>
          <w:szCs w:val="20"/>
        </w:rPr>
      </w:pPr>
      <w:r w:rsidRPr="00EF4EE4">
        <w:rPr>
          <w:rFonts w:ascii="Times New Roman" w:eastAsia="Times New Roman" w:hAnsi="Times New Roman" w:cs="Times New Roman"/>
          <w:sz w:val="20"/>
          <w:szCs w:val="20"/>
        </w:rPr>
        <w:t xml:space="preserve">Other examples are not precluded. </w:t>
      </w:r>
    </w:p>
    <w:p w:rsidR="00E33BC0" w:rsidRPr="00EF4EE4" w:rsidRDefault="00E33BC0" w:rsidP="00E33BC0">
      <w:pPr>
        <w:numPr>
          <w:ilvl w:val="0"/>
          <w:numId w:val="25"/>
        </w:numPr>
        <w:spacing w:after="0" w:line="240" w:lineRule="auto"/>
        <w:rPr>
          <w:rFonts w:ascii="Times New Roman" w:eastAsia="MS Mincho" w:hAnsi="Times New Roman" w:cs="Times New Roman"/>
          <w:sz w:val="20"/>
          <w:szCs w:val="20"/>
          <w:lang w:eastAsia="ja-JP"/>
        </w:rPr>
      </w:pPr>
      <w:r w:rsidRPr="00EF4EE4">
        <w:rPr>
          <w:rFonts w:ascii="Times New Roman" w:eastAsia="MS Mincho" w:hAnsi="Times New Roman" w:cs="Times New Roman"/>
          <w:sz w:val="20"/>
          <w:szCs w:val="20"/>
          <w:lang w:eastAsia="ja-JP"/>
        </w:rPr>
        <w:t xml:space="preserve">For Type I and II Cat1 (if Cat1 is supported) </w:t>
      </w:r>
      <w:r w:rsidRPr="00EF4EE4">
        <w:rPr>
          <w:rFonts w:ascii="Times New Roman" w:eastAsia="MS Mincho" w:hAnsi="Times New Roman" w:cs="Times New Roman"/>
          <w:i/>
          <w:iCs/>
          <w:sz w:val="20"/>
          <w:szCs w:val="20"/>
          <w:lang w:eastAsia="ja-JP"/>
        </w:rPr>
        <w:t xml:space="preserve">single panel </w:t>
      </w:r>
      <w:r w:rsidRPr="00EF4EE4">
        <w:rPr>
          <w:rFonts w:ascii="Times New Roman" w:eastAsia="MS Mincho" w:hAnsi="Times New Roman" w:cs="Times New Roman"/>
          <w:sz w:val="20"/>
          <w:szCs w:val="20"/>
          <w:lang w:eastAsia="ja-JP"/>
        </w:rPr>
        <w:t>codebooks (</w:t>
      </w:r>
      <m:oMath>
        <m:sSub>
          <m:sSubPr>
            <m:ctrlPr>
              <w:rPr>
                <w:rFonts w:ascii="Cambria Math" w:eastAsia="Times New Roman" w:hAnsi="Cambria Math" w:cs="Times New Roman"/>
                <w:i/>
                <w:iCs/>
                <w:color w:val="000000"/>
                <w:sz w:val="20"/>
                <w:szCs w:val="20"/>
              </w:rPr>
            </m:ctrlPr>
          </m:sSubPr>
          <m:e>
            <m:r>
              <m:rPr>
                <m:sty m:val="bi"/>
              </m:rPr>
              <w:rPr>
                <w:rFonts w:ascii="Cambria Math" w:eastAsia="Times New Roman" w:hAnsi="Cambria Math" w:cs="Times New Roman"/>
                <w:color w:val="000000"/>
                <w:sz w:val="20"/>
                <w:szCs w:val="20"/>
              </w:rPr>
              <m:t>W</m:t>
            </m:r>
            <m:r>
              <m:rPr>
                <m:sty m:val="p"/>
              </m:rPr>
              <w:rPr>
                <w:rFonts w:ascii="Cambria Math" w:eastAsia="Times New Roman" w:hAnsi="Cambria Math" w:cs="Times New Roman"/>
                <w:color w:val="000000"/>
                <w:sz w:val="20"/>
                <w:szCs w:val="20"/>
              </w:rPr>
              <m:t>=</m:t>
            </m:r>
            <m:r>
              <m:rPr>
                <m:sty m:val="bi"/>
              </m:rPr>
              <w:rPr>
                <w:rFonts w:ascii="Cambria Math" w:eastAsia="Times New Roman" w:hAnsi="Cambria Math" w:cs="Times New Roman"/>
                <w:color w:val="000000"/>
                <w:sz w:val="20"/>
                <w:szCs w:val="20"/>
              </w:rPr>
              <m:t>W</m:t>
            </m:r>
          </m:e>
          <m:sub>
            <m:r>
              <m:rPr>
                <m:sty m:val="p"/>
              </m:rPr>
              <w:rPr>
                <w:rFonts w:ascii="Cambria Math" w:eastAsia="Times New Roman" w:hAnsi="Cambria Math" w:cs="Times New Roman"/>
                <w:color w:val="000000"/>
                <w:sz w:val="20"/>
                <w:szCs w:val="20"/>
              </w:rPr>
              <m:t>1</m:t>
            </m:r>
          </m:sub>
        </m:sSub>
        <m:sSub>
          <m:sSubPr>
            <m:ctrlPr>
              <w:rPr>
                <w:rFonts w:ascii="Cambria Math" w:eastAsia="Times New Roman" w:hAnsi="Cambria Math" w:cs="Times New Roman"/>
                <w:i/>
                <w:iCs/>
                <w:color w:val="000000"/>
                <w:sz w:val="20"/>
                <w:szCs w:val="20"/>
              </w:rPr>
            </m:ctrlPr>
          </m:sSubPr>
          <m:e>
            <m:r>
              <m:rPr>
                <m:sty m:val="bi"/>
              </m:rPr>
              <w:rPr>
                <w:rFonts w:ascii="Cambria Math" w:eastAsia="Times New Roman" w:hAnsi="Cambria Math" w:cs="Times New Roman"/>
                <w:color w:val="000000"/>
                <w:sz w:val="20"/>
                <w:szCs w:val="20"/>
              </w:rPr>
              <m:t>W</m:t>
            </m:r>
          </m:e>
          <m:sub>
            <m:r>
              <m:rPr>
                <m:sty m:val="p"/>
              </m:rPr>
              <w:rPr>
                <w:rFonts w:ascii="Cambria Math" w:eastAsia="Times New Roman" w:hAnsi="Cambria Math" w:cs="Times New Roman"/>
                <w:color w:val="000000"/>
                <w:sz w:val="20"/>
                <w:szCs w:val="20"/>
              </w:rPr>
              <m:t>2</m:t>
            </m:r>
          </m:sub>
        </m:sSub>
      </m:oMath>
      <w:r w:rsidRPr="00EF4EE4">
        <w:rPr>
          <w:rFonts w:ascii="Times New Roman" w:eastAsia="MS Mincho" w:hAnsi="Times New Roman" w:cs="Times New Roman"/>
          <w:sz w:val="20"/>
          <w:szCs w:val="20"/>
          <w:lang w:eastAsia="ja-JP"/>
        </w:rPr>
        <w:t xml:space="preserve"> structure):</w:t>
      </w:r>
    </w:p>
    <w:p w:rsidR="00E33BC0" w:rsidRPr="00EF4EE4" w:rsidRDefault="00E33BC0" w:rsidP="00E33BC0">
      <w:pPr>
        <w:numPr>
          <w:ilvl w:val="1"/>
          <w:numId w:val="25"/>
        </w:numPr>
        <w:spacing w:after="0" w:line="240" w:lineRule="auto"/>
        <w:rPr>
          <w:rFonts w:ascii="Times New Roman" w:eastAsia="MS Mincho" w:hAnsi="Times New Roman" w:cs="Times New Roman"/>
          <w:sz w:val="20"/>
          <w:szCs w:val="20"/>
          <w:lang w:eastAsia="ja-JP"/>
        </w:rPr>
      </w:pPr>
      <w:r w:rsidRPr="00EF4EE4">
        <w:rPr>
          <w:rFonts w:ascii="Times New Roman" w:eastAsia="MS Mincho" w:hAnsi="Times New Roman" w:cs="Times New Roman"/>
          <w:sz w:val="20"/>
          <w:szCs w:val="20"/>
          <w:lang w:eastAsia="ja-JP"/>
        </w:rPr>
        <w:t xml:space="preserve">The exact design of </w:t>
      </w:r>
      <m:oMath>
        <m:sSub>
          <m:sSubPr>
            <m:ctrlPr>
              <w:rPr>
                <w:rFonts w:ascii="Cambria Math" w:eastAsia="Times New Roman" w:hAnsi="Cambria Math" w:cs="Times New Roman"/>
                <w:i/>
                <w:iCs/>
                <w:color w:val="000000"/>
                <w:sz w:val="20"/>
                <w:szCs w:val="20"/>
              </w:rPr>
            </m:ctrlPr>
          </m:sSubPr>
          <m:e>
            <m:r>
              <m:rPr>
                <m:sty m:val="bi"/>
              </m:rPr>
              <w:rPr>
                <w:rFonts w:ascii="Cambria Math" w:eastAsia="Times New Roman" w:hAnsi="Cambria Math" w:cs="Times New Roman"/>
                <w:color w:val="000000"/>
                <w:sz w:val="20"/>
                <w:szCs w:val="20"/>
              </w:rPr>
              <m:t>W</m:t>
            </m:r>
          </m:e>
          <m:sub>
            <m:r>
              <m:rPr>
                <m:sty m:val="p"/>
              </m:rPr>
              <w:rPr>
                <w:rFonts w:ascii="Cambria Math" w:eastAsia="Times New Roman" w:hAnsi="Cambria Math" w:cs="Times New Roman"/>
                <w:color w:val="000000"/>
                <w:sz w:val="20"/>
                <w:szCs w:val="20"/>
              </w:rPr>
              <m:t>1</m:t>
            </m:r>
          </m:sub>
        </m:sSub>
      </m:oMath>
      <w:r w:rsidRPr="00EF4EE4">
        <w:rPr>
          <w:rFonts w:ascii="Times New Roman" w:eastAsia="MS Mincho" w:hAnsi="Times New Roman" w:cs="Times New Roman"/>
          <w:sz w:val="20"/>
          <w:szCs w:val="20"/>
          <w:lang w:eastAsia="ja-JP"/>
        </w:rPr>
        <w:t xml:space="preserve"> is to be decided in RAN1#89 for both Type I and Type II Cat1 (if Cat1 supported)</w:t>
      </w:r>
    </w:p>
    <w:p w:rsidR="00E33BC0" w:rsidRPr="00EF4EE4" w:rsidRDefault="00E33BC0" w:rsidP="00E33BC0">
      <w:pPr>
        <w:numPr>
          <w:ilvl w:val="2"/>
          <w:numId w:val="25"/>
        </w:numPr>
        <w:spacing w:after="0" w:line="240" w:lineRule="auto"/>
        <w:rPr>
          <w:rFonts w:ascii="Times New Roman" w:eastAsia="MS Mincho" w:hAnsi="Times New Roman" w:cs="Times New Roman"/>
          <w:sz w:val="20"/>
          <w:szCs w:val="20"/>
          <w:lang w:eastAsia="ja-JP"/>
        </w:rPr>
      </w:pPr>
      <w:r w:rsidRPr="00EF4EE4">
        <w:rPr>
          <w:rFonts w:ascii="Times New Roman" w:eastAsia="MS Mincho" w:hAnsi="Times New Roman" w:cs="Times New Roman"/>
          <w:sz w:val="20"/>
          <w:szCs w:val="20"/>
          <w:lang w:eastAsia="ja-JP"/>
        </w:rPr>
        <w:t>For W1 codebook, companies are encouraged to perform more evaluations comparing the different alternatives</w:t>
      </w:r>
    </w:p>
    <w:p w:rsidR="00F51D82" w:rsidRPr="00EF4EE4" w:rsidRDefault="00F51D82" w:rsidP="00F51D82">
      <w:pPr>
        <w:numPr>
          <w:ilvl w:val="0"/>
          <w:numId w:val="25"/>
        </w:numPr>
        <w:spacing w:after="0" w:line="240" w:lineRule="auto"/>
        <w:rPr>
          <w:rFonts w:ascii="Times New Roman" w:eastAsia="MS Mincho" w:hAnsi="Times New Roman" w:cs="Times New Roman"/>
          <w:sz w:val="20"/>
          <w:szCs w:val="20"/>
          <w:lang w:eastAsia="ja-JP"/>
        </w:rPr>
      </w:pPr>
      <w:r w:rsidRPr="00EF4EE4">
        <w:rPr>
          <w:rFonts w:ascii="Times New Roman" w:eastAsia="MS Mincho" w:hAnsi="Times New Roman" w:cs="Times New Roman"/>
          <w:sz w:val="20"/>
          <w:szCs w:val="20"/>
          <w:lang w:eastAsia="ja-JP"/>
        </w:rPr>
        <w:t>For Type II CSI feedback (Cat 1, if supported), at least rank 1 and rank 2 are supported</w:t>
      </w:r>
    </w:p>
    <w:p w:rsidR="00F51D82" w:rsidRPr="00EF4EE4" w:rsidRDefault="00F51D82" w:rsidP="00F51D82">
      <w:pPr>
        <w:numPr>
          <w:ilvl w:val="1"/>
          <w:numId w:val="25"/>
        </w:numPr>
        <w:spacing w:after="0" w:line="240" w:lineRule="auto"/>
        <w:rPr>
          <w:rFonts w:ascii="Times New Roman" w:eastAsia="MS Mincho" w:hAnsi="Times New Roman" w:cs="Times New Roman"/>
          <w:sz w:val="20"/>
          <w:szCs w:val="20"/>
          <w:lang w:eastAsia="ja-JP"/>
        </w:rPr>
      </w:pPr>
      <w:r w:rsidRPr="00EF4EE4">
        <w:rPr>
          <w:rFonts w:ascii="Times New Roman" w:eastAsia="MS Mincho" w:hAnsi="Times New Roman" w:cs="Times New Roman"/>
          <w:sz w:val="20"/>
          <w:szCs w:val="20"/>
          <w:lang w:eastAsia="ja-JP"/>
        </w:rPr>
        <w:t>FFS other ranks</w:t>
      </w:r>
    </w:p>
    <w:p w:rsidR="00F51D82" w:rsidRPr="00EF4EE4" w:rsidRDefault="00F51D82" w:rsidP="00F51D82">
      <w:pPr>
        <w:numPr>
          <w:ilvl w:val="0"/>
          <w:numId w:val="25"/>
        </w:numPr>
        <w:spacing w:after="0" w:line="240" w:lineRule="auto"/>
        <w:rPr>
          <w:rFonts w:ascii="Times New Roman" w:eastAsia="MS Mincho" w:hAnsi="Times New Roman" w:cs="Times New Roman"/>
          <w:sz w:val="20"/>
          <w:szCs w:val="20"/>
          <w:lang w:eastAsia="ja-JP"/>
        </w:rPr>
      </w:pPr>
      <w:r w:rsidRPr="00EF4EE4">
        <w:rPr>
          <w:rFonts w:ascii="Times New Roman" w:eastAsia="MS Mincho" w:hAnsi="Times New Roman" w:cs="Times New Roman"/>
          <w:bCs/>
          <w:sz w:val="20"/>
          <w:szCs w:val="20"/>
          <w:lang w:eastAsia="ja-JP"/>
        </w:rPr>
        <w:t>For beam selection:</w:t>
      </w:r>
    </w:p>
    <w:p w:rsidR="00F51D82" w:rsidRPr="00EF4EE4" w:rsidRDefault="00F51D82" w:rsidP="00F51D82">
      <w:pPr>
        <w:numPr>
          <w:ilvl w:val="1"/>
          <w:numId w:val="25"/>
        </w:numPr>
        <w:spacing w:after="0" w:line="240" w:lineRule="auto"/>
        <w:rPr>
          <w:rFonts w:ascii="Times New Roman" w:eastAsia="MS Mincho" w:hAnsi="Times New Roman" w:cs="Times New Roman"/>
          <w:sz w:val="20"/>
          <w:szCs w:val="20"/>
          <w:lang w:eastAsia="ja-JP"/>
        </w:rPr>
      </w:pPr>
      <w:r w:rsidRPr="00EF4EE4">
        <w:rPr>
          <w:rFonts w:ascii="Times New Roman" w:eastAsia="MS Mincho" w:hAnsi="Times New Roman" w:cs="Times New Roman"/>
          <w:sz w:val="20"/>
          <w:szCs w:val="20"/>
          <w:lang w:eastAsia="ja-JP"/>
        </w:rPr>
        <w:t>Support at least unconstrained beam selection from orthogonal basis</w:t>
      </w:r>
    </w:p>
    <w:p w:rsidR="00F51D82" w:rsidRPr="00EF4EE4" w:rsidRDefault="00F51D82" w:rsidP="00F51D82">
      <w:pPr>
        <w:numPr>
          <w:ilvl w:val="0"/>
          <w:numId w:val="25"/>
        </w:numPr>
        <w:spacing w:after="0" w:line="240" w:lineRule="auto"/>
        <w:rPr>
          <w:rFonts w:ascii="Times New Roman" w:eastAsia="MS Mincho" w:hAnsi="Times New Roman" w:cs="Times New Roman"/>
          <w:sz w:val="20"/>
          <w:szCs w:val="20"/>
          <w:lang w:eastAsia="ja-JP"/>
        </w:rPr>
      </w:pPr>
      <w:r w:rsidRPr="00EF4EE4">
        <w:rPr>
          <w:rFonts w:ascii="Times New Roman" w:eastAsia="MS Mincho" w:hAnsi="Times New Roman" w:cs="Times New Roman"/>
          <w:sz w:val="20"/>
          <w:szCs w:val="20"/>
          <w:lang w:eastAsia="ja-JP"/>
        </w:rPr>
        <w:t xml:space="preserve">FFS to support a common design of W2 for Cat. 1, Cat. 2 and Cat. 3 </w:t>
      </w:r>
    </w:p>
    <w:p w:rsidR="00F51D82" w:rsidRPr="00EF4EE4" w:rsidRDefault="00F51D82" w:rsidP="00F51D82">
      <w:pPr>
        <w:numPr>
          <w:ilvl w:val="1"/>
          <w:numId w:val="25"/>
        </w:numPr>
        <w:spacing w:after="0" w:line="240" w:lineRule="auto"/>
        <w:rPr>
          <w:rFonts w:ascii="Times New Roman" w:eastAsia="MS Mincho" w:hAnsi="Times New Roman" w:cs="Times New Roman"/>
          <w:sz w:val="20"/>
          <w:szCs w:val="20"/>
          <w:lang w:eastAsia="ja-JP"/>
        </w:rPr>
      </w:pPr>
      <w:r w:rsidRPr="00EF4EE4">
        <w:rPr>
          <w:rFonts w:ascii="Times New Roman" w:eastAsia="MS Mincho" w:hAnsi="Times New Roman" w:cs="Times New Roman"/>
          <w:sz w:val="20"/>
          <w:szCs w:val="20"/>
          <w:lang w:eastAsia="ja-JP"/>
        </w:rPr>
        <w:t>FFS for Cat. 3, W2 only feedback is allowed</w:t>
      </w:r>
    </w:p>
    <w:p w:rsidR="00F51D82" w:rsidRPr="00EF4EE4" w:rsidRDefault="00F51D82" w:rsidP="00F51D82">
      <w:pPr>
        <w:numPr>
          <w:ilvl w:val="2"/>
          <w:numId w:val="25"/>
        </w:numPr>
        <w:spacing w:after="0" w:line="240" w:lineRule="auto"/>
        <w:rPr>
          <w:rFonts w:ascii="Times New Roman" w:eastAsia="MS Mincho" w:hAnsi="Times New Roman" w:cs="Times New Roman"/>
          <w:sz w:val="20"/>
          <w:szCs w:val="20"/>
          <w:lang w:eastAsia="ja-JP"/>
        </w:rPr>
      </w:pPr>
      <w:r w:rsidRPr="00EF4EE4">
        <w:rPr>
          <w:rFonts w:ascii="Times New Roman" w:eastAsia="MS Mincho" w:hAnsi="Times New Roman" w:cs="Times New Roman"/>
          <w:sz w:val="20"/>
          <w:szCs w:val="20"/>
          <w:lang w:eastAsia="ja-JP"/>
        </w:rPr>
        <w:t>FFS amplitude feedback for W2 (e.g., wideband, subband, etc.)</w:t>
      </w:r>
    </w:p>
    <w:p w:rsidR="00F51D82" w:rsidRPr="00EF4EE4" w:rsidRDefault="00F51D82" w:rsidP="00F51D82">
      <w:pPr>
        <w:numPr>
          <w:ilvl w:val="1"/>
          <w:numId w:val="25"/>
        </w:numPr>
        <w:spacing w:after="0" w:line="240" w:lineRule="auto"/>
        <w:rPr>
          <w:rFonts w:ascii="Times New Roman" w:eastAsia="MS Mincho" w:hAnsi="Times New Roman" w:cs="Times New Roman"/>
          <w:sz w:val="20"/>
          <w:szCs w:val="20"/>
          <w:lang w:eastAsia="ja-JP"/>
        </w:rPr>
      </w:pPr>
      <w:r w:rsidRPr="00EF4EE4">
        <w:rPr>
          <w:rFonts w:ascii="Times New Roman" w:eastAsia="MS Mincho" w:hAnsi="Times New Roman" w:cs="Times New Roman"/>
          <w:sz w:val="20"/>
          <w:szCs w:val="20"/>
          <w:lang w:eastAsia="ja-JP"/>
        </w:rPr>
        <w:t>Note: this does not mean NR supports all three categories</w:t>
      </w:r>
    </w:p>
    <w:p w:rsidR="00E33BC0" w:rsidRPr="00EF4EE4" w:rsidRDefault="00F51D82" w:rsidP="00F51D82">
      <w:pPr>
        <w:numPr>
          <w:ilvl w:val="0"/>
          <w:numId w:val="25"/>
        </w:numPr>
        <w:spacing w:after="120" w:line="240" w:lineRule="auto"/>
        <w:rPr>
          <w:rFonts w:ascii="Times New Roman" w:eastAsia="MS Mincho" w:hAnsi="Times New Roman" w:cs="Times New Roman"/>
          <w:b/>
          <w:sz w:val="20"/>
          <w:szCs w:val="20"/>
          <w:lang w:eastAsia="ja-JP"/>
        </w:rPr>
      </w:pPr>
      <w:r w:rsidRPr="00EF4EE4">
        <w:rPr>
          <w:rFonts w:ascii="Times New Roman" w:eastAsia="MS Mincho" w:hAnsi="Times New Roman" w:cs="Times New Roman"/>
          <w:sz w:val="20"/>
          <w:szCs w:val="20"/>
          <w:lang w:eastAsia="ja-JP"/>
        </w:rPr>
        <w:t>FFS whether or not to merge Category 1 and Category 3 using a unified codebook formulation</w:t>
      </w:r>
    </w:p>
    <w:p w:rsidR="005B18A9" w:rsidRPr="00EF4EE4" w:rsidRDefault="008D2741" w:rsidP="005B18A9">
      <w:pPr>
        <w:rPr>
          <w:rFonts w:ascii="Times New Roman" w:hAnsi="Times New Roman" w:cs="Times New Roman"/>
          <w:sz w:val="20"/>
          <w:szCs w:val="20"/>
        </w:rPr>
      </w:pPr>
      <w:r w:rsidRPr="00EF4EE4">
        <w:rPr>
          <w:rFonts w:ascii="Times New Roman" w:hAnsi="Times New Roman" w:cs="Times New Roman"/>
          <w:sz w:val="20"/>
          <w:szCs w:val="20"/>
        </w:rPr>
        <w:t>In this contribution, we further develop the design of the NR Type II Category 1 codebook.</w:t>
      </w:r>
    </w:p>
    <w:p w:rsidR="00E13643" w:rsidRDefault="00D75268" w:rsidP="00E13643">
      <w:pPr>
        <w:pStyle w:val="Heading1"/>
      </w:pPr>
      <w:bookmarkStart w:id="5" w:name="OLE_LINK13"/>
      <w:bookmarkStart w:id="6" w:name="OLE_LINK14"/>
      <w:r>
        <w:t>2</w:t>
      </w:r>
      <w:r w:rsidR="00E13643">
        <w:tab/>
        <w:t xml:space="preserve">Codebook Design </w:t>
      </w:r>
      <w:r w:rsidR="0010783A">
        <w:t>Parameters</w:t>
      </w:r>
    </w:p>
    <w:p w:rsidR="00CD28C8" w:rsidRPr="0010783A" w:rsidRDefault="0010783A" w:rsidP="00F2194C">
      <w:pPr>
        <w:jc w:val="both"/>
        <w:rPr>
          <w:rFonts w:ascii="Times New Roman" w:hAnsi="Times New Roman"/>
          <w:sz w:val="20"/>
          <w:szCs w:val="20"/>
        </w:rPr>
      </w:pPr>
      <w:r>
        <w:rPr>
          <w:rFonts w:ascii="Times New Roman" w:hAnsi="Times New Roman"/>
          <w:sz w:val="20"/>
          <w:szCs w:val="20"/>
        </w:rPr>
        <w:t xml:space="preserve">In RAN1#88bis, we indicated our support for Scheme 1-1 of the Type II Category 1 codebook.  We will now focus solely on Scheme 1-1 and consider the design parameters associated with this codebook.  These parameters include the number of beams to support per polarization in </w:t>
      </w:r>
      <m:oMath>
        <m:sSub>
          <m:sSubPr>
            <m:ctrlPr>
              <w:rPr>
                <w:rFonts w:ascii="Cambria Math" w:eastAsia="Times New Roman" w:hAnsi="Cambria Math" w:cs="Times New Roman"/>
                <w:i/>
                <w:iCs/>
                <w:color w:val="000000"/>
                <w:sz w:val="20"/>
                <w:szCs w:val="20"/>
              </w:rPr>
            </m:ctrlPr>
          </m:sSubPr>
          <m:e>
            <m:r>
              <m:rPr>
                <m:sty m:val="bi"/>
              </m:rPr>
              <w:rPr>
                <w:rFonts w:ascii="Cambria Math" w:eastAsia="Times New Roman" w:hAnsi="Cambria Math" w:cs="Times New Roman"/>
                <w:color w:val="000000"/>
                <w:sz w:val="20"/>
                <w:szCs w:val="20"/>
              </w:rPr>
              <m:t>W</m:t>
            </m:r>
          </m:e>
          <m:sub>
            <m:r>
              <m:rPr>
                <m:sty m:val="p"/>
              </m:rPr>
              <w:rPr>
                <w:rFonts w:ascii="Cambria Math" w:eastAsia="Times New Roman" w:hAnsi="Cambria Math" w:cs="Times New Roman"/>
                <w:color w:val="000000"/>
                <w:sz w:val="20"/>
                <w:szCs w:val="20"/>
              </w:rPr>
              <m:t>1</m:t>
            </m:r>
          </m:sub>
        </m:sSub>
      </m:oMath>
      <w:r>
        <w:rPr>
          <w:rFonts w:ascii="Times New Roman" w:hAnsi="Times New Roman"/>
          <w:iCs/>
          <w:color w:val="000000"/>
          <w:sz w:val="20"/>
          <w:szCs w:val="20"/>
        </w:rPr>
        <w:t xml:space="preserve"> (or, more specifically, in the beam matrix </w:t>
      </w:r>
      <m:oMath>
        <m:r>
          <m:rPr>
            <m:sty m:val="bi"/>
          </m:rPr>
          <w:rPr>
            <w:rFonts w:ascii="Cambria Math" w:eastAsia="Times New Roman" w:hAnsi="Cambria Math" w:cs="Times New Roman"/>
            <w:color w:val="000000"/>
            <w:sz w:val="20"/>
            <w:szCs w:val="20"/>
          </w:rPr>
          <m:t>B</m:t>
        </m:r>
      </m:oMath>
      <w:r>
        <w:rPr>
          <w:rFonts w:ascii="Times New Roman" w:hAnsi="Times New Roman"/>
          <w:iCs/>
          <w:color w:val="000000"/>
          <w:sz w:val="20"/>
          <w:szCs w:val="20"/>
        </w:rPr>
        <w:t xml:space="preserve"> within </w:t>
      </w:r>
      <m:oMath>
        <m:sSub>
          <m:sSubPr>
            <m:ctrlPr>
              <w:rPr>
                <w:rFonts w:ascii="Cambria Math" w:eastAsia="Times New Roman" w:hAnsi="Cambria Math" w:cs="Times New Roman"/>
                <w:i/>
                <w:iCs/>
                <w:color w:val="000000"/>
                <w:sz w:val="20"/>
                <w:szCs w:val="20"/>
              </w:rPr>
            </m:ctrlPr>
          </m:sSubPr>
          <m:e>
            <m:r>
              <m:rPr>
                <m:sty m:val="bi"/>
              </m:rPr>
              <w:rPr>
                <w:rFonts w:ascii="Cambria Math" w:eastAsia="Times New Roman" w:hAnsi="Cambria Math" w:cs="Times New Roman"/>
                <w:color w:val="000000"/>
                <w:sz w:val="20"/>
                <w:szCs w:val="20"/>
              </w:rPr>
              <m:t>W</m:t>
            </m:r>
          </m:e>
          <m:sub>
            <m:r>
              <m:rPr>
                <m:sty m:val="p"/>
              </m:rPr>
              <w:rPr>
                <w:rFonts w:ascii="Cambria Math" w:eastAsia="Times New Roman" w:hAnsi="Cambria Math" w:cs="Times New Roman"/>
                <w:color w:val="000000"/>
                <w:sz w:val="20"/>
                <w:szCs w:val="20"/>
              </w:rPr>
              <m:t>1</m:t>
            </m:r>
          </m:sub>
        </m:sSub>
      </m:oMath>
      <w:r>
        <w:rPr>
          <w:rFonts w:ascii="Times New Roman" w:hAnsi="Times New Roman"/>
          <w:iCs/>
          <w:color w:val="000000"/>
          <w:sz w:val="20"/>
          <w:szCs w:val="20"/>
        </w:rPr>
        <w:t xml:space="preserve">), how to select the beams (whether they are freely selected or some selections are constrained), whether beam scaling is wideband (WB), subband (SB), or a combination of the two, how beam scaling varies with polarization and layer, and the details of phase quantization in </w:t>
      </w:r>
      <m:oMath>
        <m:sSub>
          <m:sSubPr>
            <m:ctrlPr>
              <w:rPr>
                <w:rFonts w:ascii="Cambria Math" w:eastAsia="Times New Roman" w:hAnsi="Cambria Math" w:cs="Times New Roman"/>
                <w:i/>
                <w:iCs/>
                <w:color w:val="000000"/>
                <w:sz w:val="20"/>
                <w:szCs w:val="20"/>
              </w:rPr>
            </m:ctrlPr>
          </m:sSubPr>
          <m:e>
            <m:r>
              <m:rPr>
                <m:sty m:val="bi"/>
              </m:rPr>
              <w:rPr>
                <w:rFonts w:ascii="Cambria Math" w:eastAsia="Times New Roman" w:hAnsi="Cambria Math" w:cs="Times New Roman"/>
                <w:color w:val="000000"/>
                <w:sz w:val="20"/>
                <w:szCs w:val="20"/>
              </w:rPr>
              <m:t>W</m:t>
            </m:r>
          </m:e>
          <m:sub>
            <m:r>
              <m:rPr>
                <m:sty m:val="p"/>
              </m:rPr>
              <w:rPr>
                <w:rFonts w:ascii="Cambria Math" w:eastAsia="Times New Roman" w:hAnsi="Cambria Math" w:cs="Times New Roman"/>
                <w:color w:val="000000"/>
                <w:sz w:val="20"/>
                <w:szCs w:val="20"/>
              </w:rPr>
              <m:t>2</m:t>
            </m:r>
          </m:sub>
        </m:sSub>
      </m:oMath>
      <w:r>
        <w:rPr>
          <w:rFonts w:ascii="Times New Roman" w:hAnsi="Times New Roman"/>
          <w:iCs/>
          <w:color w:val="000000"/>
          <w:sz w:val="20"/>
          <w:szCs w:val="20"/>
        </w:rPr>
        <w:t xml:space="preserve">.  </w:t>
      </w:r>
      <w:r w:rsidR="00261D4B">
        <w:rPr>
          <w:rFonts w:ascii="Times New Roman" w:hAnsi="Times New Roman"/>
          <w:iCs/>
          <w:color w:val="000000"/>
          <w:sz w:val="20"/>
          <w:szCs w:val="20"/>
        </w:rPr>
        <w:t>In the remainder of this contribution, we will discuss most of these design parameters and make proposals as to how they should be supported in the NR Type II codebook.</w:t>
      </w:r>
    </w:p>
    <w:p w:rsidR="00CD28C8" w:rsidRDefault="00D75268" w:rsidP="00CD28C8">
      <w:pPr>
        <w:pStyle w:val="Heading1"/>
      </w:pPr>
      <w:r>
        <w:lastRenderedPageBreak/>
        <w:t>3</w:t>
      </w:r>
      <w:r w:rsidR="00CD28C8" w:rsidRPr="00B266B0">
        <w:tab/>
      </w:r>
      <w:r w:rsidR="00261D4B">
        <w:t>Analysis of Codebook Design Parameters</w:t>
      </w:r>
    </w:p>
    <w:p w:rsidR="00A248B1" w:rsidRDefault="00261D4B" w:rsidP="00F2194C">
      <w:pPr>
        <w:jc w:val="both"/>
        <w:rPr>
          <w:rFonts w:ascii="Times New Roman" w:hAnsi="Times New Roman"/>
          <w:iCs/>
          <w:color w:val="000000"/>
          <w:sz w:val="20"/>
          <w:szCs w:val="20"/>
        </w:rPr>
      </w:pPr>
      <w:r>
        <w:rPr>
          <w:rFonts w:ascii="Times New Roman" w:hAnsi="Times New Roman"/>
          <w:sz w:val="20"/>
          <w:szCs w:val="20"/>
        </w:rPr>
        <w:t xml:space="preserve">We first consider beam selection in the linear combination codebook.  </w:t>
      </w:r>
      <w:r w:rsidR="004E1B37">
        <w:rPr>
          <w:rFonts w:ascii="Times New Roman" w:hAnsi="Times New Roman"/>
          <w:sz w:val="20"/>
          <w:szCs w:val="20"/>
        </w:rPr>
        <w:t xml:space="preserve">Beam selection is performed based on wideband channel statistics to provide a basis for the fed back precoding vectors.  The selected beams should be orthogonal </w:t>
      </w:r>
      <w:r w:rsidR="00EF4EE4">
        <w:rPr>
          <w:rFonts w:ascii="Times New Roman" w:hAnsi="Times New Roman"/>
          <w:sz w:val="20"/>
          <w:szCs w:val="20"/>
        </w:rPr>
        <w:t>to</w:t>
      </w:r>
      <w:r w:rsidR="004E1B37">
        <w:rPr>
          <w:rFonts w:ascii="Times New Roman" w:hAnsi="Times New Roman"/>
          <w:sz w:val="20"/>
          <w:szCs w:val="20"/>
        </w:rPr>
        <w:t xml:space="preserve"> simplify working with the vectors and determining the combining coefficients.  These two points have been previously agreed at the RAN1 NR AH in Spokane </w:t>
      </w:r>
      <w:r w:rsidR="004E1B37">
        <w:rPr>
          <w:rFonts w:ascii="Times New Roman" w:hAnsi="Times New Roman"/>
          <w:sz w:val="20"/>
          <w:szCs w:val="20"/>
        </w:rPr>
        <w:fldChar w:fldCharType="begin"/>
      </w:r>
      <w:r w:rsidR="004E1B37">
        <w:rPr>
          <w:rFonts w:ascii="Times New Roman" w:hAnsi="Times New Roman"/>
          <w:sz w:val="20"/>
          <w:szCs w:val="20"/>
        </w:rPr>
        <w:instrText xml:space="preserve"> REF _Ref471305800 \r \h </w:instrText>
      </w:r>
      <w:r w:rsidR="004E1B37">
        <w:rPr>
          <w:rFonts w:ascii="Times New Roman" w:hAnsi="Times New Roman"/>
          <w:sz w:val="20"/>
          <w:szCs w:val="20"/>
        </w:rPr>
      </w:r>
      <w:r w:rsidR="004E1B37">
        <w:rPr>
          <w:rFonts w:ascii="Times New Roman" w:hAnsi="Times New Roman"/>
          <w:sz w:val="20"/>
          <w:szCs w:val="20"/>
        </w:rPr>
        <w:fldChar w:fldCharType="separate"/>
      </w:r>
      <w:r w:rsidR="004E1B37">
        <w:rPr>
          <w:rFonts w:ascii="Times New Roman" w:hAnsi="Times New Roman"/>
          <w:sz w:val="20"/>
          <w:szCs w:val="20"/>
        </w:rPr>
        <w:t>[2]</w:t>
      </w:r>
      <w:r w:rsidR="004E1B37">
        <w:rPr>
          <w:rFonts w:ascii="Times New Roman" w:hAnsi="Times New Roman"/>
          <w:sz w:val="20"/>
          <w:szCs w:val="20"/>
        </w:rPr>
        <w:fldChar w:fldCharType="end"/>
      </w:r>
      <w:r w:rsidR="004E1B37">
        <w:rPr>
          <w:rFonts w:ascii="Times New Roman" w:hAnsi="Times New Roman"/>
          <w:sz w:val="20"/>
          <w:szCs w:val="20"/>
        </w:rPr>
        <w:t xml:space="preserve">.  </w:t>
      </w:r>
      <w:r w:rsidR="000E34E2">
        <w:rPr>
          <w:rFonts w:ascii="Times New Roman" w:hAnsi="Times New Roman"/>
          <w:sz w:val="20"/>
          <w:szCs w:val="20"/>
        </w:rPr>
        <w:t xml:space="preserve">The LTE Rel-14 linear combination codebook allows free selection of the first beam in </w:t>
      </w:r>
      <m:oMath>
        <m:sSub>
          <m:sSubPr>
            <m:ctrlPr>
              <w:rPr>
                <w:rFonts w:ascii="Cambria Math" w:eastAsia="Times New Roman" w:hAnsi="Cambria Math" w:cs="Times New Roman"/>
                <w:i/>
                <w:iCs/>
                <w:color w:val="000000"/>
                <w:sz w:val="20"/>
                <w:szCs w:val="20"/>
              </w:rPr>
            </m:ctrlPr>
          </m:sSubPr>
          <m:e>
            <m:r>
              <m:rPr>
                <m:sty m:val="bi"/>
              </m:rPr>
              <w:rPr>
                <w:rFonts w:ascii="Cambria Math" w:eastAsia="Times New Roman" w:hAnsi="Cambria Math" w:cs="Times New Roman"/>
                <w:color w:val="000000"/>
                <w:sz w:val="20"/>
                <w:szCs w:val="20"/>
              </w:rPr>
              <m:t>W</m:t>
            </m:r>
          </m:e>
          <m:sub>
            <m:r>
              <m:rPr>
                <m:sty m:val="p"/>
              </m:rPr>
              <w:rPr>
                <w:rFonts w:ascii="Cambria Math" w:eastAsia="Times New Roman" w:hAnsi="Cambria Math" w:cs="Times New Roman"/>
                <w:color w:val="000000"/>
                <w:sz w:val="20"/>
                <w:szCs w:val="20"/>
              </w:rPr>
              <m:t>1</m:t>
            </m:r>
          </m:sub>
        </m:sSub>
      </m:oMath>
      <w:r w:rsidR="000E34E2">
        <w:rPr>
          <w:rFonts w:ascii="Times New Roman" w:hAnsi="Times New Roman"/>
          <w:iCs/>
          <w:color w:val="000000"/>
          <w:sz w:val="20"/>
          <w:szCs w:val="20"/>
        </w:rPr>
        <w:t xml:space="preserve"> and then constrains the selection of the second beam </w:t>
      </w:r>
      <w:r w:rsidR="00EF4EE4">
        <w:rPr>
          <w:rFonts w:ascii="Times New Roman" w:hAnsi="Times New Roman"/>
          <w:iCs/>
          <w:color w:val="000000"/>
          <w:sz w:val="20"/>
          <w:szCs w:val="20"/>
        </w:rPr>
        <w:t>to</w:t>
      </w:r>
      <w:r w:rsidR="000E34E2">
        <w:rPr>
          <w:rFonts w:ascii="Times New Roman" w:hAnsi="Times New Roman"/>
          <w:iCs/>
          <w:color w:val="000000"/>
          <w:sz w:val="20"/>
          <w:szCs w:val="20"/>
        </w:rPr>
        <w:t xml:space="preserve"> save overhead.  However, the constraint has no effect until either </w:t>
      </w:r>
      <m:oMath>
        <m:sSub>
          <m:sSubPr>
            <m:ctrlPr>
              <w:rPr>
                <w:rFonts w:ascii="Cambria Math" w:hAnsi="Cambria Math"/>
                <w:i/>
                <w:iCs/>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1</m:t>
            </m:r>
          </m:sub>
        </m:sSub>
        <m:r>
          <w:rPr>
            <w:rFonts w:ascii="Cambria Math" w:hAnsi="Cambria Math"/>
            <w:color w:val="000000"/>
            <w:sz w:val="20"/>
            <w:szCs w:val="20"/>
          </w:rPr>
          <m:t>&gt;4</m:t>
        </m:r>
      </m:oMath>
      <w:r w:rsidR="000E34E2">
        <w:rPr>
          <w:rFonts w:ascii="Times New Roman" w:hAnsi="Times New Roman"/>
          <w:iCs/>
          <w:color w:val="000000"/>
          <w:sz w:val="20"/>
          <w:szCs w:val="20"/>
        </w:rPr>
        <w:t xml:space="preserve"> or </w:t>
      </w:r>
      <m:oMath>
        <m:sSub>
          <m:sSubPr>
            <m:ctrlPr>
              <w:rPr>
                <w:rFonts w:ascii="Cambria Math" w:hAnsi="Cambria Math"/>
                <w:i/>
                <w:iCs/>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2</m:t>
            </m:r>
          </m:sub>
        </m:sSub>
        <m:r>
          <w:rPr>
            <w:rFonts w:ascii="Cambria Math" w:hAnsi="Cambria Math"/>
            <w:color w:val="000000"/>
            <w:sz w:val="20"/>
            <w:szCs w:val="20"/>
          </w:rPr>
          <m:t>&gt;2</m:t>
        </m:r>
      </m:oMath>
      <w:r w:rsidR="000E34E2">
        <w:rPr>
          <w:rFonts w:ascii="Times New Roman" w:hAnsi="Times New Roman"/>
          <w:iCs/>
          <w:color w:val="000000"/>
          <w:sz w:val="20"/>
          <w:szCs w:val="20"/>
        </w:rPr>
        <w:t>.  In the NR codebook, free selection of the first beam should be allowed within the two-dimensional DFT grid and free selection of the remaining beams from the beams orthogonal to the first beam should be allowed.  Any extra overhead required occurs at wideband and is less expensive than overhead per subband and will allow the codebook to achieve better performance.</w:t>
      </w:r>
    </w:p>
    <w:p w:rsidR="000E34E2" w:rsidRDefault="000E34E2" w:rsidP="00F2194C">
      <w:pPr>
        <w:jc w:val="both"/>
        <w:rPr>
          <w:rFonts w:ascii="Times New Roman" w:hAnsi="Times New Roman"/>
          <w:sz w:val="20"/>
          <w:szCs w:val="20"/>
        </w:rPr>
      </w:pPr>
      <w:r>
        <w:rPr>
          <w:rFonts w:ascii="Times New Roman" w:hAnsi="Times New Roman"/>
          <w:b/>
          <w:i/>
          <w:sz w:val="20"/>
          <w:szCs w:val="20"/>
        </w:rPr>
        <w:t>Proposal 1:</w:t>
      </w:r>
      <w:r>
        <w:rPr>
          <w:rFonts w:ascii="Times New Roman" w:hAnsi="Times New Roman"/>
          <w:sz w:val="20"/>
          <w:szCs w:val="20"/>
        </w:rPr>
        <w:t xml:space="preserve">  Support free selection of the first beam in </w:t>
      </w:r>
      <m:oMath>
        <m:sSub>
          <m:sSubPr>
            <m:ctrlPr>
              <w:rPr>
                <w:rFonts w:ascii="Cambria Math" w:eastAsia="Times New Roman" w:hAnsi="Cambria Math" w:cs="Times New Roman"/>
                <w:i/>
                <w:iCs/>
                <w:color w:val="000000"/>
                <w:sz w:val="20"/>
                <w:szCs w:val="20"/>
              </w:rPr>
            </m:ctrlPr>
          </m:sSubPr>
          <m:e>
            <m:r>
              <m:rPr>
                <m:sty m:val="bi"/>
              </m:rPr>
              <w:rPr>
                <w:rFonts w:ascii="Cambria Math" w:eastAsia="Times New Roman" w:hAnsi="Cambria Math" w:cs="Times New Roman"/>
                <w:color w:val="000000"/>
                <w:sz w:val="20"/>
                <w:szCs w:val="20"/>
              </w:rPr>
              <m:t>W</m:t>
            </m:r>
          </m:e>
          <m:sub>
            <m:r>
              <m:rPr>
                <m:sty m:val="p"/>
              </m:rPr>
              <w:rPr>
                <w:rFonts w:ascii="Cambria Math" w:eastAsia="Times New Roman" w:hAnsi="Cambria Math" w:cs="Times New Roman"/>
                <w:color w:val="000000"/>
                <w:sz w:val="20"/>
                <w:szCs w:val="20"/>
              </w:rPr>
              <m:t>1</m:t>
            </m:r>
          </m:sub>
        </m:sSub>
      </m:oMath>
      <w:r>
        <w:rPr>
          <w:rFonts w:ascii="Times New Roman" w:hAnsi="Times New Roman"/>
          <w:iCs/>
          <w:color w:val="000000"/>
          <w:sz w:val="20"/>
          <w:szCs w:val="20"/>
        </w:rPr>
        <w:t xml:space="preserve"> </w:t>
      </w:r>
      <w:r>
        <w:rPr>
          <w:rFonts w:ascii="Times New Roman" w:hAnsi="Times New Roman"/>
          <w:sz w:val="20"/>
          <w:szCs w:val="20"/>
        </w:rPr>
        <w:t xml:space="preserve">within the two-dimensional DFT grid and free selection of the remaining </w:t>
      </w:r>
      <w:r>
        <w:rPr>
          <w:rFonts w:ascii="Times New Roman" w:hAnsi="Times New Roman"/>
          <w:i/>
          <w:sz w:val="20"/>
          <w:szCs w:val="20"/>
        </w:rPr>
        <w:t>L</w:t>
      </w:r>
      <w:r>
        <w:rPr>
          <w:rFonts w:ascii="Times New Roman" w:hAnsi="Times New Roman"/>
          <w:sz w:val="20"/>
          <w:szCs w:val="20"/>
        </w:rPr>
        <w:t>-1 beams from the beams orthogonal to the first beam.</w:t>
      </w:r>
    </w:p>
    <w:p w:rsidR="005A0EDD" w:rsidRDefault="000E34E2" w:rsidP="005A0EDD">
      <w:pPr>
        <w:jc w:val="both"/>
        <w:rPr>
          <w:rFonts w:ascii="Times New Roman" w:hAnsi="Times New Roman"/>
          <w:sz w:val="20"/>
          <w:szCs w:val="20"/>
        </w:rPr>
      </w:pPr>
      <w:r>
        <w:rPr>
          <w:rFonts w:ascii="Times New Roman" w:hAnsi="Times New Roman"/>
          <w:sz w:val="20"/>
          <w:szCs w:val="20"/>
        </w:rPr>
        <w:t>It was agreed at RAN1#88</w:t>
      </w:r>
      <w:r w:rsidR="008D5160">
        <w:rPr>
          <w:rFonts w:ascii="Times New Roman" w:hAnsi="Times New Roman"/>
          <w:sz w:val="20"/>
          <w:szCs w:val="20"/>
        </w:rPr>
        <w:t xml:space="preserve"> </w:t>
      </w:r>
      <w:r w:rsidR="008D5160">
        <w:rPr>
          <w:rFonts w:ascii="Times New Roman" w:hAnsi="Times New Roman"/>
          <w:sz w:val="20"/>
          <w:szCs w:val="20"/>
        </w:rPr>
        <w:fldChar w:fldCharType="begin"/>
      </w:r>
      <w:r w:rsidR="008D5160">
        <w:rPr>
          <w:rFonts w:ascii="Times New Roman" w:hAnsi="Times New Roman"/>
          <w:sz w:val="20"/>
          <w:szCs w:val="20"/>
        </w:rPr>
        <w:instrText xml:space="preserve"> REF _Ref481850992 \r \h </w:instrText>
      </w:r>
      <w:r w:rsidR="008D5160">
        <w:rPr>
          <w:rFonts w:ascii="Times New Roman" w:hAnsi="Times New Roman"/>
          <w:sz w:val="20"/>
          <w:szCs w:val="20"/>
        </w:rPr>
      </w:r>
      <w:r w:rsidR="008D5160">
        <w:rPr>
          <w:rFonts w:ascii="Times New Roman" w:hAnsi="Times New Roman"/>
          <w:sz w:val="20"/>
          <w:szCs w:val="20"/>
        </w:rPr>
        <w:fldChar w:fldCharType="separate"/>
      </w:r>
      <w:r w:rsidR="008D5160">
        <w:rPr>
          <w:rFonts w:ascii="Times New Roman" w:hAnsi="Times New Roman"/>
          <w:sz w:val="20"/>
          <w:szCs w:val="20"/>
        </w:rPr>
        <w:t>[3]</w:t>
      </w:r>
      <w:r w:rsidR="008D5160">
        <w:rPr>
          <w:rFonts w:ascii="Times New Roman" w:hAnsi="Times New Roman"/>
          <w:sz w:val="20"/>
          <w:szCs w:val="20"/>
        </w:rPr>
        <w:fldChar w:fldCharType="end"/>
      </w:r>
      <w:r>
        <w:rPr>
          <w:rFonts w:ascii="Times New Roman" w:hAnsi="Times New Roman"/>
          <w:sz w:val="20"/>
          <w:szCs w:val="20"/>
        </w:rPr>
        <w:t xml:space="preserve"> that the number of beams in the Category 1 codebook is configurable and may be 2, 3, or 4 beams with 6 beams FFS.  We </w:t>
      </w:r>
      <w:r w:rsidR="005A0EDD">
        <w:rPr>
          <w:rFonts w:ascii="Times New Roman" w:hAnsi="Times New Roman"/>
          <w:sz w:val="20"/>
          <w:szCs w:val="20"/>
        </w:rPr>
        <w:t xml:space="preserve">simulated Category 1 codebooks with these beam counts </w:t>
      </w:r>
      <w:r w:rsidR="00EF4EE4">
        <w:rPr>
          <w:rFonts w:ascii="Times New Roman" w:hAnsi="Times New Roman"/>
          <w:sz w:val="20"/>
          <w:szCs w:val="20"/>
        </w:rPr>
        <w:t>to</w:t>
      </w:r>
      <w:r w:rsidR="005A0EDD">
        <w:rPr>
          <w:rFonts w:ascii="Times New Roman" w:hAnsi="Times New Roman"/>
          <w:sz w:val="20"/>
          <w:szCs w:val="20"/>
        </w:rPr>
        <w:t xml:space="preserve"> compare the performance as a function of the number of beams.  Codebooks using wideband or subband beam scaling were simulated with 2 bits of amplitude quantization and 2 bits of phase quantization.  Amplitude scaling at wideband is constant over </w:t>
      </w:r>
      <w:r w:rsidR="00394C1E">
        <w:rPr>
          <w:rFonts w:ascii="Times New Roman" w:hAnsi="Times New Roman"/>
          <w:sz w:val="20"/>
          <w:szCs w:val="20"/>
        </w:rPr>
        <w:t xml:space="preserve">both polarization and layer.  When beam scaling is subband, it varies over both layer and polarization.  Phase quantization occurs at subband and varies over both layer and polarization. </w:t>
      </w:r>
    </w:p>
    <w:p w:rsidR="005A0EDD" w:rsidRDefault="00394C1E" w:rsidP="005A0EDD">
      <w:pPr>
        <w:jc w:val="both"/>
        <w:rPr>
          <w:rFonts w:ascii="Times New Roman" w:hAnsi="Times New Roman" w:cs="Times New Roman"/>
          <w:sz w:val="20"/>
          <w:szCs w:val="20"/>
        </w:rPr>
      </w:pPr>
      <w:r>
        <w:rPr>
          <w:rFonts w:ascii="Times New Roman" w:hAnsi="Times New Roman"/>
          <w:sz w:val="20"/>
          <w:szCs w:val="20"/>
        </w:rPr>
        <w:t>The simulations are performed</w:t>
      </w:r>
      <w:r w:rsidR="005A0EDD">
        <w:rPr>
          <w:rFonts w:ascii="Times New Roman" w:hAnsi="Times New Roman"/>
          <w:sz w:val="20"/>
          <w:szCs w:val="20"/>
        </w:rPr>
        <w:t xml:space="preserve"> </w:t>
      </w:r>
      <w:r w:rsidR="005A0EDD" w:rsidRPr="005A0EDD">
        <w:rPr>
          <w:rFonts w:ascii="Times New Roman" w:hAnsi="Times New Roman"/>
          <w:sz w:val="20"/>
          <w:szCs w:val="20"/>
        </w:rPr>
        <w:t>in a 3D UMi environment using a bursty traffic model with a file size of 0.5 Mbytes and an offered load of 1</w:t>
      </w:r>
      <w:r>
        <w:rPr>
          <w:rFonts w:ascii="Times New Roman" w:hAnsi="Times New Roman"/>
          <w:sz w:val="20"/>
          <w:szCs w:val="20"/>
        </w:rPr>
        <w:t>4 Mbps.  Data transmissions use</w:t>
      </w:r>
      <w:r w:rsidR="005A0EDD" w:rsidRPr="005A0EDD">
        <w:rPr>
          <w:rFonts w:ascii="Times New Roman" w:hAnsi="Times New Roman"/>
          <w:sz w:val="20"/>
          <w:szCs w:val="20"/>
        </w:rPr>
        <w:t xml:space="preserve"> rank adaptive MU-MIMO with a maximum UE rank of 2.  </w:t>
      </w:r>
      <w:r w:rsidR="005A0EDD" w:rsidRPr="005A0EDD">
        <w:rPr>
          <w:rFonts w:ascii="Times New Roman" w:hAnsi="Times New Roman" w:cs="Times New Roman"/>
          <w:sz w:val="20"/>
          <w:szCs w:val="20"/>
        </w:rPr>
        <w:t xml:space="preserve">The gNB has 16 antenna ports with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=4</m:t>
        </m:r>
      </m:oMath>
      <w:r w:rsidR="005A0EDD" w:rsidRPr="005A0EDD">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r>
          <w:rPr>
            <w:rFonts w:ascii="Cambria Math" w:hAnsi="Cambria Math" w:cs="Times New Roman"/>
            <w:sz w:val="20"/>
            <w:szCs w:val="20"/>
          </w:rPr>
          <m:t>=2</m:t>
        </m:r>
      </m:oMath>
      <w:r w:rsidR="005A0EDD" w:rsidRPr="005A0EDD">
        <w:rPr>
          <w:rFonts w:ascii="Times New Roman" w:hAnsi="Times New Roman" w:cs="Times New Roman"/>
          <w:sz w:val="20"/>
          <w:szCs w:val="20"/>
        </w:rPr>
        <w:t xml:space="preserve">, and all codebooks use oversampling factors of </w:t>
      </w:r>
      <m:oMath>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2</m:t>
            </m:r>
          </m:sub>
        </m:sSub>
        <m:r>
          <w:rPr>
            <w:rFonts w:ascii="Cambria Math" w:hAnsi="Cambria Math" w:cs="Times New Roman"/>
            <w:sz w:val="20"/>
            <w:szCs w:val="20"/>
          </w:rPr>
          <m:t>=4</m:t>
        </m:r>
      </m:oMath>
      <w:r w:rsidR="005A0EDD" w:rsidRPr="005A0EDD">
        <w:rPr>
          <w:rFonts w:ascii="Times New Roman" w:hAnsi="Times New Roman" w:cs="Times New Roman"/>
          <w:sz w:val="20"/>
          <w:szCs w:val="20"/>
        </w:rPr>
        <w:t xml:space="preserve">.  </w:t>
      </w:r>
      <w:r w:rsidRPr="005A0EDD">
        <w:rPr>
          <w:rFonts w:ascii="Times New Roman" w:hAnsi="Times New Roman"/>
          <w:sz w:val="20"/>
          <w:szCs w:val="20"/>
        </w:rPr>
        <w:t xml:space="preserve">Additional simulation parameters may be found </w:t>
      </w:r>
      <w:r w:rsidRPr="00394C1E">
        <w:rPr>
          <w:rFonts w:ascii="Times New Roman" w:hAnsi="Times New Roman" w:cs="Times New Roman"/>
          <w:sz w:val="20"/>
          <w:szCs w:val="20"/>
        </w:rPr>
        <w:t xml:space="preserve">in </w:t>
      </w:r>
      <w:r w:rsidRPr="00394C1E">
        <w:rPr>
          <w:rFonts w:ascii="Times New Roman" w:hAnsi="Times New Roman" w:cs="Times New Roman"/>
          <w:sz w:val="20"/>
          <w:szCs w:val="20"/>
        </w:rPr>
        <w:fldChar w:fldCharType="begin"/>
      </w:r>
      <w:r w:rsidRPr="00394C1E">
        <w:rPr>
          <w:rFonts w:ascii="Times New Roman" w:hAnsi="Times New Roman" w:cs="Times New Roman"/>
          <w:sz w:val="20"/>
          <w:szCs w:val="20"/>
        </w:rPr>
        <w:instrText xml:space="preserve"> REF _Ref471471514 \h  \* MERGEFORMAT </w:instrText>
      </w:r>
      <w:r w:rsidRPr="00394C1E">
        <w:rPr>
          <w:rFonts w:ascii="Times New Roman" w:hAnsi="Times New Roman" w:cs="Times New Roman"/>
          <w:sz w:val="20"/>
          <w:szCs w:val="20"/>
        </w:rPr>
      </w:r>
      <w:r w:rsidRPr="00394C1E">
        <w:rPr>
          <w:rFonts w:ascii="Times New Roman" w:hAnsi="Times New Roman" w:cs="Times New Roman"/>
          <w:sz w:val="20"/>
          <w:szCs w:val="20"/>
        </w:rPr>
        <w:fldChar w:fldCharType="separate"/>
      </w:r>
      <w:r w:rsidRPr="00394C1E">
        <w:rPr>
          <w:rFonts w:ascii="Times New Roman" w:hAnsi="Times New Roman" w:cs="Times New Roman"/>
          <w:sz w:val="20"/>
          <w:szCs w:val="20"/>
        </w:rPr>
        <w:t xml:space="preserve">Table </w:t>
      </w:r>
      <w:r w:rsidRPr="00394C1E">
        <w:rPr>
          <w:rFonts w:ascii="Times New Roman" w:hAnsi="Times New Roman" w:cs="Times New Roman"/>
          <w:noProof/>
          <w:sz w:val="20"/>
          <w:szCs w:val="20"/>
        </w:rPr>
        <w:t>1</w:t>
      </w:r>
      <w:r w:rsidRPr="00394C1E">
        <w:rPr>
          <w:rFonts w:ascii="Times New Roman" w:hAnsi="Times New Roman" w:cs="Times New Roman"/>
          <w:sz w:val="20"/>
          <w:szCs w:val="20"/>
        </w:rPr>
        <w:fldChar w:fldCharType="end"/>
      </w:r>
      <w:r>
        <w:rPr>
          <w:rFonts w:ascii="Times New Roman" w:hAnsi="Times New Roman" w:cs="Times New Roman"/>
          <w:sz w:val="20"/>
          <w:szCs w:val="20"/>
        </w:rPr>
        <w:t>.</w:t>
      </w:r>
      <w:r w:rsidRPr="005A0EDD">
        <w:rPr>
          <w:rFonts w:ascii="Times New Roman" w:hAnsi="Times New Roman" w:cs="Times New Roman"/>
          <w:sz w:val="20"/>
          <w:szCs w:val="20"/>
        </w:rPr>
        <w:t xml:space="preserve">  </w:t>
      </w:r>
      <w:r w:rsidR="005A0EDD" w:rsidRPr="005A0EDD">
        <w:rPr>
          <w:rFonts w:ascii="Times New Roman" w:hAnsi="Times New Roman" w:cs="Times New Roman"/>
          <w:sz w:val="20"/>
          <w:szCs w:val="20"/>
        </w:rPr>
        <w:t>The</w:t>
      </w:r>
      <w:r>
        <w:rPr>
          <w:rFonts w:ascii="Times New Roman" w:hAnsi="Times New Roman" w:cs="Times New Roman"/>
          <w:sz w:val="20"/>
          <w:szCs w:val="20"/>
        </w:rPr>
        <w:t xml:space="preserve"> spectral efficiency</w:t>
      </w:r>
      <w:r w:rsidR="005A0EDD" w:rsidRPr="005A0EDD">
        <w:rPr>
          <w:rFonts w:ascii="Times New Roman" w:hAnsi="Times New Roman" w:cs="Times New Roman"/>
          <w:sz w:val="20"/>
          <w:szCs w:val="20"/>
        </w:rPr>
        <w:t xml:space="preserve"> results </w:t>
      </w:r>
      <w:r>
        <w:rPr>
          <w:rFonts w:ascii="Times New Roman" w:hAnsi="Times New Roman" w:cs="Times New Roman"/>
          <w:sz w:val="20"/>
          <w:szCs w:val="20"/>
        </w:rPr>
        <w:t xml:space="preserve">are normalized to the results </w:t>
      </w:r>
      <w:r w:rsidR="005A62E4">
        <w:rPr>
          <w:rFonts w:ascii="Times New Roman" w:hAnsi="Times New Roman" w:cs="Times New Roman"/>
          <w:sz w:val="20"/>
          <w:szCs w:val="20"/>
        </w:rPr>
        <w:t>of</w:t>
      </w:r>
      <w:r>
        <w:rPr>
          <w:rFonts w:ascii="Times New Roman" w:hAnsi="Times New Roman" w:cs="Times New Roman"/>
          <w:sz w:val="20"/>
          <w:szCs w:val="20"/>
        </w:rPr>
        <w:t xml:space="preserve"> the L=2 codebook with wideband beam scaling.</w:t>
      </w:r>
    </w:p>
    <w:p w:rsidR="007061C1" w:rsidRDefault="007061C1" w:rsidP="005A0EDD">
      <w:pPr>
        <w:jc w:val="both"/>
        <w:rPr>
          <w:rFonts w:ascii="Times New Roman" w:hAnsi="Times New Roman" w:cs="Times New Roman"/>
          <w:sz w:val="20"/>
          <w:szCs w:val="20"/>
        </w:rPr>
      </w:pPr>
      <w:r>
        <w:rPr>
          <w:rFonts w:ascii="Times New Roman" w:hAnsi="Times New Roman" w:cs="Times New Roman"/>
          <w:sz w:val="20"/>
          <w:szCs w:val="20"/>
        </w:rPr>
        <w:t xml:space="preserve">Simulation results are shown </w:t>
      </w:r>
      <w:r w:rsidRPr="007061C1">
        <w:rPr>
          <w:rFonts w:ascii="Times New Roman" w:hAnsi="Times New Roman" w:cs="Times New Roman"/>
          <w:sz w:val="20"/>
          <w:szCs w:val="20"/>
        </w:rPr>
        <w:t xml:space="preserve">in </w:t>
      </w:r>
      <w:r w:rsidRPr="007061C1">
        <w:rPr>
          <w:rFonts w:ascii="Times New Roman" w:hAnsi="Times New Roman" w:cs="Times New Roman"/>
          <w:sz w:val="20"/>
          <w:szCs w:val="20"/>
        </w:rPr>
        <w:fldChar w:fldCharType="begin"/>
      </w:r>
      <w:r w:rsidRPr="007061C1">
        <w:rPr>
          <w:rFonts w:ascii="Times New Roman" w:hAnsi="Times New Roman" w:cs="Times New Roman"/>
          <w:sz w:val="20"/>
          <w:szCs w:val="20"/>
        </w:rPr>
        <w:instrText xml:space="preserve"> REF _Ref481847963 \h  \* MERGEFORMAT </w:instrText>
      </w:r>
      <w:r w:rsidRPr="007061C1">
        <w:rPr>
          <w:rFonts w:ascii="Times New Roman" w:hAnsi="Times New Roman" w:cs="Times New Roman"/>
          <w:sz w:val="20"/>
          <w:szCs w:val="20"/>
        </w:rPr>
      </w:r>
      <w:r w:rsidRPr="007061C1">
        <w:rPr>
          <w:rFonts w:ascii="Times New Roman" w:hAnsi="Times New Roman" w:cs="Times New Roman"/>
          <w:sz w:val="20"/>
          <w:szCs w:val="20"/>
        </w:rPr>
        <w:fldChar w:fldCharType="separate"/>
      </w:r>
      <w:r w:rsidRPr="007061C1">
        <w:rPr>
          <w:rFonts w:ascii="Times New Roman" w:hAnsi="Times New Roman" w:cs="Times New Roman"/>
          <w:sz w:val="20"/>
          <w:szCs w:val="20"/>
        </w:rPr>
        <w:t xml:space="preserve">Figure </w:t>
      </w:r>
      <w:r w:rsidRPr="007061C1">
        <w:rPr>
          <w:rFonts w:ascii="Times New Roman" w:hAnsi="Times New Roman" w:cs="Times New Roman"/>
          <w:noProof/>
          <w:sz w:val="20"/>
          <w:szCs w:val="20"/>
        </w:rPr>
        <w:t>1</w:t>
      </w:r>
      <w:r w:rsidRPr="007061C1">
        <w:rPr>
          <w:rFonts w:ascii="Times New Roman" w:hAnsi="Times New Roman" w:cs="Times New Roman"/>
          <w:sz w:val="20"/>
          <w:szCs w:val="20"/>
        </w:rPr>
        <w:fldChar w:fldCharType="end"/>
      </w:r>
      <w:r>
        <w:rPr>
          <w:rFonts w:ascii="Times New Roman" w:hAnsi="Times New Roman" w:cs="Times New Roman"/>
          <w:sz w:val="20"/>
          <w:szCs w:val="20"/>
        </w:rPr>
        <w:t xml:space="preserve"> where we note that the performance improvement with increasing number of beams levels off above 6 beams.  The performance gain from 4 to 6 beams is ~3-5% for both mean and cell edge while the gains from 3 to 4 beams are ~10% at cell edge.  Thus, the gains are reduced at 6 beams.  Let us also consider the overhead, which scales with the number of beams.  Considered simply, the phase overhead feedback is </w:t>
      </w:r>
      <m:oMath>
        <m:r>
          <w:rPr>
            <w:rFonts w:ascii="Cambria Math" w:hAnsi="Cambria Math" w:cs="Times New Roman"/>
            <w:sz w:val="20"/>
            <w:szCs w:val="20"/>
          </w:rPr>
          <m:t>2LR</m:t>
        </m:r>
        <m:sSub>
          <m:sSubPr>
            <m:ctrlPr>
              <w:rPr>
                <w:rFonts w:ascii="Cambria Math" w:hAnsi="Cambria Math" w:cs="Times New Roman"/>
                <w:i/>
                <w:sz w:val="20"/>
                <w:szCs w:val="20"/>
              </w:rPr>
            </m:ctrlPr>
          </m:sSubPr>
          <m:e>
            <m:r>
              <w:rPr>
                <w:rFonts w:ascii="Cambria Math" w:hAnsi="Cambria Math" w:cs="Times New Roman"/>
                <w:sz w:val="20"/>
                <w:szCs w:val="20"/>
              </w:rPr>
              <m:t>b</m:t>
            </m:r>
          </m:e>
          <m:sub>
            <m:r>
              <w:rPr>
                <w:rFonts w:ascii="Cambria Math" w:hAnsi="Cambria Math" w:cs="Times New Roman"/>
                <w:sz w:val="20"/>
                <w:szCs w:val="20"/>
              </w:rPr>
              <m:t>ϕ</m:t>
            </m:r>
          </m:sub>
        </m:sSub>
      </m:oMath>
      <w:r>
        <w:rPr>
          <w:rFonts w:ascii="Times New Roman" w:hAnsi="Times New Roman" w:cs="Times New Roman"/>
          <w:sz w:val="20"/>
          <w:szCs w:val="20"/>
        </w:rPr>
        <w:t xml:space="preserve"> per subband, where </w:t>
      </w:r>
      <w:r>
        <w:rPr>
          <w:rFonts w:ascii="Times New Roman" w:hAnsi="Times New Roman" w:cs="Times New Roman"/>
          <w:i/>
          <w:sz w:val="20"/>
          <w:szCs w:val="20"/>
        </w:rPr>
        <w:t>L</w:t>
      </w:r>
      <w:r>
        <w:rPr>
          <w:rFonts w:ascii="Times New Roman" w:hAnsi="Times New Roman" w:cs="Times New Roman"/>
          <w:sz w:val="20"/>
          <w:szCs w:val="20"/>
        </w:rPr>
        <w:t xml:space="preserve"> is the number of beams, </w:t>
      </w:r>
      <w:r>
        <w:rPr>
          <w:rFonts w:ascii="Times New Roman" w:hAnsi="Times New Roman" w:cs="Times New Roman"/>
          <w:i/>
          <w:sz w:val="20"/>
          <w:szCs w:val="20"/>
        </w:rPr>
        <w:t>R</w:t>
      </w:r>
      <w:r>
        <w:rPr>
          <w:rFonts w:ascii="Times New Roman" w:hAnsi="Times New Roman" w:cs="Times New Roman"/>
          <w:sz w:val="20"/>
          <w:szCs w:val="20"/>
        </w:rPr>
        <w:t xml:space="preserve"> is the rank, and </w:t>
      </w:r>
      <m:oMath>
        <m:sSub>
          <m:sSubPr>
            <m:ctrlPr>
              <w:rPr>
                <w:rFonts w:ascii="Cambria Math" w:hAnsi="Cambria Math" w:cs="Times New Roman"/>
                <w:i/>
                <w:sz w:val="20"/>
                <w:szCs w:val="20"/>
              </w:rPr>
            </m:ctrlPr>
          </m:sSubPr>
          <m:e>
            <m:r>
              <w:rPr>
                <w:rFonts w:ascii="Cambria Math" w:hAnsi="Cambria Math" w:cs="Times New Roman"/>
                <w:sz w:val="20"/>
                <w:szCs w:val="20"/>
              </w:rPr>
              <m:t>b</m:t>
            </m:r>
          </m:e>
          <m:sub>
            <m:r>
              <w:rPr>
                <w:rFonts w:ascii="Cambria Math" w:hAnsi="Cambria Math" w:cs="Times New Roman"/>
                <w:sz w:val="20"/>
                <w:szCs w:val="20"/>
              </w:rPr>
              <m:t>ϕ</m:t>
            </m:r>
          </m:sub>
        </m:sSub>
      </m:oMath>
      <w:r>
        <w:rPr>
          <w:rFonts w:ascii="Times New Roman" w:hAnsi="Times New Roman" w:cs="Times New Roman"/>
          <w:sz w:val="20"/>
          <w:szCs w:val="20"/>
        </w:rPr>
        <w:t xml:space="preserve"> is the number of bits used to quantize each phase coefficient.  The total phase feedback overhead for 10 subbands</w:t>
      </w:r>
      <w:r w:rsidR="00464D24">
        <w:rPr>
          <w:rFonts w:ascii="Times New Roman" w:hAnsi="Times New Roman" w:cs="Times New Roman"/>
          <w:sz w:val="20"/>
          <w:szCs w:val="20"/>
        </w:rPr>
        <w:t xml:space="preserve"> with 2 bit phase quantization is shown </w:t>
      </w:r>
      <w:r w:rsidR="00464D24" w:rsidRPr="00464D24">
        <w:rPr>
          <w:rFonts w:ascii="Times New Roman" w:hAnsi="Times New Roman" w:cs="Times New Roman"/>
          <w:sz w:val="20"/>
          <w:szCs w:val="20"/>
        </w:rPr>
        <w:t xml:space="preserve">in </w:t>
      </w:r>
      <w:r w:rsidR="00464D24" w:rsidRPr="00464D24">
        <w:rPr>
          <w:rFonts w:ascii="Times New Roman" w:hAnsi="Times New Roman" w:cs="Times New Roman"/>
          <w:sz w:val="20"/>
          <w:szCs w:val="20"/>
        </w:rPr>
        <w:fldChar w:fldCharType="begin"/>
      </w:r>
      <w:r w:rsidR="00464D24" w:rsidRPr="00464D24">
        <w:rPr>
          <w:rFonts w:ascii="Times New Roman" w:hAnsi="Times New Roman" w:cs="Times New Roman"/>
          <w:sz w:val="20"/>
          <w:szCs w:val="20"/>
        </w:rPr>
        <w:instrText xml:space="preserve"> REF _Ref481848927 \h  \* MERGEFORMAT </w:instrText>
      </w:r>
      <w:r w:rsidR="00464D24" w:rsidRPr="00464D24">
        <w:rPr>
          <w:rFonts w:ascii="Times New Roman" w:hAnsi="Times New Roman" w:cs="Times New Roman"/>
          <w:sz w:val="20"/>
          <w:szCs w:val="20"/>
        </w:rPr>
      </w:r>
      <w:r w:rsidR="00464D24" w:rsidRPr="00464D24">
        <w:rPr>
          <w:rFonts w:ascii="Times New Roman" w:hAnsi="Times New Roman" w:cs="Times New Roman"/>
          <w:sz w:val="20"/>
          <w:szCs w:val="20"/>
        </w:rPr>
        <w:fldChar w:fldCharType="separate"/>
      </w:r>
      <w:r w:rsidR="00464D24" w:rsidRPr="00464D24">
        <w:rPr>
          <w:rFonts w:ascii="Times New Roman" w:hAnsi="Times New Roman" w:cs="Times New Roman"/>
          <w:sz w:val="20"/>
          <w:szCs w:val="20"/>
        </w:rPr>
        <w:t xml:space="preserve">Table </w:t>
      </w:r>
      <w:r w:rsidR="00464D24" w:rsidRPr="00464D24">
        <w:rPr>
          <w:rFonts w:ascii="Times New Roman" w:hAnsi="Times New Roman" w:cs="Times New Roman"/>
          <w:noProof/>
          <w:sz w:val="20"/>
          <w:szCs w:val="20"/>
        </w:rPr>
        <w:t>1</w:t>
      </w:r>
      <w:r w:rsidR="00464D24" w:rsidRPr="00464D24">
        <w:rPr>
          <w:rFonts w:ascii="Times New Roman" w:hAnsi="Times New Roman" w:cs="Times New Roman"/>
          <w:sz w:val="20"/>
          <w:szCs w:val="20"/>
        </w:rPr>
        <w:fldChar w:fldCharType="end"/>
      </w:r>
      <w:r w:rsidR="00464D24" w:rsidRPr="00464D24">
        <w:rPr>
          <w:rFonts w:ascii="Times New Roman" w:hAnsi="Times New Roman" w:cs="Times New Roman"/>
          <w:sz w:val="20"/>
          <w:szCs w:val="20"/>
        </w:rPr>
        <w:t xml:space="preserve"> </w:t>
      </w:r>
      <w:r w:rsidRPr="00464D24">
        <w:rPr>
          <w:rFonts w:ascii="Times New Roman" w:hAnsi="Times New Roman" w:cs="Times New Roman"/>
          <w:sz w:val="20"/>
          <w:szCs w:val="20"/>
        </w:rPr>
        <w:t>as</w:t>
      </w:r>
      <w:r>
        <w:rPr>
          <w:rFonts w:ascii="Times New Roman" w:hAnsi="Times New Roman" w:cs="Times New Roman"/>
          <w:sz w:val="20"/>
          <w:szCs w:val="20"/>
        </w:rPr>
        <w:t xml:space="preserve"> a function of the number of beams</w:t>
      </w:r>
      <w:r w:rsidR="00464D24">
        <w:rPr>
          <w:rFonts w:ascii="Times New Roman" w:hAnsi="Times New Roman" w:cs="Times New Roman"/>
          <w:sz w:val="20"/>
          <w:szCs w:val="20"/>
        </w:rPr>
        <w:t xml:space="preserve"> for rank 2.  This overhead would be increased by any additional subband overhead such as for subband amplitude scaling.  The additional overhead required to support 6 beams is not justified by the performance gains.</w:t>
      </w:r>
    </w:p>
    <w:p w:rsidR="00464D24" w:rsidRDefault="00464D24" w:rsidP="00464D24">
      <w:pPr>
        <w:jc w:val="both"/>
        <w:rPr>
          <w:rFonts w:ascii="Times New Roman" w:hAnsi="Times New Roman"/>
          <w:sz w:val="20"/>
          <w:szCs w:val="20"/>
        </w:rPr>
      </w:pPr>
      <w:r>
        <w:rPr>
          <w:rFonts w:ascii="Times New Roman" w:hAnsi="Times New Roman"/>
          <w:b/>
          <w:i/>
          <w:sz w:val="20"/>
          <w:szCs w:val="20"/>
        </w:rPr>
        <w:t>Observation 1:</w:t>
      </w:r>
      <w:r>
        <w:rPr>
          <w:rFonts w:ascii="Times New Roman" w:hAnsi="Times New Roman"/>
          <w:sz w:val="20"/>
          <w:szCs w:val="20"/>
        </w:rPr>
        <w:t xml:space="preserve">  While L=6 yields performance improvements of ~3-5% over L=4, the subband overhead is too large to justify support for L=6.</w:t>
      </w:r>
    </w:p>
    <w:p w:rsidR="00464D24" w:rsidRPr="00464D24" w:rsidRDefault="00853777" w:rsidP="005A0EDD">
      <w:pPr>
        <w:jc w:val="both"/>
        <w:rPr>
          <w:rFonts w:ascii="Times New Roman" w:hAnsi="Times New Roman"/>
          <w:sz w:val="20"/>
          <w:szCs w:val="20"/>
        </w:rPr>
      </w:pPr>
      <w:r>
        <w:rPr>
          <w:rFonts w:ascii="Times New Roman" w:hAnsi="Times New Roman"/>
          <w:b/>
          <w:i/>
          <w:sz w:val="20"/>
          <w:szCs w:val="20"/>
        </w:rPr>
        <w:t>Proposal 2</w:t>
      </w:r>
      <w:r w:rsidR="00464D24">
        <w:rPr>
          <w:rFonts w:ascii="Times New Roman" w:hAnsi="Times New Roman"/>
          <w:b/>
          <w:i/>
          <w:sz w:val="20"/>
          <w:szCs w:val="20"/>
        </w:rPr>
        <w:t>:</w:t>
      </w:r>
      <w:r w:rsidR="00464D24">
        <w:rPr>
          <w:rFonts w:ascii="Times New Roman" w:hAnsi="Times New Roman"/>
          <w:sz w:val="20"/>
          <w:szCs w:val="20"/>
        </w:rPr>
        <w:t xml:space="preserve">  Support only L=2,3,4 (configurable) for the NR Type II Category 1 codebook.</w:t>
      </w:r>
    </w:p>
    <w:p w:rsidR="00464D24" w:rsidRPr="00464D24" w:rsidRDefault="00464D24" w:rsidP="00464D24">
      <w:pPr>
        <w:pStyle w:val="Caption"/>
        <w:keepNext/>
        <w:jc w:val="center"/>
        <w:rPr>
          <w:lang w:val="en-US"/>
        </w:rPr>
      </w:pPr>
      <w:bookmarkStart w:id="7" w:name="_Ref481848927"/>
      <w:r>
        <w:t xml:space="preserve">Table </w:t>
      </w:r>
      <w:r w:rsidR="003A55DB">
        <w:fldChar w:fldCharType="begin"/>
      </w:r>
      <w:r w:rsidR="003A55DB">
        <w:instrText xml:space="preserve"> SEQ Table \* ARABIC </w:instrText>
      </w:r>
      <w:r w:rsidR="003A55DB">
        <w:fldChar w:fldCharType="separate"/>
      </w:r>
      <w:r>
        <w:rPr>
          <w:noProof/>
        </w:rPr>
        <w:t>1</w:t>
      </w:r>
      <w:r w:rsidR="003A55DB">
        <w:rPr>
          <w:noProof/>
        </w:rPr>
        <w:fldChar w:fldCharType="end"/>
      </w:r>
      <w:bookmarkEnd w:id="7"/>
      <w:r>
        <w:rPr>
          <w:lang w:val="en-US"/>
        </w:rPr>
        <w:t>.  Phase feedback overhead for 10 subbands</w:t>
      </w:r>
    </w:p>
    <w:tbl>
      <w:tblPr>
        <w:tblStyle w:val="TableGrid"/>
        <w:tblW w:w="0" w:type="auto"/>
        <w:jc w:val="center"/>
        <w:tblLook w:val="04A0" w:firstRow="1" w:lastRow="0" w:firstColumn="1" w:lastColumn="0" w:noHBand="0" w:noVBand="1"/>
      </w:tblPr>
      <w:tblGrid>
        <w:gridCol w:w="328"/>
        <w:gridCol w:w="994"/>
      </w:tblGrid>
      <w:tr w:rsidR="007061C1" w:rsidTr="00464D24">
        <w:trPr>
          <w:jc w:val="center"/>
        </w:trPr>
        <w:tc>
          <w:tcPr>
            <w:tcW w:w="0" w:type="auto"/>
          </w:tcPr>
          <w:p w:rsidR="007061C1" w:rsidRPr="00464D24" w:rsidRDefault="00464D24" w:rsidP="00464D24">
            <w:pPr>
              <w:spacing w:after="0"/>
              <w:jc w:val="center"/>
              <w:rPr>
                <w:rFonts w:ascii="Times New Roman" w:hAnsi="Times New Roman" w:cs="Times New Roman"/>
                <w:sz w:val="20"/>
                <w:szCs w:val="20"/>
              </w:rPr>
            </w:pPr>
            <w:r>
              <w:rPr>
                <w:rFonts w:ascii="Times New Roman" w:hAnsi="Times New Roman" w:cs="Times New Roman"/>
                <w:i/>
                <w:sz w:val="20"/>
                <w:szCs w:val="20"/>
              </w:rPr>
              <w:t>L</w:t>
            </w:r>
          </w:p>
        </w:tc>
        <w:tc>
          <w:tcPr>
            <w:tcW w:w="0" w:type="auto"/>
          </w:tcPr>
          <w:p w:rsidR="007061C1" w:rsidRDefault="00464D24" w:rsidP="00464D24">
            <w:pPr>
              <w:spacing w:after="0"/>
              <w:jc w:val="center"/>
              <w:rPr>
                <w:rFonts w:ascii="Times New Roman" w:hAnsi="Times New Roman" w:cs="Times New Roman"/>
                <w:sz w:val="20"/>
                <w:szCs w:val="20"/>
              </w:rPr>
            </w:pPr>
            <w:r>
              <w:rPr>
                <w:rFonts w:ascii="Times New Roman" w:hAnsi="Times New Roman" w:cs="Times New Roman"/>
                <w:sz w:val="20"/>
                <w:szCs w:val="20"/>
              </w:rPr>
              <w:t>Overhead</w:t>
            </w:r>
          </w:p>
        </w:tc>
      </w:tr>
      <w:tr w:rsidR="007061C1" w:rsidTr="00464D24">
        <w:trPr>
          <w:jc w:val="center"/>
        </w:trPr>
        <w:tc>
          <w:tcPr>
            <w:tcW w:w="0" w:type="auto"/>
          </w:tcPr>
          <w:p w:rsidR="007061C1" w:rsidRDefault="00464D24" w:rsidP="00464D24">
            <w:pPr>
              <w:spacing w:after="0"/>
              <w:jc w:val="center"/>
              <w:rPr>
                <w:rFonts w:ascii="Times New Roman" w:hAnsi="Times New Roman" w:cs="Times New Roman"/>
                <w:sz w:val="20"/>
                <w:szCs w:val="20"/>
              </w:rPr>
            </w:pPr>
            <w:r>
              <w:rPr>
                <w:rFonts w:ascii="Times New Roman" w:hAnsi="Times New Roman" w:cs="Times New Roman"/>
                <w:sz w:val="20"/>
                <w:szCs w:val="20"/>
              </w:rPr>
              <w:t>2</w:t>
            </w:r>
          </w:p>
        </w:tc>
        <w:tc>
          <w:tcPr>
            <w:tcW w:w="0" w:type="auto"/>
          </w:tcPr>
          <w:p w:rsidR="007061C1" w:rsidRDefault="00464D24" w:rsidP="00464D24">
            <w:pPr>
              <w:spacing w:after="0"/>
              <w:jc w:val="center"/>
              <w:rPr>
                <w:rFonts w:ascii="Times New Roman" w:hAnsi="Times New Roman" w:cs="Times New Roman"/>
                <w:sz w:val="20"/>
                <w:szCs w:val="20"/>
              </w:rPr>
            </w:pPr>
            <w:r>
              <w:rPr>
                <w:rFonts w:ascii="Times New Roman" w:hAnsi="Times New Roman" w:cs="Times New Roman"/>
                <w:sz w:val="20"/>
                <w:szCs w:val="20"/>
              </w:rPr>
              <w:t>160 bits</w:t>
            </w:r>
          </w:p>
        </w:tc>
      </w:tr>
      <w:tr w:rsidR="007061C1" w:rsidTr="00464D24">
        <w:trPr>
          <w:jc w:val="center"/>
        </w:trPr>
        <w:tc>
          <w:tcPr>
            <w:tcW w:w="0" w:type="auto"/>
          </w:tcPr>
          <w:p w:rsidR="007061C1" w:rsidRDefault="00464D24" w:rsidP="00464D24">
            <w:pPr>
              <w:spacing w:after="0"/>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tcPr>
          <w:p w:rsidR="007061C1" w:rsidRDefault="00464D24" w:rsidP="00464D24">
            <w:pPr>
              <w:spacing w:after="0"/>
              <w:jc w:val="center"/>
              <w:rPr>
                <w:rFonts w:ascii="Times New Roman" w:hAnsi="Times New Roman" w:cs="Times New Roman"/>
                <w:sz w:val="20"/>
                <w:szCs w:val="20"/>
              </w:rPr>
            </w:pPr>
            <w:r>
              <w:rPr>
                <w:rFonts w:ascii="Times New Roman" w:hAnsi="Times New Roman" w:cs="Times New Roman"/>
                <w:sz w:val="20"/>
                <w:szCs w:val="20"/>
              </w:rPr>
              <w:t>240 bits</w:t>
            </w:r>
          </w:p>
        </w:tc>
      </w:tr>
      <w:tr w:rsidR="007061C1" w:rsidTr="00464D24">
        <w:trPr>
          <w:jc w:val="center"/>
        </w:trPr>
        <w:tc>
          <w:tcPr>
            <w:tcW w:w="0" w:type="auto"/>
          </w:tcPr>
          <w:p w:rsidR="007061C1" w:rsidRDefault="00464D24" w:rsidP="00464D24">
            <w:pPr>
              <w:spacing w:after="0"/>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tcPr>
          <w:p w:rsidR="007061C1" w:rsidRDefault="00464D24" w:rsidP="00464D24">
            <w:pPr>
              <w:spacing w:after="0"/>
              <w:jc w:val="center"/>
              <w:rPr>
                <w:rFonts w:ascii="Times New Roman" w:hAnsi="Times New Roman" w:cs="Times New Roman"/>
                <w:sz w:val="20"/>
                <w:szCs w:val="20"/>
              </w:rPr>
            </w:pPr>
            <w:r>
              <w:rPr>
                <w:rFonts w:ascii="Times New Roman" w:hAnsi="Times New Roman" w:cs="Times New Roman"/>
                <w:sz w:val="20"/>
                <w:szCs w:val="20"/>
              </w:rPr>
              <w:t>320 bits</w:t>
            </w:r>
          </w:p>
        </w:tc>
      </w:tr>
      <w:tr w:rsidR="007061C1" w:rsidTr="00464D24">
        <w:trPr>
          <w:jc w:val="center"/>
        </w:trPr>
        <w:tc>
          <w:tcPr>
            <w:tcW w:w="0" w:type="auto"/>
          </w:tcPr>
          <w:p w:rsidR="007061C1" w:rsidRDefault="00464D24" w:rsidP="00464D24">
            <w:pPr>
              <w:spacing w:after="0"/>
              <w:jc w:val="center"/>
              <w:rPr>
                <w:rFonts w:ascii="Times New Roman" w:hAnsi="Times New Roman" w:cs="Times New Roman"/>
                <w:sz w:val="20"/>
                <w:szCs w:val="20"/>
              </w:rPr>
            </w:pPr>
            <w:r>
              <w:rPr>
                <w:rFonts w:ascii="Times New Roman" w:hAnsi="Times New Roman" w:cs="Times New Roman"/>
                <w:sz w:val="20"/>
                <w:szCs w:val="20"/>
              </w:rPr>
              <w:t>6</w:t>
            </w:r>
          </w:p>
        </w:tc>
        <w:tc>
          <w:tcPr>
            <w:tcW w:w="0" w:type="auto"/>
          </w:tcPr>
          <w:p w:rsidR="007061C1" w:rsidRDefault="00464D24" w:rsidP="00464D24">
            <w:pPr>
              <w:spacing w:after="0"/>
              <w:jc w:val="center"/>
              <w:rPr>
                <w:rFonts w:ascii="Times New Roman" w:hAnsi="Times New Roman" w:cs="Times New Roman"/>
                <w:sz w:val="20"/>
                <w:szCs w:val="20"/>
              </w:rPr>
            </w:pPr>
            <w:r>
              <w:rPr>
                <w:rFonts w:ascii="Times New Roman" w:hAnsi="Times New Roman" w:cs="Times New Roman"/>
                <w:sz w:val="20"/>
                <w:szCs w:val="20"/>
              </w:rPr>
              <w:t>480 bits</w:t>
            </w:r>
          </w:p>
        </w:tc>
      </w:tr>
      <w:tr w:rsidR="007061C1" w:rsidTr="00464D24">
        <w:trPr>
          <w:jc w:val="center"/>
        </w:trPr>
        <w:tc>
          <w:tcPr>
            <w:tcW w:w="0" w:type="auto"/>
          </w:tcPr>
          <w:p w:rsidR="007061C1" w:rsidRDefault="00464D24" w:rsidP="00464D24">
            <w:pPr>
              <w:spacing w:after="0"/>
              <w:jc w:val="center"/>
              <w:rPr>
                <w:rFonts w:ascii="Times New Roman" w:hAnsi="Times New Roman" w:cs="Times New Roman"/>
                <w:sz w:val="20"/>
                <w:szCs w:val="20"/>
              </w:rPr>
            </w:pPr>
            <w:r>
              <w:rPr>
                <w:rFonts w:ascii="Times New Roman" w:hAnsi="Times New Roman" w:cs="Times New Roman"/>
                <w:sz w:val="20"/>
                <w:szCs w:val="20"/>
              </w:rPr>
              <w:t>8</w:t>
            </w:r>
          </w:p>
        </w:tc>
        <w:tc>
          <w:tcPr>
            <w:tcW w:w="0" w:type="auto"/>
          </w:tcPr>
          <w:p w:rsidR="007061C1" w:rsidRDefault="00464D24" w:rsidP="00464D24">
            <w:pPr>
              <w:spacing w:after="0"/>
              <w:jc w:val="center"/>
              <w:rPr>
                <w:rFonts w:ascii="Times New Roman" w:hAnsi="Times New Roman" w:cs="Times New Roman"/>
                <w:sz w:val="20"/>
                <w:szCs w:val="20"/>
              </w:rPr>
            </w:pPr>
            <w:r>
              <w:rPr>
                <w:rFonts w:ascii="Times New Roman" w:hAnsi="Times New Roman" w:cs="Times New Roman"/>
                <w:sz w:val="20"/>
                <w:szCs w:val="20"/>
              </w:rPr>
              <w:t>640 bits</w:t>
            </w:r>
          </w:p>
        </w:tc>
      </w:tr>
    </w:tbl>
    <w:p w:rsidR="007061C1" w:rsidRPr="007061C1" w:rsidRDefault="007061C1" w:rsidP="005A0EDD">
      <w:pPr>
        <w:jc w:val="both"/>
        <w:rPr>
          <w:rFonts w:ascii="Times New Roman" w:hAnsi="Times New Roman" w:cs="Times New Roman"/>
          <w:sz w:val="20"/>
          <w:szCs w:val="20"/>
        </w:rPr>
      </w:pPr>
    </w:p>
    <w:p w:rsidR="000E34E2" w:rsidRPr="000E34E2" w:rsidRDefault="000E34E2" w:rsidP="00F2194C">
      <w:pPr>
        <w:jc w:val="both"/>
        <w:rPr>
          <w:rFonts w:ascii="Times New Roman" w:hAnsi="Times New Roman"/>
          <w:sz w:val="20"/>
          <w:szCs w:val="20"/>
        </w:rPr>
      </w:pPr>
    </w:p>
    <w:p w:rsidR="00D75268" w:rsidRDefault="00D75268" w:rsidP="00D75268">
      <w:pPr>
        <w:keepNext/>
        <w:jc w:val="center"/>
      </w:pPr>
      <w:r w:rsidRPr="00D75268">
        <w:rPr>
          <w:noProof/>
          <w:lang w:eastAsia="en-GB"/>
        </w:rPr>
        <w:lastRenderedPageBreak/>
        <w:drawing>
          <wp:inline distT="0" distB="0" distL="0" distR="0">
            <wp:extent cx="3924300" cy="3009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24300" cy="3009900"/>
                    </a:xfrm>
                    <a:prstGeom prst="rect">
                      <a:avLst/>
                    </a:prstGeom>
                    <a:noFill/>
                    <a:ln>
                      <a:noFill/>
                    </a:ln>
                  </pic:spPr>
                </pic:pic>
              </a:graphicData>
            </a:graphic>
          </wp:inline>
        </w:drawing>
      </w:r>
      <w:r w:rsidRPr="00D75268">
        <w:rPr>
          <w:noProof/>
          <w:lang w:eastAsia="en-GB"/>
        </w:rPr>
        <w:drawing>
          <wp:inline distT="0" distB="0" distL="0" distR="0">
            <wp:extent cx="3924300" cy="3009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24300" cy="3009900"/>
                    </a:xfrm>
                    <a:prstGeom prst="rect">
                      <a:avLst/>
                    </a:prstGeom>
                    <a:noFill/>
                    <a:ln>
                      <a:noFill/>
                    </a:ln>
                  </pic:spPr>
                </pic:pic>
              </a:graphicData>
            </a:graphic>
          </wp:inline>
        </w:drawing>
      </w:r>
    </w:p>
    <w:p w:rsidR="00D75268" w:rsidRPr="00D75268" w:rsidRDefault="00D75268" w:rsidP="00D75268">
      <w:pPr>
        <w:pStyle w:val="Caption"/>
        <w:jc w:val="center"/>
        <w:rPr>
          <w:rFonts w:ascii="Times New Roman" w:hAnsi="Times New Roman"/>
          <w:sz w:val="20"/>
          <w:szCs w:val="20"/>
          <w:lang w:val="en-US"/>
        </w:rPr>
      </w:pPr>
      <w:bookmarkStart w:id="8" w:name="_Ref481847963"/>
      <w:r>
        <w:t xml:space="preserve">Figure </w:t>
      </w:r>
      <w:r w:rsidR="003A55DB">
        <w:fldChar w:fldCharType="begin"/>
      </w:r>
      <w:r w:rsidR="003A55DB">
        <w:instrText xml:space="preserve"> SEQ Figure \* ARABIC </w:instrText>
      </w:r>
      <w:r w:rsidR="003A55DB">
        <w:fldChar w:fldCharType="separate"/>
      </w:r>
      <w:r>
        <w:rPr>
          <w:noProof/>
        </w:rPr>
        <w:t>1</w:t>
      </w:r>
      <w:r w:rsidR="003A55DB">
        <w:rPr>
          <w:noProof/>
        </w:rPr>
        <w:fldChar w:fldCharType="end"/>
      </w:r>
      <w:bookmarkEnd w:id="8"/>
      <w:r>
        <w:rPr>
          <w:lang w:val="en-US"/>
        </w:rPr>
        <w:t>.  Performance as a function of number of beams (L).</w:t>
      </w:r>
    </w:p>
    <w:p w:rsidR="004C4CD4" w:rsidRPr="008D5160" w:rsidRDefault="008D5160" w:rsidP="00A248B1">
      <w:pPr>
        <w:jc w:val="both"/>
        <w:rPr>
          <w:rFonts w:ascii="Times New Roman" w:hAnsi="Times New Roman" w:cs="Times New Roman"/>
          <w:sz w:val="20"/>
          <w:szCs w:val="20"/>
        </w:rPr>
      </w:pPr>
      <w:r>
        <w:rPr>
          <w:rFonts w:ascii="Times New Roman" w:hAnsi="Times New Roman"/>
          <w:sz w:val="20"/>
          <w:szCs w:val="20"/>
        </w:rPr>
        <w:t xml:space="preserve">Finally, we consider beam scaling in the Type II Category 1 codebook.  The simulation results </w:t>
      </w:r>
      <w:r w:rsidRPr="008D5160">
        <w:rPr>
          <w:rFonts w:ascii="Times New Roman" w:hAnsi="Times New Roman" w:cs="Times New Roman"/>
          <w:sz w:val="20"/>
          <w:szCs w:val="20"/>
        </w:rPr>
        <w:t xml:space="preserve">in </w:t>
      </w:r>
      <w:r w:rsidRPr="008D5160">
        <w:rPr>
          <w:rFonts w:ascii="Times New Roman" w:hAnsi="Times New Roman" w:cs="Times New Roman"/>
          <w:sz w:val="20"/>
          <w:szCs w:val="20"/>
        </w:rPr>
        <w:fldChar w:fldCharType="begin"/>
      </w:r>
      <w:r w:rsidRPr="008D5160">
        <w:rPr>
          <w:rFonts w:ascii="Times New Roman" w:hAnsi="Times New Roman" w:cs="Times New Roman"/>
          <w:sz w:val="20"/>
          <w:szCs w:val="20"/>
        </w:rPr>
        <w:instrText xml:space="preserve"> REF _Ref481847963 \h  \* MERGEFORMAT </w:instrText>
      </w:r>
      <w:r w:rsidRPr="008D5160">
        <w:rPr>
          <w:rFonts w:ascii="Times New Roman" w:hAnsi="Times New Roman" w:cs="Times New Roman"/>
          <w:sz w:val="20"/>
          <w:szCs w:val="20"/>
        </w:rPr>
      </w:r>
      <w:r w:rsidRPr="008D5160">
        <w:rPr>
          <w:rFonts w:ascii="Times New Roman" w:hAnsi="Times New Roman" w:cs="Times New Roman"/>
          <w:sz w:val="20"/>
          <w:szCs w:val="20"/>
        </w:rPr>
        <w:fldChar w:fldCharType="separate"/>
      </w:r>
      <w:r w:rsidRPr="008D5160">
        <w:rPr>
          <w:rFonts w:ascii="Times New Roman" w:hAnsi="Times New Roman" w:cs="Times New Roman"/>
          <w:sz w:val="20"/>
          <w:szCs w:val="20"/>
        </w:rPr>
        <w:t xml:space="preserve">Figure </w:t>
      </w:r>
      <w:r w:rsidRPr="008D5160">
        <w:rPr>
          <w:rFonts w:ascii="Times New Roman" w:hAnsi="Times New Roman" w:cs="Times New Roman"/>
          <w:noProof/>
          <w:sz w:val="20"/>
          <w:szCs w:val="20"/>
        </w:rPr>
        <w:t>1</w:t>
      </w:r>
      <w:r w:rsidRPr="008D5160">
        <w:rPr>
          <w:rFonts w:ascii="Times New Roman" w:hAnsi="Times New Roman" w:cs="Times New Roman"/>
          <w:sz w:val="20"/>
          <w:szCs w:val="20"/>
        </w:rPr>
        <w:fldChar w:fldCharType="end"/>
      </w:r>
      <w:r>
        <w:rPr>
          <w:rFonts w:ascii="Times New Roman" w:hAnsi="Times New Roman" w:cs="Times New Roman"/>
          <w:sz w:val="20"/>
          <w:szCs w:val="20"/>
        </w:rPr>
        <w:t xml:space="preserve"> show a considerable gain over wideband beam scaling when subband beam scaling is employed.  Therefore, some form of subband beam scaling should be included in the Type II codebook.  Subband beam scaling can be direct, without wideband beam scaling, or differential, as an offset from the wideband beam scaling.  Differential beam scaling is expected to require less overhead and this is an important consideration as shown by the phase overhead </w:t>
      </w:r>
      <w:r w:rsidRPr="008D5160">
        <w:rPr>
          <w:rFonts w:ascii="Times New Roman" w:hAnsi="Times New Roman" w:cs="Times New Roman"/>
          <w:sz w:val="20"/>
          <w:szCs w:val="20"/>
        </w:rPr>
        <w:t xml:space="preserve">in </w:t>
      </w:r>
      <w:r w:rsidRPr="008D5160">
        <w:rPr>
          <w:rFonts w:ascii="Times New Roman" w:hAnsi="Times New Roman" w:cs="Times New Roman"/>
          <w:sz w:val="20"/>
          <w:szCs w:val="20"/>
        </w:rPr>
        <w:fldChar w:fldCharType="begin"/>
      </w:r>
      <w:r w:rsidRPr="008D5160">
        <w:rPr>
          <w:rFonts w:ascii="Times New Roman" w:hAnsi="Times New Roman" w:cs="Times New Roman"/>
          <w:sz w:val="20"/>
          <w:szCs w:val="20"/>
        </w:rPr>
        <w:instrText xml:space="preserve"> REF _Ref481848927 \h  \* MERGEFORMAT </w:instrText>
      </w:r>
      <w:r w:rsidRPr="008D5160">
        <w:rPr>
          <w:rFonts w:ascii="Times New Roman" w:hAnsi="Times New Roman" w:cs="Times New Roman"/>
          <w:sz w:val="20"/>
          <w:szCs w:val="20"/>
        </w:rPr>
      </w:r>
      <w:r w:rsidRPr="008D5160">
        <w:rPr>
          <w:rFonts w:ascii="Times New Roman" w:hAnsi="Times New Roman" w:cs="Times New Roman"/>
          <w:sz w:val="20"/>
          <w:szCs w:val="20"/>
        </w:rPr>
        <w:fldChar w:fldCharType="separate"/>
      </w:r>
      <w:r w:rsidRPr="008D5160">
        <w:rPr>
          <w:rFonts w:ascii="Times New Roman" w:hAnsi="Times New Roman" w:cs="Times New Roman"/>
          <w:sz w:val="20"/>
          <w:szCs w:val="20"/>
        </w:rPr>
        <w:t xml:space="preserve">Table </w:t>
      </w:r>
      <w:r w:rsidRPr="008D5160">
        <w:rPr>
          <w:rFonts w:ascii="Times New Roman" w:hAnsi="Times New Roman" w:cs="Times New Roman"/>
          <w:noProof/>
          <w:sz w:val="20"/>
          <w:szCs w:val="20"/>
        </w:rPr>
        <w:t>1</w:t>
      </w:r>
      <w:r w:rsidRPr="008D5160">
        <w:rPr>
          <w:rFonts w:ascii="Times New Roman" w:hAnsi="Times New Roman" w:cs="Times New Roman"/>
          <w:sz w:val="20"/>
          <w:szCs w:val="20"/>
        </w:rPr>
        <w:fldChar w:fldCharType="end"/>
      </w:r>
      <w:r w:rsidRPr="008D5160">
        <w:rPr>
          <w:rFonts w:ascii="Times New Roman" w:hAnsi="Times New Roman" w:cs="Times New Roman"/>
          <w:sz w:val="20"/>
          <w:szCs w:val="20"/>
        </w:rPr>
        <w:t>.</w:t>
      </w:r>
      <w:r>
        <w:rPr>
          <w:rFonts w:ascii="Times New Roman" w:hAnsi="Times New Roman" w:cs="Times New Roman"/>
          <w:sz w:val="20"/>
          <w:szCs w:val="20"/>
        </w:rPr>
        <w:t xml:space="preserve">  Differential scaling must be undertaken carefully, considering the fact that a beam scaling determined at wideband may need to be either increased or d</w:t>
      </w:r>
      <w:r w:rsidR="00EE76D5">
        <w:rPr>
          <w:rFonts w:ascii="Times New Roman" w:hAnsi="Times New Roman" w:cs="Times New Roman"/>
          <w:sz w:val="20"/>
          <w:szCs w:val="20"/>
        </w:rPr>
        <w:t>ecreased on a per subband basis.</w:t>
      </w:r>
    </w:p>
    <w:p w:rsidR="00D75268" w:rsidRDefault="008D5160" w:rsidP="00A248B1">
      <w:pPr>
        <w:jc w:val="both"/>
        <w:rPr>
          <w:rFonts w:ascii="Times New Roman" w:hAnsi="Times New Roman"/>
          <w:sz w:val="20"/>
          <w:szCs w:val="20"/>
        </w:rPr>
      </w:pPr>
      <w:r>
        <w:rPr>
          <w:rFonts w:ascii="Times New Roman" w:hAnsi="Times New Roman"/>
          <w:b/>
          <w:i/>
          <w:sz w:val="20"/>
          <w:szCs w:val="20"/>
        </w:rPr>
        <w:t>Observation 2</w:t>
      </w:r>
      <w:r w:rsidR="00A248B1">
        <w:rPr>
          <w:rFonts w:ascii="Times New Roman" w:hAnsi="Times New Roman"/>
          <w:b/>
          <w:i/>
          <w:sz w:val="20"/>
          <w:szCs w:val="20"/>
        </w:rPr>
        <w:t>:</w:t>
      </w:r>
      <w:r w:rsidR="00A248B1">
        <w:rPr>
          <w:rFonts w:ascii="Times New Roman" w:hAnsi="Times New Roman"/>
          <w:sz w:val="20"/>
          <w:szCs w:val="20"/>
        </w:rPr>
        <w:t xml:space="preserve">  </w:t>
      </w:r>
      <w:r w:rsidR="00D75268">
        <w:rPr>
          <w:rFonts w:ascii="Times New Roman" w:hAnsi="Times New Roman"/>
          <w:sz w:val="20"/>
          <w:szCs w:val="20"/>
        </w:rPr>
        <w:t>Subband beam amplitude scaling yields significant gain over wideband amplitude scaling.</w:t>
      </w:r>
    </w:p>
    <w:p w:rsidR="008D5160" w:rsidRDefault="00853777" w:rsidP="00A248B1">
      <w:pPr>
        <w:jc w:val="both"/>
        <w:rPr>
          <w:rFonts w:ascii="Times New Roman" w:hAnsi="Times New Roman"/>
          <w:sz w:val="20"/>
          <w:szCs w:val="20"/>
        </w:rPr>
      </w:pPr>
      <w:r>
        <w:rPr>
          <w:rFonts w:ascii="Times New Roman" w:hAnsi="Times New Roman"/>
          <w:b/>
          <w:i/>
          <w:sz w:val="20"/>
          <w:szCs w:val="20"/>
        </w:rPr>
        <w:t>Proposal 3</w:t>
      </w:r>
      <w:r w:rsidR="008D5160">
        <w:rPr>
          <w:rFonts w:ascii="Times New Roman" w:hAnsi="Times New Roman"/>
          <w:b/>
          <w:i/>
          <w:sz w:val="20"/>
          <w:szCs w:val="20"/>
        </w:rPr>
        <w:t>:</w:t>
      </w:r>
      <w:r w:rsidR="008D5160">
        <w:rPr>
          <w:rFonts w:ascii="Times New Roman" w:hAnsi="Times New Roman"/>
          <w:sz w:val="20"/>
          <w:szCs w:val="20"/>
        </w:rPr>
        <w:t xml:space="preserve">  The NR Type II Category 1 codebook should support some form of subband beam scaling, whether direct or differential.</w:t>
      </w:r>
    </w:p>
    <w:p w:rsidR="008D5160" w:rsidRDefault="00853777" w:rsidP="00A248B1">
      <w:pPr>
        <w:jc w:val="both"/>
        <w:rPr>
          <w:rFonts w:ascii="Times New Roman" w:hAnsi="Times New Roman"/>
          <w:sz w:val="20"/>
          <w:szCs w:val="20"/>
        </w:rPr>
      </w:pPr>
      <w:r>
        <w:rPr>
          <w:rFonts w:ascii="Times New Roman" w:hAnsi="Times New Roman"/>
          <w:b/>
          <w:i/>
          <w:sz w:val="20"/>
          <w:szCs w:val="20"/>
        </w:rPr>
        <w:t>Proposal 4</w:t>
      </w:r>
      <w:r w:rsidR="008D5160">
        <w:rPr>
          <w:rFonts w:ascii="Times New Roman" w:hAnsi="Times New Roman"/>
          <w:b/>
          <w:i/>
          <w:sz w:val="20"/>
          <w:szCs w:val="20"/>
        </w:rPr>
        <w:t>:</w:t>
      </w:r>
      <w:r w:rsidR="008D5160">
        <w:rPr>
          <w:rFonts w:ascii="Times New Roman" w:hAnsi="Times New Roman"/>
          <w:sz w:val="20"/>
          <w:szCs w:val="20"/>
        </w:rPr>
        <w:t xml:space="preserve">  In a differential scheme for subband beam scaling, consider the need to increase or decrease the beam amplitude per subband.</w:t>
      </w:r>
    </w:p>
    <w:p w:rsidR="00EE76D5" w:rsidRDefault="00EE76D5" w:rsidP="00A248B1">
      <w:pPr>
        <w:jc w:val="both"/>
        <w:rPr>
          <w:rFonts w:ascii="Times New Roman" w:hAnsi="Times New Roman"/>
          <w:sz w:val="20"/>
          <w:szCs w:val="20"/>
        </w:rPr>
      </w:pPr>
      <w:r>
        <w:rPr>
          <w:rFonts w:ascii="Times New Roman" w:hAnsi="Times New Roman"/>
          <w:sz w:val="20"/>
          <w:szCs w:val="20"/>
        </w:rPr>
        <w:t xml:space="preserve">Beam scaling may be designed to be constant with both layer and polarization or vary over either or both.  At subband, variation over both is desirable </w:t>
      </w:r>
      <w:r w:rsidR="00277864">
        <w:rPr>
          <w:rFonts w:ascii="Times New Roman" w:hAnsi="Times New Roman"/>
          <w:sz w:val="20"/>
          <w:szCs w:val="20"/>
        </w:rPr>
        <w:t>to</w:t>
      </w:r>
      <w:r>
        <w:rPr>
          <w:rFonts w:ascii="Times New Roman" w:hAnsi="Times New Roman"/>
          <w:sz w:val="20"/>
          <w:szCs w:val="20"/>
        </w:rPr>
        <w:t xml:space="preserve"> form the best approximation of the ideal precoding vector by layer.  At wideband, </w:t>
      </w:r>
      <w:r>
        <w:rPr>
          <w:rFonts w:ascii="Times New Roman" w:hAnsi="Times New Roman"/>
          <w:sz w:val="20"/>
          <w:szCs w:val="20"/>
        </w:rPr>
        <w:lastRenderedPageBreak/>
        <w:t>variation of the beam scaling must be considered in terms of the codebook search.  Variation in the beam scaling with polarization is acceptable with sufficient performance improvement over beam amplitudes which are constant with polarization.  This is not likely to overly complicate the codebook search process.  However, we have concern that varying beam scaling with layer at wideband significantly increases the complexity of the codebook search at the UE.  Though this variation may provide gain, the complexity of the search process should be carefully considered when deciding whether the gain is worth the additional complexity.</w:t>
      </w:r>
    </w:p>
    <w:p w:rsidR="00EE76D5" w:rsidRDefault="00EE76D5" w:rsidP="00A248B1">
      <w:pPr>
        <w:jc w:val="both"/>
        <w:rPr>
          <w:rFonts w:ascii="Times New Roman" w:hAnsi="Times New Roman"/>
          <w:sz w:val="20"/>
          <w:szCs w:val="20"/>
        </w:rPr>
      </w:pPr>
      <w:r>
        <w:rPr>
          <w:rFonts w:ascii="Times New Roman" w:hAnsi="Times New Roman"/>
          <w:b/>
          <w:i/>
          <w:sz w:val="20"/>
          <w:szCs w:val="20"/>
        </w:rPr>
        <w:t>Proposal</w:t>
      </w:r>
      <w:r w:rsidR="00853777">
        <w:rPr>
          <w:rFonts w:ascii="Times New Roman" w:hAnsi="Times New Roman"/>
          <w:b/>
          <w:i/>
          <w:sz w:val="20"/>
          <w:szCs w:val="20"/>
        </w:rPr>
        <w:t xml:space="preserve"> 5</w:t>
      </w:r>
      <w:r>
        <w:rPr>
          <w:rFonts w:ascii="Times New Roman" w:hAnsi="Times New Roman"/>
          <w:b/>
          <w:i/>
          <w:sz w:val="20"/>
          <w:szCs w:val="20"/>
        </w:rPr>
        <w:t>:</w:t>
      </w:r>
      <w:r>
        <w:rPr>
          <w:rFonts w:ascii="Times New Roman" w:hAnsi="Times New Roman"/>
          <w:sz w:val="20"/>
          <w:szCs w:val="20"/>
        </w:rPr>
        <w:t xml:space="preserve">  When considering the variation of wideband beam scaling with polarization or layer, carefully consider the complexity of the codebook search.</w:t>
      </w:r>
    </w:p>
    <w:bookmarkEnd w:id="5"/>
    <w:bookmarkEnd w:id="6"/>
    <w:p w:rsidR="005B6509" w:rsidRDefault="007A75BD" w:rsidP="005B6509">
      <w:pPr>
        <w:pStyle w:val="Heading1"/>
      </w:pPr>
      <w:r>
        <w:t>4</w:t>
      </w:r>
      <w:bookmarkStart w:id="9" w:name="_GoBack"/>
      <w:bookmarkEnd w:id="9"/>
      <w:r w:rsidR="005B6509" w:rsidRPr="00B266B0">
        <w:tab/>
        <w:t>Conclusion</w:t>
      </w:r>
      <w:r w:rsidR="00A07F41">
        <w:t>s</w:t>
      </w:r>
    </w:p>
    <w:p w:rsidR="001F1089" w:rsidRDefault="00C55381" w:rsidP="003D2EB2">
      <w:pPr>
        <w:jc w:val="both"/>
        <w:rPr>
          <w:rFonts w:ascii="Times New Roman" w:hAnsi="Times New Roman"/>
          <w:sz w:val="20"/>
        </w:rPr>
      </w:pPr>
      <w:bookmarkStart w:id="10" w:name="OLE_LINK43"/>
      <w:bookmarkStart w:id="11" w:name="OLE_LINK44"/>
      <w:bookmarkStart w:id="12" w:name="OLE_LINK34"/>
      <w:bookmarkStart w:id="13" w:name="OLE_LINK35"/>
      <w:r>
        <w:rPr>
          <w:rFonts w:ascii="Times New Roman" w:hAnsi="Times New Roman"/>
          <w:sz w:val="20"/>
        </w:rPr>
        <w:t>The following observations and</w:t>
      </w:r>
      <w:r w:rsidR="001F1089">
        <w:rPr>
          <w:rFonts w:ascii="Times New Roman" w:hAnsi="Times New Roman"/>
          <w:sz w:val="20"/>
        </w:rPr>
        <w:t xml:space="preserve"> proposals </w:t>
      </w:r>
      <w:r>
        <w:rPr>
          <w:rFonts w:ascii="Times New Roman" w:hAnsi="Times New Roman"/>
          <w:sz w:val="20"/>
        </w:rPr>
        <w:t>have been presented in this contribution</w:t>
      </w:r>
      <w:r w:rsidR="001F1089">
        <w:rPr>
          <w:rFonts w:ascii="Times New Roman" w:hAnsi="Times New Roman"/>
          <w:sz w:val="20"/>
        </w:rPr>
        <w:t>:</w:t>
      </w:r>
    </w:p>
    <w:p w:rsidR="00F558AD" w:rsidRDefault="00F558AD" w:rsidP="00F558AD">
      <w:pPr>
        <w:jc w:val="both"/>
        <w:rPr>
          <w:rFonts w:ascii="Times New Roman" w:hAnsi="Times New Roman"/>
          <w:sz w:val="20"/>
          <w:szCs w:val="20"/>
        </w:rPr>
      </w:pPr>
      <w:r>
        <w:rPr>
          <w:rFonts w:ascii="Times New Roman" w:hAnsi="Times New Roman"/>
          <w:b/>
          <w:i/>
          <w:sz w:val="20"/>
          <w:szCs w:val="20"/>
        </w:rPr>
        <w:t>Proposal 1:</w:t>
      </w:r>
      <w:r>
        <w:rPr>
          <w:rFonts w:ascii="Times New Roman" w:hAnsi="Times New Roman"/>
          <w:sz w:val="20"/>
          <w:szCs w:val="20"/>
        </w:rPr>
        <w:t xml:space="preserve">  Support free selection of the first beam in </w:t>
      </w:r>
      <m:oMath>
        <m:sSub>
          <m:sSubPr>
            <m:ctrlPr>
              <w:rPr>
                <w:rFonts w:ascii="Cambria Math" w:eastAsia="Times New Roman" w:hAnsi="Cambria Math" w:cs="Times New Roman"/>
                <w:i/>
                <w:iCs/>
                <w:color w:val="000000"/>
                <w:sz w:val="20"/>
                <w:szCs w:val="20"/>
              </w:rPr>
            </m:ctrlPr>
          </m:sSubPr>
          <m:e>
            <m:r>
              <m:rPr>
                <m:sty m:val="bi"/>
              </m:rPr>
              <w:rPr>
                <w:rFonts w:ascii="Cambria Math" w:eastAsia="Times New Roman" w:hAnsi="Cambria Math" w:cs="Times New Roman"/>
                <w:color w:val="000000"/>
                <w:sz w:val="20"/>
                <w:szCs w:val="20"/>
              </w:rPr>
              <m:t>W</m:t>
            </m:r>
          </m:e>
          <m:sub>
            <m:r>
              <m:rPr>
                <m:sty m:val="p"/>
              </m:rPr>
              <w:rPr>
                <w:rFonts w:ascii="Cambria Math" w:eastAsia="Times New Roman" w:hAnsi="Cambria Math" w:cs="Times New Roman"/>
                <w:color w:val="000000"/>
                <w:sz w:val="20"/>
                <w:szCs w:val="20"/>
              </w:rPr>
              <m:t>1</m:t>
            </m:r>
          </m:sub>
        </m:sSub>
      </m:oMath>
      <w:r>
        <w:rPr>
          <w:rFonts w:ascii="Times New Roman" w:hAnsi="Times New Roman"/>
          <w:iCs/>
          <w:color w:val="000000"/>
          <w:sz w:val="20"/>
          <w:szCs w:val="20"/>
        </w:rPr>
        <w:t xml:space="preserve"> </w:t>
      </w:r>
      <w:r>
        <w:rPr>
          <w:rFonts w:ascii="Times New Roman" w:hAnsi="Times New Roman"/>
          <w:sz w:val="20"/>
          <w:szCs w:val="20"/>
        </w:rPr>
        <w:t xml:space="preserve">within the two-dimensional DFT grid and free selection of the remaining </w:t>
      </w:r>
      <w:r>
        <w:rPr>
          <w:rFonts w:ascii="Times New Roman" w:hAnsi="Times New Roman"/>
          <w:i/>
          <w:sz w:val="20"/>
          <w:szCs w:val="20"/>
        </w:rPr>
        <w:t>L</w:t>
      </w:r>
      <w:r>
        <w:rPr>
          <w:rFonts w:ascii="Times New Roman" w:hAnsi="Times New Roman"/>
          <w:sz w:val="20"/>
          <w:szCs w:val="20"/>
        </w:rPr>
        <w:t>-1 beams from the beams orthogonal to the first beam.</w:t>
      </w:r>
    </w:p>
    <w:p w:rsidR="00F558AD" w:rsidRDefault="00F558AD" w:rsidP="00F558AD">
      <w:pPr>
        <w:jc w:val="both"/>
        <w:rPr>
          <w:rFonts w:ascii="Times New Roman" w:hAnsi="Times New Roman"/>
          <w:sz w:val="20"/>
          <w:szCs w:val="20"/>
        </w:rPr>
      </w:pPr>
      <w:r>
        <w:rPr>
          <w:rFonts w:ascii="Times New Roman" w:hAnsi="Times New Roman"/>
          <w:b/>
          <w:i/>
          <w:sz w:val="20"/>
          <w:szCs w:val="20"/>
        </w:rPr>
        <w:t>Observation 1:</w:t>
      </w:r>
      <w:r>
        <w:rPr>
          <w:rFonts w:ascii="Times New Roman" w:hAnsi="Times New Roman"/>
          <w:sz w:val="20"/>
          <w:szCs w:val="20"/>
        </w:rPr>
        <w:t xml:space="preserve">  While L=6 yields performance improvements of ~3-5% over L=4, the subband overhead is too large to justify support for L=6.</w:t>
      </w:r>
    </w:p>
    <w:p w:rsidR="00F558AD" w:rsidRPr="00464D24" w:rsidRDefault="00F558AD" w:rsidP="00F558AD">
      <w:pPr>
        <w:jc w:val="both"/>
        <w:rPr>
          <w:rFonts w:ascii="Times New Roman" w:hAnsi="Times New Roman"/>
          <w:sz w:val="20"/>
          <w:szCs w:val="20"/>
        </w:rPr>
      </w:pPr>
      <w:r>
        <w:rPr>
          <w:rFonts w:ascii="Times New Roman" w:hAnsi="Times New Roman"/>
          <w:b/>
          <w:i/>
          <w:sz w:val="20"/>
          <w:szCs w:val="20"/>
        </w:rPr>
        <w:t>Proposal 2:</w:t>
      </w:r>
      <w:r>
        <w:rPr>
          <w:rFonts w:ascii="Times New Roman" w:hAnsi="Times New Roman"/>
          <w:sz w:val="20"/>
          <w:szCs w:val="20"/>
        </w:rPr>
        <w:t xml:space="preserve">  Support only L=2,3,4 (configurable) for the NR Type II Category 1 codebook.</w:t>
      </w:r>
    </w:p>
    <w:p w:rsidR="00F558AD" w:rsidRDefault="00F558AD" w:rsidP="00F558AD">
      <w:pPr>
        <w:jc w:val="both"/>
        <w:rPr>
          <w:rFonts w:ascii="Times New Roman" w:hAnsi="Times New Roman"/>
          <w:sz w:val="20"/>
          <w:szCs w:val="20"/>
        </w:rPr>
      </w:pPr>
      <w:r>
        <w:rPr>
          <w:rFonts w:ascii="Times New Roman" w:hAnsi="Times New Roman"/>
          <w:b/>
          <w:i/>
          <w:sz w:val="20"/>
          <w:szCs w:val="20"/>
        </w:rPr>
        <w:t>Observation 2:</w:t>
      </w:r>
      <w:r>
        <w:rPr>
          <w:rFonts w:ascii="Times New Roman" w:hAnsi="Times New Roman"/>
          <w:sz w:val="20"/>
          <w:szCs w:val="20"/>
        </w:rPr>
        <w:t xml:space="preserve">  Subband beam amplitude scaling yields significant gain over wideband amplitude scaling.</w:t>
      </w:r>
    </w:p>
    <w:p w:rsidR="00F558AD" w:rsidRDefault="00F558AD" w:rsidP="00F558AD">
      <w:pPr>
        <w:jc w:val="both"/>
        <w:rPr>
          <w:rFonts w:ascii="Times New Roman" w:hAnsi="Times New Roman"/>
          <w:sz w:val="20"/>
          <w:szCs w:val="20"/>
        </w:rPr>
      </w:pPr>
      <w:r>
        <w:rPr>
          <w:rFonts w:ascii="Times New Roman" w:hAnsi="Times New Roman"/>
          <w:b/>
          <w:i/>
          <w:sz w:val="20"/>
          <w:szCs w:val="20"/>
        </w:rPr>
        <w:t>Proposal 3:</w:t>
      </w:r>
      <w:r>
        <w:rPr>
          <w:rFonts w:ascii="Times New Roman" w:hAnsi="Times New Roman"/>
          <w:sz w:val="20"/>
          <w:szCs w:val="20"/>
        </w:rPr>
        <w:t xml:space="preserve">  The NR Type II Category 1 codebook should support some form of subband beam scaling, whether direct or differential.</w:t>
      </w:r>
    </w:p>
    <w:p w:rsidR="00F558AD" w:rsidRDefault="00F558AD" w:rsidP="00F558AD">
      <w:pPr>
        <w:jc w:val="both"/>
        <w:rPr>
          <w:rFonts w:ascii="Times New Roman" w:hAnsi="Times New Roman"/>
          <w:sz w:val="20"/>
          <w:szCs w:val="20"/>
        </w:rPr>
      </w:pPr>
      <w:r>
        <w:rPr>
          <w:rFonts w:ascii="Times New Roman" w:hAnsi="Times New Roman"/>
          <w:b/>
          <w:i/>
          <w:sz w:val="20"/>
          <w:szCs w:val="20"/>
        </w:rPr>
        <w:t>Proposal 4:</w:t>
      </w:r>
      <w:r>
        <w:rPr>
          <w:rFonts w:ascii="Times New Roman" w:hAnsi="Times New Roman"/>
          <w:sz w:val="20"/>
          <w:szCs w:val="20"/>
        </w:rPr>
        <w:t xml:space="preserve">  In a differential scheme for subband beam scaling, consider the need to increase or decrease the beam amplitude per subband.</w:t>
      </w:r>
    </w:p>
    <w:p w:rsidR="00F558AD" w:rsidRPr="00F558AD" w:rsidRDefault="00F558AD" w:rsidP="003D2EB2">
      <w:pPr>
        <w:jc w:val="both"/>
        <w:rPr>
          <w:rFonts w:ascii="Times New Roman" w:hAnsi="Times New Roman"/>
          <w:sz w:val="20"/>
          <w:szCs w:val="20"/>
        </w:rPr>
      </w:pPr>
      <w:r>
        <w:rPr>
          <w:rFonts w:ascii="Times New Roman" w:hAnsi="Times New Roman"/>
          <w:b/>
          <w:i/>
          <w:sz w:val="20"/>
          <w:szCs w:val="20"/>
        </w:rPr>
        <w:t>Proposal 5:</w:t>
      </w:r>
      <w:r>
        <w:rPr>
          <w:rFonts w:ascii="Times New Roman" w:hAnsi="Times New Roman"/>
          <w:sz w:val="20"/>
          <w:szCs w:val="20"/>
        </w:rPr>
        <w:t xml:space="preserve">  When considering the variation of wideband beam scaling with polarization or layer, carefully consider the complexity of the codebook search.</w:t>
      </w:r>
    </w:p>
    <w:bookmarkEnd w:id="10"/>
    <w:bookmarkEnd w:id="11"/>
    <w:bookmarkEnd w:id="12"/>
    <w:bookmarkEnd w:id="13"/>
    <w:p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rsidR="0086213A" w:rsidRDefault="0086213A" w:rsidP="00A17E04">
      <w:pPr>
        <w:numPr>
          <w:ilvl w:val="0"/>
          <w:numId w:val="1"/>
        </w:numPr>
        <w:spacing w:after="120"/>
        <w:jc w:val="both"/>
        <w:rPr>
          <w:rFonts w:ascii="Times New Roman" w:hAnsi="Times New Roman"/>
          <w:sz w:val="20"/>
        </w:rPr>
      </w:pPr>
      <w:bookmarkStart w:id="14" w:name="_Ref477956106"/>
      <w:r>
        <w:rPr>
          <w:rFonts w:ascii="Times New Roman" w:hAnsi="Times New Roman"/>
          <w:sz w:val="20"/>
        </w:rPr>
        <w:t>Chairman’s No</w:t>
      </w:r>
      <w:r w:rsidR="00A36DD6">
        <w:rPr>
          <w:rFonts w:ascii="Times New Roman" w:hAnsi="Times New Roman"/>
          <w:sz w:val="20"/>
        </w:rPr>
        <w:t>tes, 3GPP RAN1#88</w:t>
      </w:r>
      <w:r w:rsidR="00F2194C">
        <w:rPr>
          <w:rFonts w:ascii="Times New Roman" w:hAnsi="Times New Roman"/>
          <w:sz w:val="20"/>
        </w:rPr>
        <w:t>bis</w:t>
      </w:r>
      <w:r w:rsidR="00A36DD6">
        <w:rPr>
          <w:rFonts w:ascii="Times New Roman" w:hAnsi="Times New Roman"/>
          <w:sz w:val="20"/>
        </w:rPr>
        <w:t xml:space="preserve">, </w:t>
      </w:r>
      <w:r w:rsidR="00F2194C">
        <w:rPr>
          <w:rFonts w:ascii="Times New Roman" w:hAnsi="Times New Roman"/>
          <w:sz w:val="20"/>
        </w:rPr>
        <w:t>Spokane, WA, USA, 3-7 April, 2017</w:t>
      </w:r>
      <w:r>
        <w:rPr>
          <w:rFonts w:ascii="Times New Roman" w:hAnsi="Times New Roman"/>
          <w:sz w:val="20"/>
        </w:rPr>
        <w:t>.</w:t>
      </w:r>
      <w:bookmarkEnd w:id="14"/>
    </w:p>
    <w:p w:rsidR="004E1B37" w:rsidRDefault="004E1B37" w:rsidP="004E1B37">
      <w:pPr>
        <w:numPr>
          <w:ilvl w:val="0"/>
          <w:numId w:val="1"/>
        </w:numPr>
        <w:spacing w:after="120"/>
        <w:jc w:val="both"/>
        <w:rPr>
          <w:rFonts w:ascii="Times New Roman" w:hAnsi="Times New Roman"/>
          <w:sz w:val="20"/>
        </w:rPr>
      </w:pPr>
      <w:bookmarkStart w:id="15" w:name="_Ref471305800"/>
      <w:r>
        <w:rPr>
          <w:rFonts w:ascii="Times New Roman" w:hAnsi="Times New Roman"/>
          <w:sz w:val="20"/>
        </w:rPr>
        <w:t>Chairman’s Notes, 3GPP RAN1 NR ad hoc, Spokane, WA, USA, 16-20 January, 2017.</w:t>
      </w:r>
      <w:bookmarkEnd w:id="15"/>
    </w:p>
    <w:p w:rsidR="008D5160" w:rsidRPr="008D5160" w:rsidRDefault="008D5160" w:rsidP="008D5160">
      <w:pPr>
        <w:numPr>
          <w:ilvl w:val="0"/>
          <w:numId w:val="1"/>
        </w:numPr>
        <w:spacing w:after="120"/>
        <w:jc w:val="both"/>
        <w:rPr>
          <w:rFonts w:ascii="Times New Roman" w:hAnsi="Times New Roman"/>
          <w:sz w:val="20"/>
        </w:rPr>
      </w:pPr>
      <w:bookmarkStart w:id="16" w:name="_Ref481850992"/>
      <w:r>
        <w:rPr>
          <w:rFonts w:ascii="Times New Roman" w:hAnsi="Times New Roman"/>
          <w:sz w:val="20"/>
        </w:rPr>
        <w:t>Chairman’s Notes, 3GPP RAN1#88, Athens, Greece, 13-17 February, 2017.</w:t>
      </w:r>
      <w:bookmarkEnd w:id="16"/>
    </w:p>
    <w:p w:rsidR="00A36DD6" w:rsidRDefault="00A36DD6" w:rsidP="00A36DD6">
      <w:pPr>
        <w:spacing w:after="120"/>
        <w:jc w:val="both"/>
        <w:rPr>
          <w:rFonts w:ascii="Times New Roman" w:hAnsi="Times New Roman"/>
          <w:sz w:val="20"/>
        </w:rPr>
      </w:pPr>
    </w:p>
    <w:p w:rsidR="00A36DD6" w:rsidRDefault="00A36DD6" w:rsidP="00A36DD6">
      <w:pPr>
        <w:spacing w:after="120"/>
        <w:jc w:val="both"/>
        <w:rPr>
          <w:rFonts w:ascii="Times New Roman" w:hAnsi="Times New Roman"/>
          <w:sz w:val="20"/>
        </w:rPr>
      </w:pPr>
    </w:p>
    <w:p w:rsidR="00A36DD6" w:rsidRPr="008841D9" w:rsidRDefault="00A36DD6" w:rsidP="00A36DD6">
      <w:pPr>
        <w:spacing w:after="120"/>
        <w:jc w:val="both"/>
        <w:rPr>
          <w:rFonts w:ascii="Times New Roman" w:hAnsi="Times New Roman"/>
          <w:sz w:val="20"/>
        </w:rPr>
      </w:pPr>
    </w:p>
    <w:p w:rsidR="00A36DD6" w:rsidRDefault="00A36DD6" w:rsidP="00A36DD6">
      <w:pPr>
        <w:pStyle w:val="Heading1"/>
      </w:pPr>
      <w:r>
        <w:t>Appendix</w:t>
      </w:r>
      <w:r w:rsidRPr="00B266B0">
        <w:tab/>
      </w:r>
    </w:p>
    <w:p w:rsidR="00A36DD6" w:rsidRDefault="00A36DD6" w:rsidP="00A36DD6">
      <w:pPr>
        <w:pStyle w:val="references"/>
        <w:numPr>
          <w:ilvl w:val="0"/>
          <w:numId w:val="0"/>
        </w:numPr>
        <w:autoSpaceDE w:val="0"/>
        <w:autoSpaceDN w:val="0"/>
        <w:adjustRightInd w:val="0"/>
        <w:ind w:left="360" w:hanging="360"/>
        <w:rPr>
          <w:lang w:val="en-GB"/>
        </w:rPr>
      </w:pPr>
    </w:p>
    <w:p w:rsidR="00A36DD6" w:rsidRPr="00F168AE" w:rsidRDefault="00A36DD6" w:rsidP="00A36DD6">
      <w:pPr>
        <w:pStyle w:val="Caption"/>
        <w:keepNext/>
        <w:jc w:val="center"/>
        <w:rPr>
          <w:lang w:val="en-US"/>
        </w:rPr>
      </w:pPr>
      <w:bookmarkStart w:id="17" w:name="_Ref471471514"/>
      <w:r>
        <w:t xml:space="preserve">Table </w:t>
      </w:r>
      <w:r w:rsidR="003A55DB">
        <w:fldChar w:fldCharType="begin"/>
      </w:r>
      <w:r w:rsidR="003A55DB">
        <w:instrText xml:space="preserve"> SEQ Table \* ARABIC </w:instrText>
      </w:r>
      <w:r w:rsidR="003A55DB">
        <w:fldChar w:fldCharType="separate"/>
      </w:r>
      <w:r w:rsidR="00464D24">
        <w:rPr>
          <w:noProof/>
        </w:rPr>
        <w:t>2</w:t>
      </w:r>
      <w:r w:rsidR="003A55DB">
        <w:rPr>
          <w:noProof/>
        </w:rPr>
        <w:fldChar w:fldCharType="end"/>
      </w:r>
      <w:bookmarkEnd w:id="17"/>
      <w:r>
        <w:rPr>
          <w:lang w:val="en-US"/>
        </w:rPr>
        <w:t>.  Simulation Parameters</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676"/>
      </w:tblGrid>
      <w:tr w:rsidR="00A36DD6" w:rsidRPr="000E5E93" w:rsidTr="0002397F">
        <w:trPr>
          <w:tblHeader/>
          <w:jc w:val="center"/>
        </w:trPr>
        <w:tc>
          <w:tcPr>
            <w:tcW w:w="2416"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Parameter</w:t>
            </w:r>
          </w:p>
        </w:tc>
        <w:tc>
          <w:tcPr>
            <w:tcW w:w="6676"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Value</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Scenario</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276" w:lineRule="auto"/>
              <w:jc w:val="both"/>
              <w:rPr>
                <w:rFonts w:ascii="Times New Roman" w:hAnsi="Times New Roman"/>
                <w:color w:val="000000"/>
              </w:rPr>
            </w:pPr>
            <w:r w:rsidRPr="000E5E93">
              <w:rPr>
                <w:rFonts w:ascii="Times New Roman" w:hAnsi="Times New Roman"/>
                <w:color w:val="000000"/>
              </w:rPr>
              <w:t>3D-UM</w:t>
            </w:r>
            <w:r w:rsidRPr="000E5E93">
              <w:rPr>
                <w:rFonts w:ascii="Times New Roman" w:eastAsia="Malgun Gothic" w:hAnsi="Times New Roman"/>
                <w:color w:val="000000"/>
              </w:rPr>
              <w:t>i</w:t>
            </w:r>
            <w:r w:rsidRPr="000E5E93">
              <w:rPr>
                <w:rFonts w:ascii="Times New Roman" w:hAnsi="Times New Roman"/>
                <w:color w:val="000000"/>
              </w:rPr>
              <w:t xml:space="preserve"> with ISD = </w:t>
            </w:r>
            <w:r w:rsidRPr="000E5E93">
              <w:rPr>
                <w:rFonts w:ascii="Times New Roman" w:eastAsia="Malgun Gothic" w:hAnsi="Times New Roman"/>
                <w:color w:val="000000"/>
              </w:rPr>
              <w:t>2</w:t>
            </w:r>
            <w:r w:rsidRPr="000E5E93">
              <w:rPr>
                <w:rFonts w:ascii="Times New Roman" w:hAnsi="Times New Roman"/>
                <w:color w:val="000000"/>
              </w:rPr>
              <w:t>00m</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Carrier frequency</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2GHz</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System bandwidth</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10MHz</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A36DD6" w:rsidRPr="000E5E93" w:rsidRDefault="00A36DD6" w:rsidP="0002397F">
            <w:pPr>
              <w:spacing w:line="165" w:lineRule="atLeast"/>
              <w:rPr>
                <w:rFonts w:ascii="Times New Roman" w:hAnsi="Times New Roman"/>
              </w:rPr>
            </w:pPr>
            <w:r w:rsidRPr="000E5E93">
              <w:rPr>
                <w:rFonts w:ascii="Times New Roman" w:hAnsi="Times New Roman"/>
              </w:rPr>
              <w:lastRenderedPageBreak/>
              <w:t>Channel model</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A36DD6" w:rsidRPr="000E5E93" w:rsidRDefault="00A36DD6" w:rsidP="0002397F">
            <w:pPr>
              <w:spacing w:line="165" w:lineRule="atLeast"/>
              <w:jc w:val="both"/>
              <w:rPr>
                <w:rFonts w:ascii="Times New Roman" w:hAnsi="Times New Roman"/>
              </w:rPr>
            </w:pPr>
            <w:r>
              <w:rPr>
                <w:rFonts w:ascii="Times New Roman" w:hAnsi="Times New Roman"/>
              </w:rPr>
              <w:t>According to 36.873</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A36DD6" w:rsidRPr="000E5E93" w:rsidRDefault="00A36DD6" w:rsidP="0002397F">
            <w:pPr>
              <w:spacing w:line="165" w:lineRule="atLeast"/>
              <w:rPr>
                <w:rFonts w:ascii="Times New Roman" w:hAnsi="Times New Roman"/>
              </w:rPr>
            </w:pPr>
            <w:r w:rsidRPr="000E5E93">
              <w:rPr>
                <w:rFonts w:ascii="Times New Roman" w:hAnsi="Times New Roman"/>
              </w:rPr>
              <w:t>eNB transmit power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41 dBm</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A36DD6" w:rsidRPr="000E5E93" w:rsidRDefault="00A36DD6" w:rsidP="0002397F">
            <w:pPr>
              <w:spacing w:line="165" w:lineRule="atLeast"/>
              <w:rPr>
                <w:rFonts w:ascii="Times New Roman" w:hAnsi="Times New Roman"/>
              </w:rPr>
            </w:pPr>
            <w:r w:rsidRPr="000E5E93">
              <w:rPr>
                <w:rFonts w:ascii="Times New Roman" w:hAnsi="Times New Roman"/>
              </w:rPr>
              <w:t>eNB antenna configuration</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 xml:space="preserve">(M,N,P) = </w:t>
            </w:r>
            <w:r>
              <w:rPr>
                <w:rFonts w:ascii="Times New Roman" w:hAnsi="Times New Roman"/>
              </w:rPr>
              <w:t>(8,4,2)</w:t>
            </w:r>
          </w:p>
          <w:p w:rsidR="00A36DD6" w:rsidRPr="000E5E93" w:rsidRDefault="00A36DD6" w:rsidP="0002397F">
            <w:pPr>
              <w:spacing w:line="165" w:lineRule="atLeast"/>
              <w:jc w:val="both"/>
              <w:rPr>
                <w:rFonts w:ascii="Times New Roman" w:hAnsi="Times New Roman"/>
              </w:rPr>
            </w:pPr>
            <w:r w:rsidRPr="000E5E93">
              <w:rPr>
                <w:rFonts w:ascii="Times New Roman" w:hAnsi="Times New Roman"/>
              </w:rPr>
              <w:t>(d</w:t>
            </w:r>
            <w:r w:rsidRPr="000E5E93">
              <w:rPr>
                <w:rFonts w:ascii="Times New Roman" w:hAnsi="Times New Roman"/>
                <w:vertAlign w:val="subscript"/>
              </w:rPr>
              <w:t>V</w:t>
            </w:r>
            <w:r w:rsidRPr="000E5E93">
              <w:rPr>
                <w:rFonts w:ascii="Times New Roman" w:hAnsi="Times New Roman"/>
              </w:rPr>
              <w:t>,d</w:t>
            </w:r>
            <w:r w:rsidRPr="000E5E93">
              <w:rPr>
                <w:rFonts w:ascii="Times New Roman" w:hAnsi="Times New Roman"/>
                <w:vertAlign w:val="subscript"/>
              </w:rPr>
              <w:t>H</w:t>
            </w:r>
            <w:r w:rsidRPr="000E5E93">
              <w:rPr>
                <w:rFonts w:ascii="Times New Roman" w:hAnsi="Times New Roman"/>
              </w:rPr>
              <w:t>) = ( 0.8, 0.5 ) λ</w:t>
            </w:r>
          </w:p>
          <w:p w:rsidR="00A36DD6" w:rsidRPr="000E5E93" w:rsidRDefault="00A36DD6" w:rsidP="0002397F">
            <w:pPr>
              <w:spacing w:line="165" w:lineRule="atLeast"/>
              <w:jc w:val="both"/>
              <w:rPr>
                <w:rFonts w:ascii="Times New Roman" w:hAnsi="Times New Roman"/>
              </w:rPr>
            </w:pPr>
            <w:r w:rsidRPr="000E5E93">
              <w:rPr>
                <w:rFonts w:ascii="Times New Roman" w:hAnsi="Times New Roman"/>
              </w:rPr>
              <w:t>The 8 vertical</w:t>
            </w:r>
            <w:r>
              <w:rPr>
                <w:rFonts w:ascii="Times New Roman" w:hAnsi="Times New Roman"/>
              </w:rPr>
              <w:t xml:space="preserve"> elements are virtualized to </w:t>
            </w:r>
            <w:r w:rsidRPr="000E5E93">
              <w:rPr>
                <w:rFonts w:ascii="Times New Roman" w:hAnsi="Times New Roman"/>
              </w:rPr>
              <w:t>2</w:t>
            </w:r>
            <w:r>
              <w:rPr>
                <w:rFonts w:ascii="Times New Roman" w:hAnsi="Times New Roman"/>
              </w:rPr>
              <w:t xml:space="preserve"> </w:t>
            </w:r>
            <w:r w:rsidRPr="000E5E93">
              <w:rPr>
                <w:rFonts w:ascii="Times New Roman" w:hAnsi="Times New Roman"/>
              </w:rPr>
              <w:t>antenna ports</w:t>
            </w:r>
            <w:r>
              <w:rPr>
                <w:rFonts w:ascii="Times New Roman" w:hAnsi="Times New Roman"/>
              </w:rPr>
              <w:t xml:space="preserve"> with an electrical tilt of 100</w:t>
            </w:r>
            <w:r>
              <w:rPr>
                <w:rFonts w:ascii="Times New Roman" w:hAnsi="Times New Roman"/>
                <w:vertAlign w:val="superscript"/>
              </w:rPr>
              <w:t>0</w:t>
            </w:r>
            <w:r>
              <w:rPr>
                <w:rFonts w:ascii="Times New Roman" w:hAnsi="Times New Roman"/>
              </w:rPr>
              <w:t xml:space="preserve"> using the subarray connection model in 36.873</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before="40"/>
              <w:jc w:val="both"/>
              <w:rPr>
                <w:rFonts w:ascii="Times New Roman" w:eastAsia="Malgun Gothic" w:hAnsi="Times New Roman"/>
                <w:color w:val="000000"/>
                <w:kern w:val="24"/>
              </w:rPr>
            </w:pPr>
            <w:r w:rsidRPr="000E5E93">
              <w:rPr>
                <w:rFonts w:ascii="Times New Roman" w:eastAsia="Malgun Gothic" w:hAnsi="Times New Roman"/>
                <w:color w:val="000000"/>
                <w:kern w:val="24"/>
              </w:rPr>
              <w:t>Duplex mode</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276" w:lineRule="auto"/>
              <w:jc w:val="both"/>
              <w:rPr>
                <w:rFonts w:ascii="Times New Roman" w:hAnsi="Times New Roman"/>
                <w:color w:val="000000"/>
                <w:kern w:val="24"/>
              </w:rPr>
            </w:pPr>
            <w:r w:rsidRPr="000E5E93">
              <w:rPr>
                <w:rFonts w:ascii="Times New Roman" w:hAnsi="Times New Roman"/>
                <w:color w:val="000000"/>
                <w:kern w:val="24"/>
              </w:rPr>
              <w:t>FDD</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Traffic model</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BB1D8B" w:rsidP="0002397F">
            <w:pPr>
              <w:spacing w:line="165" w:lineRule="atLeast"/>
              <w:jc w:val="both"/>
              <w:rPr>
                <w:rFonts w:ascii="Times New Roman" w:hAnsi="Times New Roman"/>
              </w:rPr>
            </w:pPr>
            <w:r w:rsidRPr="000E5E93">
              <w:rPr>
                <w:rFonts w:ascii="Times New Roman" w:hAnsi="Times New Roman"/>
              </w:rPr>
              <w:t xml:space="preserve">FTP Model 1 with packet size 0.5 Mbytes, </w:t>
            </w:r>
            <w:r>
              <w:rPr>
                <w:rFonts w:ascii="Times New Roman" w:hAnsi="Times New Roman"/>
              </w:rPr>
              <w:t>14 Mbps offered load (</w:t>
            </w:r>
            <w:r w:rsidRPr="000E5E93">
              <w:rPr>
                <w:rFonts w:ascii="Times New Roman" w:hAnsi="Times New Roman"/>
              </w:rPr>
              <w:t>targeting 50% RU</w:t>
            </w:r>
            <w:r>
              <w:rPr>
                <w:rFonts w:ascii="Times New Roman" w:hAnsi="Times New Roman"/>
              </w:rPr>
              <w:t>)</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UE distribution</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According to 36.873: 20% outdoor (3km/h), 80% indoor (3km/h)</w:t>
            </w:r>
          </w:p>
        </w:tc>
      </w:tr>
      <w:tr w:rsidR="00A36DD6" w:rsidRPr="000E5E93" w:rsidTr="0002397F">
        <w:trPr>
          <w:trHeight w:val="165"/>
          <w:jc w:val="center"/>
        </w:trPr>
        <w:tc>
          <w:tcPr>
            <w:tcW w:w="2416" w:type="dxa"/>
            <w:tcBorders>
              <w:left w:val="single" w:sz="8" w:space="0" w:color="000000"/>
              <w:bottom w:val="single" w:sz="8" w:space="0" w:color="000000"/>
              <w:right w:val="single" w:sz="8" w:space="0" w:color="000000"/>
            </w:tcBorders>
            <w:vAlign w:val="center"/>
            <w:hideMark/>
          </w:tcPr>
          <w:p w:rsidR="00A36DD6" w:rsidRPr="000E5E93" w:rsidRDefault="00A36DD6" w:rsidP="0002397F">
            <w:pPr>
              <w:rPr>
                <w:rFonts w:ascii="Times New Roman" w:hAnsi="Times New Roman"/>
              </w:rPr>
            </w:pPr>
            <w:r w:rsidRPr="000E5E93">
              <w:rPr>
                <w:rFonts w:ascii="Times New Roman" w:hAnsi="Times New Roman"/>
              </w:rPr>
              <w:t>UE antenna config.</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2 Rx, cross-polar (+90/0)</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UE antenna pattern</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Omni</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Receiver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MMSE with channel estimation error and interference modelling</w:t>
            </w:r>
          </w:p>
        </w:tc>
      </w:tr>
      <w:tr w:rsidR="00A36DD6" w:rsidRPr="000E5E93" w:rsidTr="0002397F">
        <w:trPr>
          <w:trHeight w:val="165"/>
          <w:jc w:val="center"/>
        </w:trPr>
        <w:tc>
          <w:tcPr>
            <w:tcW w:w="2416"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rPr>
                <w:rFonts w:ascii="Times New Roman" w:hAnsi="Times New Roman"/>
              </w:rPr>
            </w:pPr>
            <w:r w:rsidRPr="000E5E93">
              <w:rPr>
                <w:rFonts w:ascii="Times New Roman" w:hAnsi="Times New Roman"/>
              </w:rPr>
              <w:t>Feedback</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 xml:space="preserve">CQI and RI reporting </w:t>
            </w:r>
            <w:r>
              <w:rPr>
                <w:rFonts w:ascii="Times New Roman" w:hAnsi="Times New Roman"/>
              </w:rPr>
              <w:t>every</w:t>
            </w:r>
            <w:r w:rsidRPr="000E5E93">
              <w:rPr>
                <w:rFonts w:ascii="Times New Roman" w:hAnsi="Times New Roman"/>
              </w:rPr>
              <w:t xml:space="preserve"> 5ms</w:t>
            </w:r>
          </w:p>
        </w:tc>
      </w:tr>
      <w:tr w:rsidR="00A36DD6" w:rsidRPr="000E5E93" w:rsidTr="0002397F">
        <w:trPr>
          <w:trHeight w:val="165"/>
          <w:jc w:val="center"/>
        </w:trPr>
        <w:tc>
          <w:tcPr>
            <w:tcW w:w="2416" w:type="dxa"/>
            <w:vMerge/>
            <w:tcBorders>
              <w:left w:val="single" w:sz="8" w:space="0" w:color="000000"/>
              <w:bottom w:val="single" w:sz="8" w:space="0" w:color="000000"/>
              <w:right w:val="single" w:sz="8" w:space="0" w:color="000000"/>
            </w:tcBorders>
            <w:vAlign w:val="center"/>
            <w:hideMark/>
          </w:tcPr>
          <w:p w:rsidR="00A36DD6" w:rsidRPr="000E5E93" w:rsidRDefault="00A36DD6" w:rsidP="0002397F">
            <w:pPr>
              <w:jc w:val="both"/>
              <w:rPr>
                <w:rFonts w:ascii="Times New Roman" w:hAnsi="Times New Roman"/>
              </w:rPr>
            </w:pP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CQI Feedback delay is 5 ms</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vAlign w:val="center"/>
            <w:hideMark/>
          </w:tcPr>
          <w:p w:rsidR="00A36DD6" w:rsidRPr="000E5E93" w:rsidRDefault="00A36DD6" w:rsidP="0002397F">
            <w:pPr>
              <w:rPr>
                <w:rFonts w:ascii="Times New Roman" w:hAnsi="Times New Roman"/>
              </w:rPr>
            </w:pPr>
            <w:r>
              <w:rPr>
                <w:rFonts w:ascii="Times New Roman" w:hAnsi="Times New Roman"/>
              </w:rPr>
              <w:t>Transmission scheme</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MU-MIMO with maximum UE rank of 2</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Scheduler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PF with frequency selective scheduling</w:t>
            </w:r>
          </w:p>
        </w:tc>
      </w:tr>
    </w:tbl>
    <w:p w:rsidR="00A36DD6" w:rsidRPr="00A36DD6" w:rsidRDefault="00A36DD6" w:rsidP="00A36DD6">
      <w:pPr>
        <w:spacing w:after="120"/>
        <w:jc w:val="both"/>
        <w:rPr>
          <w:rFonts w:ascii="Times New Roman" w:hAnsi="Times New Roman"/>
          <w:sz w:val="20"/>
        </w:rPr>
      </w:pPr>
    </w:p>
    <w:sectPr w:rsidR="00A36DD6" w:rsidRPr="00A36DD6"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55DB" w:rsidRDefault="003A55DB">
      <w:r>
        <w:separator/>
      </w:r>
    </w:p>
  </w:endnote>
  <w:endnote w:type="continuationSeparator" w:id="0">
    <w:p w:rsidR="003A55DB" w:rsidRDefault="003A5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微软雅黑"/>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3000509000000000000"/>
    <w:charset w:val="86"/>
    <w:family w:val="script"/>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55DB" w:rsidRDefault="003A55DB">
      <w:r>
        <w:separator/>
      </w:r>
    </w:p>
  </w:footnote>
  <w:footnote w:type="continuationSeparator" w:id="0">
    <w:p w:rsidR="003A55DB" w:rsidRDefault="003A55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263B1"/>
    <w:multiLevelType w:val="hybridMultilevel"/>
    <w:tmpl w:val="7A6E70E8"/>
    <w:lvl w:ilvl="0" w:tplc="062C3DC6">
      <w:start w:val="1"/>
      <w:numFmt w:val="bullet"/>
      <w:lvlText w:val=""/>
      <w:lvlJc w:val="left"/>
      <w:pPr>
        <w:tabs>
          <w:tab w:val="num" w:pos="720"/>
        </w:tabs>
        <w:ind w:left="720" w:hanging="360"/>
      </w:pPr>
      <w:rPr>
        <w:rFonts w:ascii="Wingdings" w:hAnsi="Wingdings" w:hint="default"/>
      </w:rPr>
    </w:lvl>
    <w:lvl w:ilvl="1" w:tplc="2AF67064">
      <w:start w:val="95"/>
      <w:numFmt w:val="bullet"/>
      <w:lvlText w:val="•"/>
      <w:lvlJc w:val="left"/>
      <w:pPr>
        <w:tabs>
          <w:tab w:val="num" w:pos="1440"/>
        </w:tabs>
        <w:ind w:left="1440" w:hanging="360"/>
      </w:pPr>
      <w:rPr>
        <w:rFonts w:ascii="Arial" w:hAnsi="Arial" w:hint="default"/>
      </w:rPr>
    </w:lvl>
    <w:lvl w:ilvl="2" w:tplc="18747FA0" w:tentative="1">
      <w:start w:val="1"/>
      <w:numFmt w:val="bullet"/>
      <w:lvlText w:val=""/>
      <w:lvlJc w:val="left"/>
      <w:pPr>
        <w:tabs>
          <w:tab w:val="num" w:pos="2160"/>
        </w:tabs>
        <w:ind w:left="2160" w:hanging="360"/>
      </w:pPr>
      <w:rPr>
        <w:rFonts w:ascii="Wingdings" w:hAnsi="Wingdings" w:hint="default"/>
      </w:rPr>
    </w:lvl>
    <w:lvl w:ilvl="3" w:tplc="995E1112" w:tentative="1">
      <w:start w:val="1"/>
      <w:numFmt w:val="bullet"/>
      <w:lvlText w:val=""/>
      <w:lvlJc w:val="left"/>
      <w:pPr>
        <w:tabs>
          <w:tab w:val="num" w:pos="2880"/>
        </w:tabs>
        <w:ind w:left="2880" w:hanging="360"/>
      </w:pPr>
      <w:rPr>
        <w:rFonts w:ascii="Wingdings" w:hAnsi="Wingdings" w:hint="default"/>
      </w:rPr>
    </w:lvl>
    <w:lvl w:ilvl="4" w:tplc="5CB03788" w:tentative="1">
      <w:start w:val="1"/>
      <w:numFmt w:val="bullet"/>
      <w:lvlText w:val=""/>
      <w:lvlJc w:val="left"/>
      <w:pPr>
        <w:tabs>
          <w:tab w:val="num" w:pos="3600"/>
        </w:tabs>
        <w:ind w:left="3600" w:hanging="360"/>
      </w:pPr>
      <w:rPr>
        <w:rFonts w:ascii="Wingdings" w:hAnsi="Wingdings" w:hint="default"/>
      </w:rPr>
    </w:lvl>
    <w:lvl w:ilvl="5" w:tplc="AC0E3672" w:tentative="1">
      <w:start w:val="1"/>
      <w:numFmt w:val="bullet"/>
      <w:lvlText w:val=""/>
      <w:lvlJc w:val="left"/>
      <w:pPr>
        <w:tabs>
          <w:tab w:val="num" w:pos="4320"/>
        </w:tabs>
        <w:ind w:left="4320" w:hanging="360"/>
      </w:pPr>
      <w:rPr>
        <w:rFonts w:ascii="Wingdings" w:hAnsi="Wingdings" w:hint="default"/>
      </w:rPr>
    </w:lvl>
    <w:lvl w:ilvl="6" w:tplc="3BA0CB6A" w:tentative="1">
      <w:start w:val="1"/>
      <w:numFmt w:val="bullet"/>
      <w:lvlText w:val=""/>
      <w:lvlJc w:val="left"/>
      <w:pPr>
        <w:tabs>
          <w:tab w:val="num" w:pos="5040"/>
        </w:tabs>
        <w:ind w:left="5040" w:hanging="360"/>
      </w:pPr>
      <w:rPr>
        <w:rFonts w:ascii="Wingdings" w:hAnsi="Wingdings" w:hint="default"/>
      </w:rPr>
    </w:lvl>
    <w:lvl w:ilvl="7" w:tplc="26DC16EA" w:tentative="1">
      <w:start w:val="1"/>
      <w:numFmt w:val="bullet"/>
      <w:lvlText w:val=""/>
      <w:lvlJc w:val="left"/>
      <w:pPr>
        <w:tabs>
          <w:tab w:val="num" w:pos="5760"/>
        </w:tabs>
        <w:ind w:left="5760" w:hanging="360"/>
      </w:pPr>
      <w:rPr>
        <w:rFonts w:ascii="Wingdings" w:hAnsi="Wingdings" w:hint="default"/>
      </w:rPr>
    </w:lvl>
    <w:lvl w:ilvl="8" w:tplc="891C638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8B1EAD"/>
    <w:multiLevelType w:val="hybridMultilevel"/>
    <w:tmpl w:val="0C2AF6A2"/>
    <w:lvl w:ilvl="0" w:tplc="46E8C58C">
      <w:start w:val="1"/>
      <w:numFmt w:val="bullet"/>
      <w:lvlText w:val=""/>
      <w:lvlJc w:val="left"/>
      <w:pPr>
        <w:tabs>
          <w:tab w:val="num" w:pos="720"/>
        </w:tabs>
        <w:ind w:left="720" w:hanging="360"/>
      </w:pPr>
      <w:rPr>
        <w:rFonts w:ascii="Wingdings" w:hAnsi="Wingdings" w:hint="default"/>
      </w:rPr>
    </w:lvl>
    <w:lvl w:ilvl="1" w:tplc="32461E24">
      <w:start w:val="95"/>
      <w:numFmt w:val="bullet"/>
      <w:lvlText w:val="•"/>
      <w:lvlJc w:val="left"/>
      <w:pPr>
        <w:tabs>
          <w:tab w:val="num" w:pos="1440"/>
        </w:tabs>
        <w:ind w:left="1440" w:hanging="360"/>
      </w:pPr>
      <w:rPr>
        <w:rFonts w:ascii="Arial" w:hAnsi="Arial" w:hint="default"/>
      </w:rPr>
    </w:lvl>
    <w:lvl w:ilvl="2" w:tplc="8AD23CEA" w:tentative="1">
      <w:start w:val="1"/>
      <w:numFmt w:val="bullet"/>
      <w:lvlText w:val=""/>
      <w:lvlJc w:val="left"/>
      <w:pPr>
        <w:tabs>
          <w:tab w:val="num" w:pos="2160"/>
        </w:tabs>
        <w:ind w:left="2160" w:hanging="360"/>
      </w:pPr>
      <w:rPr>
        <w:rFonts w:ascii="Wingdings" w:hAnsi="Wingdings" w:hint="default"/>
      </w:rPr>
    </w:lvl>
    <w:lvl w:ilvl="3" w:tplc="598E1DA6" w:tentative="1">
      <w:start w:val="1"/>
      <w:numFmt w:val="bullet"/>
      <w:lvlText w:val=""/>
      <w:lvlJc w:val="left"/>
      <w:pPr>
        <w:tabs>
          <w:tab w:val="num" w:pos="2880"/>
        </w:tabs>
        <w:ind w:left="2880" w:hanging="360"/>
      </w:pPr>
      <w:rPr>
        <w:rFonts w:ascii="Wingdings" w:hAnsi="Wingdings" w:hint="default"/>
      </w:rPr>
    </w:lvl>
    <w:lvl w:ilvl="4" w:tplc="EC40F948" w:tentative="1">
      <w:start w:val="1"/>
      <w:numFmt w:val="bullet"/>
      <w:lvlText w:val=""/>
      <w:lvlJc w:val="left"/>
      <w:pPr>
        <w:tabs>
          <w:tab w:val="num" w:pos="3600"/>
        </w:tabs>
        <w:ind w:left="3600" w:hanging="360"/>
      </w:pPr>
      <w:rPr>
        <w:rFonts w:ascii="Wingdings" w:hAnsi="Wingdings" w:hint="default"/>
      </w:rPr>
    </w:lvl>
    <w:lvl w:ilvl="5" w:tplc="DB48EDDA" w:tentative="1">
      <w:start w:val="1"/>
      <w:numFmt w:val="bullet"/>
      <w:lvlText w:val=""/>
      <w:lvlJc w:val="left"/>
      <w:pPr>
        <w:tabs>
          <w:tab w:val="num" w:pos="4320"/>
        </w:tabs>
        <w:ind w:left="4320" w:hanging="360"/>
      </w:pPr>
      <w:rPr>
        <w:rFonts w:ascii="Wingdings" w:hAnsi="Wingdings" w:hint="default"/>
      </w:rPr>
    </w:lvl>
    <w:lvl w:ilvl="6" w:tplc="6A7A4C3C" w:tentative="1">
      <w:start w:val="1"/>
      <w:numFmt w:val="bullet"/>
      <w:lvlText w:val=""/>
      <w:lvlJc w:val="left"/>
      <w:pPr>
        <w:tabs>
          <w:tab w:val="num" w:pos="5040"/>
        </w:tabs>
        <w:ind w:left="5040" w:hanging="360"/>
      </w:pPr>
      <w:rPr>
        <w:rFonts w:ascii="Wingdings" w:hAnsi="Wingdings" w:hint="default"/>
      </w:rPr>
    </w:lvl>
    <w:lvl w:ilvl="7" w:tplc="2396AE4C" w:tentative="1">
      <w:start w:val="1"/>
      <w:numFmt w:val="bullet"/>
      <w:lvlText w:val=""/>
      <w:lvlJc w:val="left"/>
      <w:pPr>
        <w:tabs>
          <w:tab w:val="num" w:pos="5760"/>
        </w:tabs>
        <w:ind w:left="5760" w:hanging="360"/>
      </w:pPr>
      <w:rPr>
        <w:rFonts w:ascii="Wingdings" w:hAnsi="Wingdings" w:hint="default"/>
      </w:rPr>
    </w:lvl>
    <w:lvl w:ilvl="8" w:tplc="1F26567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DE2E1D"/>
    <w:multiLevelType w:val="hybridMultilevel"/>
    <w:tmpl w:val="B748BD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102BD2"/>
    <w:multiLevelType w:val="hybridMultilevel"/>
    <w:tmpl w:val="82D6C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73D7691"/>
    <w:multiLevelType w:val="hybridMultilevel"/>
    <w:tmpl w:val="CFF450F8"/>
    <w:lvl w:ilvl="0" w:tplc="A8C63E98">
      <w:start w:val="1"/>
      <w:numFmt w:val="bullet"/>
      <w:lvlText w:val="•"/>
      <w:lvlJc w:val="left"/>
      <w:pPr>
        <w:tabs>
          <w:tab w:val="num" w:pos="720"/>
        </w:tabs>
        <w:ind w:left="720" w:hanging="360"/>
      </w:pPr>
      <w:rPr>
        <w:rFonts w:ascii="Arial" w:hAnsi="Arial" w:hint="default"/>
      </w:rPr>
    </w:lvl>
    <w:lvl w:ilvl="1" w:tplc="DDA491D8">
      <w:start w:val="157"/>
      <w:numFmt w:val="bullet"/>
      <w:lvlText w:val="–"/>
      <w:lvlJc w:val="left"/>
      <w:pPr>
        <w:tabs>
          <w:tab w:val="num" w:pos="1440"/>
        </w:tabs>
        <w:ind w:left="1440" w:hanging="360"/>
      </w:pPr>
      <w:rPr>
        <w:rFonts w:ascii="Arial" w:hAnsi="Arial" w:hint="default"/>
      </w:rPr>
    </w:lvl>
    <w:lvl w:ilvl="2" w:tplc="AC9C6D40">
      <w:start w:val="157"/>
      <w:numFmt w:val="bullet"/>
      <w:lvlText w:val="•"/>
      <w:lvlJc w:val="left"/>
      <w:pPr>
        <w:tabs>
          <w:tab w:val="num" w:pos="2160"/>
        </w:tabs>
        <w:ind w:left="2160" w:hanging="360"/>
      </w:pPr>
      <w:rPr>
        <w:rFonts w:ascii="Arial" w:hAnsi="Arial" w:hint="default"/>
      </w:rPr>
    </w:lvl>
    <w:lvl w:ilvl="3" w:tplc="C39CB1E8" w:tentative="1">
      <w:start w:val="1"/>
      <w:numFmt w:val="bullet"/>
      <w:lvlText w:val="•"/>
      <w:lvlJc w:val="left"/>
      <w:pPr>
        <w:tabs>
          <w:tab w:val="num" w:pos="2880"/>
        </w:tabs>
        <w:ind w:left="2880" w:hanging="360"/>
      </w:pPr>
      <w:rPr>
        <w:rFonts w:ascii="Arial" w:hAnsi="Arial" w:hint="default"/>
      </w:rPr>
    </w:lvl>
    <w:lvl w:ilvl="4" w:tplc="9D9CF772" w:tentative="1">
      <w:start w:val="1"/>
      <w:numFmt w:val="bullet"/>
      <w:lvlText w:val="•"/>
      <w:lvlJc w:val="left"/>
      <w:pPr>
        <w:tabs>
          <w:tab w:val="num" w:pos="3600"/>
        </w:tabs>
        <w:ind w:left="3600" w:hanging="360"/>
      </w:pPr>
      <w:rPr>
        <w:rFonts w:ascii="Arial" w:hAnsi="Arial" w:hint="default"/>
      </w:rPr>
    </w:lvl>
    <w:lvl w:ilvl="5" w:tplc="92ECE778" w:tentative="1">
      <w:start w:val="1"/>
      <w:numFmt w:val="bullet"/>
      <w:lvlText w:val="•"/>
      <w:lvlJc w:val="left"/>
      <w:pPr>
        <w:tabs>
          <w:tab w:val="num" w:pos="4320"/>
        </w:tabs>
        <w:ind w:left="4320" w:hanging="360"/>
      </w:pPr>
      <w:rPr>
        <w:rFonts w:ascii="Arial" w:hAnsi="Arial" w:hint="default"/>
      </w:rPr>
    </w:lvl>
    <w:lvl w:ilvl="6" w:tplc="72862232" w:tentative="1">
      <w:start w:val="1"/>
      <w:numFmt w:val="bullet"/>
      <w:lvlText w:val="•"/>
      <w:lvlJc w:val="left"/>
      <w:pPr>
        <w:tabs>
          <w:tab w:val="num" w:pos="5040"/>
        </w:tabs>
        <w:ind w:left="5040" w:hanging="360"/>
      </w:pPr>
      <w:rPr>
        <w:rFonts w:ascii="Arial" w:hAnsi="Arial" w:hint="default"/>
      </w:rPr>
    </w:lvl>
    <w:lvl w:ilvl="7" w:tplc="20D4CB82" w:tentative="1">
      <w:start w:val="1"/>
      <w:numFmt w:val="bullet"/>
      <w:lvlText w:val="•"/>
      <w:lvlJc w:val="left"/>
      <w:pPr>
        <w:tabs>
          <w:tab w:val="num" w:pos="5760"/>
        </w:tabs>
        <w:ind w:left="5760" w:hanging="360"/>
      </w:pPr>
      <w:rPr>
        <w:rFonts w:ascii="Arial" w:hAnsi="Arial" w:hint="default"/>
      </w:rPr>
    </w:lvl>
    <w:lvl w:ilvl="8" w:tplc="CB2E4D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98644C0"/>
    <w:multiLevelType w:val="hybridMultilevel"/>
    <w:tmpl w:val="919A6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F21292"/>
    <w:multiLevelType w:val="hybridMultilevel"/>
    <w:tmpl w:val="7C960BC0"/>
    <w:lvl w:ilvl="0" w:tplc="5FA6CC2C">
      <w:start w:val="1"/>
      <w:numFmt w:val="bullet"/>
      <w:lvlText w:val="•"/>
      <w:lvlJc w:val="left"/>
      <w:pPr>
        <w:tabs>
          <w:tab w:val="num" w:pos="720"/>
        </w:tabs>
        <w:ind w:left="720" w:hanging="360"/>
      </w:pPr>
      <w:rPr>
        <w:rFonts w:ascii="Arial" w:hAnsi="Arial" w:hint="default"/>
      </w:rPr>
    </w:lvl>
    <w:lvl w:ilvl="1" w:tplc="288CEDE6">
      <w:start w:val="1"/>
      <w:numFmt w:val="bullet"/>
      <w:lvlText w:val="•"/>
      <w:lvlJc w:val="left"/>
      <w:pPr>
        <w:tabs>
          <w:tab w:val="num" w:pos="1440"/>
        </w:tabs>
        <w:ind w:left="1440" w:hanging="360"/>
      </w:pPr>
      <w:rPr>
        <w:rFonts w:ascii="Arial" w:hAnsi="Arial" w:hint="default"/>
      </w:rPr>
    </w:lvl>
    <w:lvl w:ilvl="2" w:tplc="4A2C0168">
      <w:start w:val="1"/>
      <w:numFmt w:val="bullet"/>
      <w:lvlText w:val="•"/>
      <w:lvlJc w:val="left"/>
      <w:pPr>
        <w:tabs>
          <w:tab w:val="num" w:pos="2160"/>
        </w:tabs>
        <w:ind w:left="2160" w:hanging="360"/>
      </w:pPr>
      <w:rPr>
        <w:rFonts w:ascii="Arial" w:hAnsi="Arial" w:hint="default"/>
      </w:rPr>
    </w:lvl>
    <w:lvl w:ilvl="3" w:tplc="62ACDDBE" w:tentative="1">
      <w:start w:val="1"/>
      <w:numFmt w:val="bullet"/>
      <w:lvlText w:val="•"/>
      <w:lvlJc w:val="left"/>
      <w:pPr>
        <w:tabs>
          <w:tab w:val="num" w:pos="2880"/>
        </w:tabs>
        <w:ind w:left="2880" w:hanging="360"/>
      </w:pPr>
      <w:rPr>
        <w:rFonts w:ascii="Arial" w:hAnsi="Arial" w:hint="default"/>
      </w:rPr>
    </w:lvl>
    <w:lvl w:ilvl="4" w:tplc="40FC7EF4" w:tentative="1">
      <w:start w:val="1"/>
      <w:numFmt w:val="bullet"/>
      <w:lvlText w:val="•"/>
      <w:lvlJc w:val="left"/>
      <w:pPr>
        <w:tabs>
          <w:tab w:val="num" w:pos="3600"/>
        </w:tabs>
        <w:ind w:left="3600" w:hanging="360"/>
      </w:pPr>
      <w:rPr>
        <w:rFonts w:ascii="Arial" w:hAnsi="Arial" w:hint="default"/>
      </w:rPr>
    </w:lvl>
    <w:lvl w:ilvl="5" w:tplc="BB785AC8" w:tentative="1">
      <w:start w:val="1"/>
      <w:numFmt w:val="bullet"/>
      <w:lvlText w:val="•"/>
      <w:lvlJc w:val="left"/>
      <w:pPr>
        <w:tabs>
          <w:tab w:val="num" w:pos="4320"/>
        </w:tabs>
        <w:ind w:left="4320" w:hanging="360"/>
      </w:pPr>
      <w:rPr>
        <w:rFonts w:ascii="Arial" w:hAnsi="Arial" w:hint="default"/>
      </w:rPr>
    </w:lvl>
    <w:lvl w:ilvl="6" w:tplc="40E4E7E4" w:tentative="1">
      <w:start w:val="1"/>
      <w:numFmt w:val="bullet"/>
      <w:lvlText w:val="•"/>
      <w:lvlJc w:val="left"/>
      <w:pPr>
        <w:tabs>
          <w:tab w:val="num" w:pos="5040"/>
        </w:tabs>
        <w:ind w:left="5040" w:hanging="360"/>
      </w:pPr>
      <w:rPr>
        <w:rFonts w:ascii="Arial" w:hAnsi="Arial" w:hint="default"/>
      </w:rPr>
    </w:lvl>
    <w:lvl w:ilvl="7" w:tplc="C0782D36" w:tentative="1">
      <w:start w:val="1"/>
      <w:numFmt w:val="bullet"/>
      <w:lvlText w:val="•"/>
      <w:lvlJc w:val="left"/>
      <w:pPr>
        <w:tabs>
          <w:tab w:val="num" w:pos="5760"/>
        </w:tabs>
        <w:ind w:left="5760" w:hanging="360"/>
      </w:pPr>
      <w:rPr>
        <w:rFonts w:ascii="Arial" w:hAnsi="Arial" w:hint="default"/>
      </w:rPr>
    </w:lvl>
    <w:lvl w:ilvl="8" w:tplc="B82AACD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BC2FB0"/>
    <w:multiLevelType w:val="hybridMultilevel"/>
    <w:tmpl w:val="5E00B16E"/>
    <w:lvl w:ilvl="0" w:tplc="6CE8888A">
      <w:start w:val="1"/>
      <w:numFmt w:val="bullet"/>
      <w:lvlText w:val="•"/>
      <w:lvlJc w:val="left"/>
      <w:pPr>
        <w:tabs>
          <w:tab w:val="num" w:pos="720"/>
        </w:tabs>
        <w:ind w:left="720" w:hanging="360"/>
      </w:pPr>
      <w:rPr>
        <w:rFonts w:ascii="Arial" w:hAnsi="Arial" w:hint="default"/>
      </w:rPr>
    </w:lvl>
    <w:lvl w:ilvl="1" w:tplc="A41C4E4E">
      <w:start w:val="1"/>
      <w:numFmt w:val="bullet"/>
      <w:lvlText w:val="•"/>
      <w:lvlJc w:val="left"/>
      <w:pPr>
        <w:tabs>
          <w:tab w:val="num" w:pos="1440"/>
        </w:tabs>
        <w:ind w:left="1440" w:hanging="360"/>
      </w:pPr>
      <w:rPr>
        <w:rFonts w:ascii="Arial" w:hAnsi="Arial" w:hint="default"/>
      </w:rPr>
    </w:lvl>
    <w:lvl w:ilvl="2" w:tplc="5AE8E41E">
      <w:start w:val="95"/>
      <w:numFmt w:val="bullet"/>
      <w:lvlText w:val="»"/>
      <w:lvlJc w:val="left"/>
      <w:pPr>
        <w:tabs>
          <w:tab w:val="num" w:pos="2160"/>
        </w:tabs>
        <w:ind w:left="2160" w:hanging="360"/>
      </w:pPr>
      <w:rPr>
        <w:rFonts w:ascii="Arial" w:hAnsi="Arial" w:hint="default"/>
      </w:rPr>
    </w:lvl>
    <w:lvl w:ilvl="3" w:tplc="F0BC07AC">
      <w:start w:val="95"/>
      <w:numFmt w:val="bullet"/>
      <w:lvlText w:val="–"/>
      <w:lvlJc w:val="left"/>
      <w:pPr>
        <w:tabs>
          <w:tab w:val="num" w:pos="2880"/>
        </w:tabs>
        <w:ind w:left="2880" w:hanging="360"/>
      </w:pPr>
      <w:rPr>
        <w:rFonts w:ascii="Times New Roman" w:hAnsi="Times New Roman" w:hint="default"/>
      </w:rPr>
    </w:lvl>
    <w:lvl w:ilvl="4" w:tplc="A13E5390">
      <w:start w:val="95"/>
      <w:numFmt w:val="bullet"/>
      <w:lvlText w:val=""/>
      <w:lvlJc w:val="left"/>
      <w:pPr>
        <w:tabs>
          <w:tab w:val="num" w:pos="3600"/>
        </w:tabs>
        <w:ind w:left="3600" w:hanging="360"/>
      </w:pPr>
      <w:rPr>
        <w:rFonts w:ascii="Wingdings" w:hAnsi="Wingdings" w:hint="default"/>
      </w:rPr>
    </w:lvl>
    <w:lvl w:ilvl="5" w:tplc="3EF83656" w:tentative="1">
      <w:start w:val="1"/>
      <w:numFmt w:val="bullet"/>
      <w:lvlText w:val="•"/>
      <w:lvlJc w:val="left"/>
      <w:pPr>
        <w:tabs>
          <w:tab w:val="num" w:pos="4320"/>
        </w:tabs>
        <w:ind w:left="4320" w:hanging="360"/>
      </w:pPr>
      <w:rPr>
        <w:rFonts w:ascii="Arial" w:hAnsi="Arial" w:hint="default"/>
      </w:rPr>
    </w:lvl>
    <w:lvl w:ilvl="6" w:tplc="0C14AA0C" w:tentative="1">
      <w:start w:val="1"/>
      <w:numFmt w:val="bullet"/>
      <w:lvlText w:val="•"/>
      <w:lvlJc w:val="left"/>
      <w:pPr>
        <w:tabs>
          <w:tab w:val="num" w:pos="5040"/>
        </w:tabs>
        <w:ind w:left="5040" w:hanging="360"/>
      </w:pPr>
      <w:rPr>
        <w:rFonts w:ascii="Arial" w:hAnsi="Arial" w:hint="default"/>
      </w:rPr>
    </w:lvl>
    <w:lvl w:ilvl="7" w:tplc="0A7699AE" w:tentative="1">
      <w:start w:val="1"/>
      <w:numFmt w:val="bullet"/>
      <w:lvlText w:val="•"/>
      <w:lvlJc w:val="left"/>
      <w:pPr>
        <w:tabs>
          <w:tab w:val="num" w:pos="5760"/>
        </w:tabs>
        <w:ind w:left="5760" w:hanging="360"/>
      </w:pPr>
      <w:rPr>
        <w:rFonts w:ascii="Arial" w:hAnsi="Arial" w:hint="default"/>
      </w:rPr>
    </w:lvl>
    <w:lvl w:ilvl="8" w:tplc="2CDC4D7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2D534FC"/>
    <w:multiLevelType w:val="hybridMultilevel"/>
    <w:tmpl w:val="BD9A52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6"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5"/>
  </w:num>
  <w:num w:numId="3">
    <w:abstractNumId w:val="10"/>
  </w:num>
  <w:num w:numId="4">
    <w:abstractNumId w:val="20"/>
  </w:num>
  <w:num w:numId="5">
    <w:abstractNumId w:val="25"/>
  </w:num>
  <w:num w:numId="6">
    <w:abstractNumId w:val="15"/>
  </w:num>
  <w:num w:numId="7">
    <w:abstractNumId w:val="4"/>
  </w:num>
  <w:num w:numId="8">
    <w:abstractNumId w:val="6"/>
  </w:num>
  <w:num w:numId="9">
    <w:abstractNumId w:val="12"/>
  </w:num>
  <w:num w:numId="10">
    <w:abstractNumId w:val="12"/>
    <w:lvlOverride w:ilvl="0">
      <w:startOverride w:val="1"/>
    </w:lvlOverride>
  </w:num>
  <w:num w:numId="11">
    <w:abstractNumId w:val="19"/>
  </w:num>
  <w:num w:numId="12">
    <w:abstractNumId w:val="11"/>
  </w:num>
  <w:num w:numId="13">
    <w:abstractNumId w:val="7"/>
  </w:num>
  <w:num w:numId="14">
    <w:abstractNumId w:val="14"/>
  </w:num>
  <w:num w:numId="15">
    <w:abstractNumId w:val="9"/>
  </w:num>
  <w:num w:numId="16">
    <w:abstractNumId w:val="18"/>
  </w:num>
  <w:num w:numId="17">
    <w:abstractNumId w:val="26"/>
  </w:num>
  <w:num w:numId="18">
    <w:abstractNumId w:val="24"/>
  </w:num>
  <w:num w:numId="19">
    <w:abstractNumId w:val="2"/>
  </w:num>
  <w:num w:numId="20">
    <w:abstractNumId w:val="21"/>
  </w:num>
  <w:num w:numId="21">
    <w:abstractNumId w:val="0"/>
  </w:num>
  <w:num w:numId="22">
    <w:abstractNumId w:val="3"/>
  </w:num>
  <w:num w:numId="23">
    <w:abstractNumId w:val="22"/>
  </w:num>
  <w:num w:numId="24">
    <w:abstractNumId w:val="23"/>
  </w:num>
  <w:num w:numId="25">
    <w:abstractNumId w:val="13"/>
  </w:num>
  <w:num w:numId="26">
    <w:abstractNumId w:val="16"/>
  </w:num>
  <w:num w:numId="27">
    <w:abstractNumId w:val="8"/>
  </w:num>
  <w:num w:numId="2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CF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3369"/>
    <w:rsid w:val="000135B8"/>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397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3DD"/>
    <w:rsid w:val="00032523"/>
    <w:rsid w:val="000332E5"/>
    <w:rsid w:val="0003396B"/>
    <w:rsid w:val="0003525C"/>
    <w:rsid w:val="00035CA5"/>
    <w:rsid w:val="00036747"/>
    <w:rsid w:val="000373A0"/>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0D9"/>
    <w:rsid w:val="0006450A"/>
    <w:rsid w:val="00064AD3"/>
    <w:rsid w:val="00064CCA"/>
    <w:rsid w:val="000659A3"/>
    <w:rsid w:val="00065FCB"/>
    <w:rsid w:val="00067092"/>
    <w:rsid w:val="0006720E"/>
    <w:rsid w:val="00067220"/>
    <w:rsid w:val="000675E5"/>
    <w:rsid w:val="0006764C"/>
    <w:rsid w:val="00067B22"/>
    <w:rsid w:val="00070806"/>
    <w:rsid w:val="00070C17"/>
    <w:rsid w:val="0007159C"/>
    <w:rsid w:val="00071C52"/>
    <w:rsid w:val="00072FD4"/>
    <w:rsid w:val="00072FFC"/>
    <w:rsid w:val="00074659"/>
    <w:rsid w:val="00074AE4"/>
    <w:rsid w:val="0007526D"/>
    <w:rsid w:val="000755B4"/>
    <w:rsid w:val="00075E55"/>
    <w:rsid w:val="0007612E"/>
    <w:rsid w:val="00076A89"/>
    <w:rsid w:val="00076DB1"/>
    <w:rsid w:val="0007722F"/>
    <w:rsid w:val="00081B0B"/>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1690"/>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574"/>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3440"/>
    <w:rsid w:val="000E3442"/>
    <w:rsid w:val="000E34E2"/>
    <w:rsid w:val="000E3DEF"/>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0783A"/>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163D"/>
    <w:rsid w:val="00122B4F"/>
    <w:rsid w:val="001231CA"/>
    <w:rsid w:val="001243CE"/>
    <w:rsid w:val="00125DEF"/>
    <w:rsid w:val="001262EC"/>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D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0FDD"/>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99B"/>
    <w:rsid w:val="00194A0C"/>
    <w:rsid w:val="00194D78"/>
    <w:rsid w:val="0019579C"/>
    <w:rsid w:val="00195BCE"/>
    <w:rsid w:val="00195E78"/>
    <w:rsid w:val="00196076"/>
    <w:rsid w:val="001967F8"/>
    <w:rsid w:val="0019712E"/>
    <w:rsid w:val="00197BDF"/>
    <w:rsid w:val="001A0C55"/>
    <w:rsid w:val="001A103E"/>
    <w:rsid w:val="001A111A"/>
    <w:rsid w:val="001A11A8"/>
    <w:rsid w:val="001A1940"/>
    <w:rsid w:val="001A30F9"/>
    <w:rsid w:val="001A331B"/>
    <w:rsid w:val="001A4160"/>
    <w:rsid w:val="001A519B"/>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A5A"/>
    <w:rsid w:val="001C71B2"/>
    <w:rsid w:val="001C76C1"/>
    <w:rsid w:val="001C78F9"/>
    <w:rsid w:val="001C7AF6"/>
    <w:rsid w:val="001C7FEC"/>
    <w:rsid w:val="001D0C36"/>
    <w:rsid w:val="001D0CD2"/>
    <w:rsid w:val="001D1312"/>
    <w:rsid w:val="001D17D6"/>
    <w:rsid w:val="001D18A2"/>
    <w:rsid w:val="001D19E5"/>
    <w:rsid w:val="001D1C0B"/>
    <w:rsid w:val="001D1D0C"/>
    <w:rsid w:val="001D1F9C"/>
    <w:rsid w:val="001D2338"/>
    <w:rsid w:val="001D2F62"/>
    <w:rsid w:val="001D363B"/>
    <w:rsid w:val="001D3B95"/>
    <w:rsid w:val="001D41AD"/>
    <w:rsid w:val="001D6678"/>
    <w:rsid w:val="001E065E"/>
    <w:rsid w:val="001E1B3B"/>
    <w:rsid w:val="001E2449"/>
    <w:rsid w:val="001E3C32"/>
    <w:rsid w:val="001E4473"/>
    <w:rsid w:val="001E4AD8"/>
    <w:rsid w:val="001E4ADF"/>
    <w:rsid w:val="001E530D"/>
    <w:rsid w:val="001E59C3"/>
    <w:rsid w:val="001E5ED3"/>
    <w:rsid w:val="001E5F13"/>
    <w:rsid w:val="001E71DF"/>
    <w:rsid w:val="001E7260"/>
    <w:rsid w:val="001F02B8"/>
    <w:rsid w:val="001F080D"/>
    <w:rsid w:val="001F0BB5"/>
    <w:rsid w:val="001F1089"/>
    <w:rsid w:val="001F13ED"/>
    <w:rsid w:val="001F1928"/>
    <w:rsid w:val="001F1951"/>
    <w:rsid w:val="001F1A0A"/>
    <w:rsid w:val="001F1EC6"/>
    <w:rsid w:val="001F264F"/>
    <w:rsid w:val="001F30EF"/>
    <w:rsid w:val="001F3625"/>
    <w:rsid w:val="001F36A2"/>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5F9D"/>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3BC"/>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1D4B"/>
    <w:rsid w:val="0026222F"/>
    <w:rsid w:val="00262AB8"/>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864"/>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B7EA7"/>
    <w:rsid w:val="002C06B7"/>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CD5"/>
    <w:rsid w:val="002F5B42"/>
    <w:rsid w:val="002F5C07"/>
    <w:rsid w:val="002F6E7D"/>
    <w:rsid w:val="002F72DA"/>
    <w:rsid w:val="0030017F"/>
    <w:rsid w:val="00300E13"/>
    <w:rsid w:val="00301EE5"/>
    <w:rsid w:val="0030235D"/>
    <w:rsid w:val="00302857"/>
    <w:rsid w:val="003029D1"/>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6472"/>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33E"/>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5FC0"/>
    <w:rsid w:val="00376050"/>
    <w:rsid w:val="003763EE"/>
    <w:rsid w:val="00376AB4"/>
    <w:rsid w:val="00377017"/>
    <w:rsid w:val="0037751C"/>
    <w:rsid w:val="00377B03"/>
    <w:rsid w:val="00377D2D"/>
    <w:rsid w:val="00377F01"/>
    <w:rsid w:val="0038007A"/>
    <w:rsid w:val="00380266"/>
    <w:rsid w:val="00380306"/>
    <w:rsid w:val="0038034D"/>
    <w:rsid w:val="00380E9D"/>
    <w:rsid w:val="00381235"/>
    <w:rsid w:val="00383933"/>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4C1E"/>
    <w:rsid w:val="00395FD5"/>
    <w:rsid w:val="0039629A"/>
    <w:rsid w:val="003A00F4"/>
    <w:rsid w:val="003A43B2"/>
    <w:rsid w:val="003A53D0"/>
    <w:rsid w:val="003A55DB"/>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0EB7"/>
    <w:rsid w:val="003D1076"/>
    <w:rsid w:val="003D198A"/>
    <w:rsid w:val="003D1D26"/>
    <w:rsid w:val="003D28B1"/>
    <w:rsid w:val="003D2EB2"/>
    <w:rsid w:val="003D3052"/>
    <w:rsid w:val="003D38C8"/>
    <w:rsid w:val="003D402B"/>
    <w:rsid w:val="003D5146"/>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07611"/>
    <w:rsid w:val="00410094"/>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1C9"/>
    <w:rsid w:val="00457671"/>
    <w:rsid w:val="00457A67"/>
    <w:rsid w:val="0046048D"/>
    <w:rsid w:val="004608E9"/>
    <w:rsid w:val="00460FCA"/>
    <w:rsid w:val="00461210"/>
    <w:rsid w:val="00461E37"/>
    <w:rsid w:val="00462F68"/>
    <w:rsid w:val="004632B6"/>
    <w:rsid w:val="004639D9"/>
    <w:rsid w:val="00463B13"/>
    <w:rsid w:val="00464589"/>
    <w:rsid w:val="00464D24"/>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5F02"/>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CD4"/>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1B37"/>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08B3"/>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17D"/>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0EDD"/>
    <w:rsid w:val="005A1C50"/>
    <w:rsid w:val="005A2A83"/>
    <w:rsid w:val="005A36A5"/>
    <w:rsid w:val="005A510C"/>
    <w:rsid w:val="005A58FF"/>
    <w:rsid w:val="005A5FE6"/>
    <w:rsid w:val="005A6290"/>
    <w:rsid w:val="005A62E4"/>
    <w:rsid w:val="005A70F8"/>
    <w:rsid w:val="005B18A9"/>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F7F"/>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19E9"/>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0A1"/>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425"/>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D48"/>
    <w:rsid w:val="006D0137"/>
    <w:rsid w:val="006D020A"/>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0F46"/>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1C1"/>
    <w:rsid w:val="00707A3A"/>
    <w:rsid w:val="007100F9"/>
    <w:rsid w:val="00710282"/>
    <w:rsid w:val="007106D4"/>
    <w:rsid w:val="00710BCC"/>
    <w:rsid w:val="00711275"/>
    <w:rsid w:val="00711888"/>
    <w:rsid w:val="00711E13"/>
    <w:rsid w:val="00712A7A"/>
    <w:rsid w:val="00712EDA"/>
    <w:rsid w:val="00713648"/>
    <w:rsid w:val="007143F8"/>
    <w:rsid w:val="00715AFF"/>
    <w:rsid w:val="00715FD6"/>
    <w:rsid w:val="007162D8"/>
    <w:rsid w:val="0071705B"/>
    <w:rsid w:val="00720213"/>
    <w:rsid w:val="007202E7"/>
    <w:rsid w:val="0072256E"/>
    <w:rsid w:val="00722DD1"/>
    <w:rsid w:val="0072313E"/>
    <w:rsid w:val="00723BD3"/>
    <w:rsid w:val="00723C15"/>
    <w:rsid w:val="007249DE"/>
    <w:rsid w:val="00724B19"/>
    <w:rsid w:val="00724FDB"/>
    <w:rsid w:val="00725709"/>
    <w:rsid w:val="0072676B"/>
    <w:rsid w:val="00726962"/>
    <w:rsid w:val="007272B8"/>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5DCA"/>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5BD"/>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2C3"/>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2DBE"/>
    <w:rsid w:val="007E3704"/>
    <w:rsid w:val="007E4062"/>
    <w:rsid w:val="007E4656"/>
    <w:rsid w:val="007E54CB"/>
    <w:rsid w:val="007E5863"/>
    <w:rsid w:val="007E5B2B"/>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284C"/>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2FCA"/>
    <w:rsid w:val="00853777"/>
    <w:rsid w:val="00853FE7"/>
    <w:rsid w:val="0085450D"/>
    <w:rsid w:val="0085452C"/>
    <w:rsid w:val="008551A7"/>
    <w:rsid w:val="008556AB"/>
    <w:rsid w:val="00855C9D"/>
    <w:rsid w:val="008579DF"/>
    <w:rsid w:val="008602D0"/>
    <w:rsid w:val="00860479"/>
    <w:rsid w:val="008620E7"/>
    <w:rsid w:val="0086213A"/>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4AD8"/>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1FF7"/>
    <w:rsid w:val="008B275C"/>
    <w:rsid w:val="008B2E79"/>
    <w:rsid w:val="008B32DE"/>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856"/>
    <w:rsid w:val="008C4C4D"/>
    <w:rsid w:val="008C62C8"/>
    <w:rsid w:val="008C6EF2"/>
    <w:rsid w:val="008D0543"/>
    <w:rsid w:val="008D1550"/>
    <w:rsid w:val="008D1EA2"/>
    <w:rsid w:val="008D2741"/>
    <w:rsid w:val="008D2946"/>
    <w:rsid w:val="008D3C06"/>
    <w:rsid w:val="008D4596"/>
    <w:rsid w:val="008D5160"/>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AC8"/>
    <w:rsid w:val="00950FD3"/>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3BB5"/>
    <w:rsid w:val="009B3EFF"/>
    <w:rsid w:val="009B493D"/>
    <w:rsid w:val="009B5F01"/>
    <w:rsid w:val="009B6538"/>
    <w:rsid w:val="009B7ABB"/>
    <w:rsid w:val="009C2C91"/>
    <w:rsid w:val="009C2DD2"/>
    <w:rsid w:val="009C3DB4"/>
    <w:rsid w:val="009C3FCB"/>
    <w:rsid w:val="009C4B78"/>
    <w:rsid w:val="009C4CF1"/>
    <w:rsid w:val="009C51D5"/>
    <w:rsid w:val="009C60ED"/>
    <w:rsid w:val="009C6335"/>
    <w:rsid w:val="009C73D2"/>
    <w:rsid w:val="009D0220"/>
    <w:rsid w:val="009D122C"/>
    <w:rsid w:val="009D14D0"/>
    <w:rsid w:val="009D240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556F"/>
    <w:rsid w:val="00A0608B"/>
    <w:rsid w:val="00A065AE"/>
    <w:rsid w:val="00A07187"/>
    <w:rsid w:val="00A071E5"/>
    <w:rsid w:val="00A07F41"/>
    <w:rsid w:val="00A07FAB"/>
    <w:rsid w:val="00A10031"/>
    <w:rsid w:val="00A107EE"/>
    <w:rsid w:val="00A118E1"/>
    <w:rsid w:val="00A1209A"/>
    <w:rsid w:val="00A12FE5"/>
    <w:rsid w:val="00A13A13"/>
    <w:rsid w:val="00A142E0"/>
    <w:rsid w:val="00A14C42"/>
    <w:rsid w:val="00A14D40"/>
    <w:rsid w:val="00A1575C"/>
    <w:rsid w:val="00A15A9B"/>
    <w:rsid w:val="00A16294"/>
    <w:rsid w:val="00A17911"/>
    <w:rsid w:val="00A17E04"/>
    <w:rsid w:val="00A20BFC"/>
    <w:rsid w:val="00A2103E"/>
    <w:rsid w:val="00A21556"/>
    <w:rsid w:val="00A217B0"/>
    <w:rsid w:val="00A21DA8"/>
    <w:rsid w:val="00A22A65"/>
    <w:rsid w:val="00A22AC3"/>
    <w:rsid w:val="00A23593"/>
    <w:rsid w:val="00A23D75"/>
    <w:rsid w:val="00A248B1"/>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36DD6"/>
    <w:rsid w:val="00A40227"/>
    <w:rsid w:val="00A40E01"/>
    <w:rsid w:val="00A4171B"/>
    <w:rsid w:val="00A41CDA"/>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28F9"/>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28"/>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565C"/>
    <w:rsid w:val="00AD7971"/>
    <w:rsid w:val="00AE009E"/>
    <w:rsid w:val="00AE06ED"/>
    <w:rsid w:val="00AE1792"/>
    <w:rsid w:val="00AE1ACF"/>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1520"/>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BEE"/>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21A6"/>
    <w:rsid w:val="00B52492"/>
    <w:rsid w:val="00B5342F"/>
    <w:rsid w:val="00B53D99"/>
    <w:rsid w:val="00B54668"/>
    <w:rsid w:val="00B54D86"/>
    <w:rsid w:val="00B54FEC"/>
    <w:rsid w:val="00B55201"/>
    <w:rsid w:val="00B55771"/>
    <w:rsid w:val="00B559CA"/>
    <w:rsid w:val="00B55CF0"/>
    <w:rsid w:val="00B56309"/>
    <w:rsid w:val="00B56DDA"/>
    <w:rsid w:val="00B5733E"/>
    <w:rsid w:val="00B57F55"/>
    <w:rsid w:val="00B601D8"/>
    <w:rsid w:val="00B60272"/>
    <w:rsid w:val="00B60800"/>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2A0"/>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9BB"/>
    <w:rsid w:val="00B833BE"/>
    <w:rsid w:val="00B83AD7"/>
    <w:rsid w:val="00B84437"/>
    <w:rsid w:val="00B84B49"/>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D8B"/>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065E"/>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1"/>
    <w:rsid w:val="00C55384"/>
    <w:rsid w:val="00C56FCC"/>
    <w:rsid w:val="00C57751"/>
    <w:rsid w:val="00C57B3F"/>
    <w:rsid w:val="00C61B6C"/>
    <w:rsid w:val="00C6225A"/>
    <w:rsid w:val="00C639A7"/>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0FB7"/>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C7812"/>
    <w:rsid w:val="00CD003E"/>
    <w:rsid w:val="00CD005E"/>
    <w:rsid w:val="00CD177D"/>
    <w:rsid w:val="00CD259E"/>
    <w:rsid w:val="00CD28C8"/>
    <w:rsid w:val="00CD2AD8"/>
    <w:rsid w:val="00CD35E6"/>
    <w:rsid w:val="00CD40C4"/>
    <w:rsid w:val="00CD41A9"/>
    <w:rsid w:val="00CD4710"/>
    <w:rsid w:val="00CD4B26"/>
    <w:rsid w:val="00CD4B77"/>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4846"/>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40835"/>
    <w:rsid w:val="00D41ADD"/>
    <w:rsid w:val="00D433D2"/>
    <w:rsid w:val="00D43551"/>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6CB5"/>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42D"/>
    <w:rsid w:val="00D70B9C"/>
    <w:rsid w:val="00D7181F"/>
    <w:rsid w:val="00D72111"/>
    <w:rsid w:val="00D72D63"/>
    <w:rsid w:val="00D7334A"/>
    <w:rsid w:val="00D74499"/>
    <w:rsid w:val="00D745B1"/>
    <w:rsid w:val="00D74C1B"/>
    <w:rsid w:val="00D75268"/>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C41"/>
    <w:rsid w:val="00DD4D8F"/>
    <w:rsid w:val="00DD531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643"/>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3BC0"/>
    <w:rsid w:val="00E34118"/>
    <w:rsid w:val="00E341F5"/>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4F8"/>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14A"/>
    <w:rsid w:val="00ED058D"/>
    <w:rsid w:val="00ED104D"/>
    <w:rsid w:val="00ED1231"/>
    <w:rsid w:val="00ED1E20"/>
    <w:rsid w:val="00ED2504"/>
    <w:rsid w:val="00ED3391"/>
    <w:rsid w:val="00ED3656"/>
    <w:rsid w:val="00ED3ABD"/>
    <w:rsid w:val="00ED3B6C"/>
    <w:rsid w:val="00ED4103"/>
    <w:rsid w:val="00ED466A"/>
    <w:rsid w:val="00ED4D59"/>
    <w:rsid w:val="00ED4EEB"/>
    <w:rsid w:val="00ED52EE"/>
    <w:rsid w:val="00ED598F"/>
    <w:rsid w:val="00ED6B16"/>
    <w:rsid w:val="00ED75FA"/>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6D5"/>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4EE4"/>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090"/>
    <w:rsid w:val="00F20815"/>
    <w:rsid w:val="00F21801"/>
    <w:rsid w:val="00F2194C"/>
    <w:rsid w:val="00F22353"/>
    <w:rsid w:val="00F23D56"/>
    <w:rsid w:val="00F23E98"/>
    <w:rsid w:val="00F24293"/>
    <w:rsid w:val="00F24E08"/>
    <w:rsid w:val="00F271E2"/>
    <w:rsid w:val="00F274EE"/>
    <w:rsid w:val="00F27706"/>
    <w:rsid w:val="00F27AF8"/>
    <w:rsid w:val="00F27B45"/>
    <w:rsid w:val="00F27DFB"/>
    <w:rsid w:val="00F306D6"/>
    <w:rsid w:val="00F3182D"/>
    <w:rsid w:val="00F320B0"/>
    <w:rsid w:val="00F326B2"/>
    <w:rsid w:val="00F32B07"/>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5D7"/>
    <w:rsid w:val="00F514B0"/>
    <w:rsid w:val="00F51D82"/>
    <w:rsid w:val="00F520BC"/>
    <w:rsid w:val="00F532E8"/>
    <w:rsid w:val="00F5351E"/>
    <w:rsid w:val="00F541DD"/>
    <w:rsid w:val="00F5433D"/>
    <w:rsid w:val="00F54E01"/>
    <w:rsid w:val="00F55466"/>
    <w:rsid w:val="00F55682"/>
    <w:rsid w:val="00F558AD"/>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14"/>
    <w:rsid w:val="00F85F8C"/>
    <w:rsid w:val="00F8626B"/>
    <w:rsid w:val="00F863E2"/>
    <w:rsid w:val="00F86745"/>
    <w:rsid w:val="00F8680B"/>
    <w:rsid w:val="00F86A4B"/>
    <w:rsid w:val="00F8730F"/>
    <w:rsid w:val="00F8735D"/>
    <w:rsid w:val="00F87C0E"/>
    <w:rsid w:val="00F9063A"/>
    <w:rsid w:val="00F909C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9E11FB"/>
  <w15:chartTrackingRefBased/>
  <w15:docId w15:val="{3821F60C-0BF6-47A8-8A40-43488CEC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A75BD"/>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A75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75B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paragraph" w:customStyle="1" w:styleId="MTDisplayEquation">
    <w:name w:val="MTDisplayEquation"/>
    <w:basedOn w:val="Normal"/>
    <w:next w:val="Normal"/>
    <w:link w:val="MTDisplayEquationChar"/>
    <w:rsid w:val="00B521A6"/>
    <w:pPr>
      <w:tabs>
        <w:tab w:val="center" w:pos="4820"/>
        <w:tab w:val="right" w:pos="9640"/>
      </w:tabs>
    </w:pPr>
    <w:rPr>
      <w:rFonts w:ascii="Times New Roman" w:hAnsi="Times New Roman"/>
      <w:b/>
      <w:i/>
      <w:sz w:val="20"/>
      <w:szCs w:val="20"/>
    </w:rPr>
  </w:style>
  <w:style w:type="character" w:customStyle="1" w:styleId="MTDisplayEquationChar">
    <w:name w:val="MTDisplayEquation Char"/>
    <w:link w:val="MTDisplayEquation"/>
    <w:rsid w:val="00B521A6"/>
    <w:rPr>
      <w:rFonts w:ascii="Times New Roman" w:eastAsia="Calibri" w:hAnsi="Times New Roman"/>
      <w:b/>
      <w:i/>
      <w:lang w:val="en-GB" w:eastAsia="en-US"/>
    </w:rPr>
  </w:style>
  <w:style w:type="character" w:styleId="PlaceholderText">
    <w:name w:val="Placeholder Text"/>
    <w:basedOn w:val="DefaultParagraphFont"/>
    <w:uiPriority w:val="99"/>
    <w:semiHidden/>
    <w:rsid w:val="000A7574"/>
    <w:rPr>
      <w:color w:val="808080"/>
    </w:rPr>
  </w:style>
  <w:style w:type="character" w:styleId="Mention">
    <w:name w:val="Mention"/>
    <w:basedOn w:val="DefaultParagraphFont"/>
    <w:uiPriority w:val="99"/>
    <w:semiHidden/>
    <w:unhideWhenUsed/>
    <w:rsid w:val="00E33BC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userdata\a00130\My%20Documents\work\Users\wanshic\Documents\Standards\3GPP%20Standards\Meeting%20Documents\TSGR1_88b\R1-1704884.zip" TargetMode="External"/><Relationship Id="rId18" Type="http://schemas.openxmlformats.org/officeDocument/2006/relationships/hyperlink" Target="file:///D:\userdata\a00130\My%20Documents\work\Users\wanshic\Documents\Standards\3GPP%20Standards\Meeting%20Documents\TSGR1_88b\R1-1704408.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D:\userdata\a00130\My%20Documents\work\Users\wanshic\Documents\Standards\3GPP%20Standards\Meeting%20Documents\TSGR1_88b\R1-1705076.zip" TargetMode="External"/><Relationship Id="rId2" Type="http://schemas.openxmlformats.org/officeDocument/2006/relationships/customXml" Target="../customXml/item2.xml"/><Relationship Id="rId16" Type="http://schemas.openxmlformats.org/officeDocument/2006/relationships/hyperlink" Target="file:///D:\userdata\a00130\My%20Documents\work\Users\wanshic\Documents\Standards\3GPP%20Standards\Meeting%20Documents\TSGR1_88b\R1-1705588.zip"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D:\userdata\a00130\My%20Documents\work\Users\wanshic\Documents\Standards\3GPP%20Standards\Meeting%20Documents\TSGR1_88b\R1-1705349.zip" TargetMode="Externa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D:\userdata\a00130\My%20Documents\work\Users\wanshic\Documents\Standards\3GPP%20Standards\Meeting%20Documents\TSGR1_88b\R1-1705927.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 ma:contentTypeDescription="Create a new document." ma:contentTypeScope="" ma:versionID="cf3c86b911902f459dd053c37f501b73">
  <xsd:schema xmlns:xsd="http://www.w3.org/2001/XMLSchema" xmlns:xs="http://www.w3.org/2001/XMLSchema" xmlns:p="http://schemas.microsoft.com/office/2006/metadata/properties" xmlns:ns2="71c5aaf6-e6ce-465b-b873-5148d2a4c105" xmlns:ns3="3b34c8f0-1ef5-4d1e-bb66-517ce7fe7356" targetNamespace="http://schemas.microsoft.com/office/2006/metadata/properties" ma:root="true" ma:fieldsID="0cca5fc67b3e831bf5324615e2f73f1d" ns2:_="" ns3:_="">
    <xsd:import namespace="71c5aaf6-e6ce-465b-b873-5148d2a4c105"/>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3A6F7F40-79BE-46D6-BED8-6ADFE8EEF9C4}">
  <ds:schemaRefs>
    <ds:schemaRef ds:uri="http://schemas.microsoft.com/sharepoint/events"/>
  </ds:schemaRefs>
</ds:datastoreItem>
</file>

<file path=customXml/itemProps2.xml><?xml version="1.0" encoding="utf-8"?>
<ds:datastoreItem xmlns:ds="http://schemas.openxmlformats.org/officeDocument/2006/customXml" ds:itemID="{6B17F621-B1F1-4FBF-84DB-F40438E2EAAF}">
  <ds:schemaRefs>
    <ds:schemaRef ds:uri="http://schemas.microsoft.com/sharepoint/v3/contenttype/forms"/>
  </ds:schemaRefs>
</ds:datastoreItem>
</file>

<file path=customXml/itemProps3.xml><?xml version="1.0" encoding="utf-8"?>
<ds:datastoreItem xmlns:ds="http://schemas.openxmlformats.org/officeDocument/2006/customXml" ds:itemID="{62CA38E6-1EC9-43F3-9142-484C5E909C85}">
  <ds:schemaRefs>
    <ds:schemaRef ds:uri="http://schemas.microsoft.com/office/2006/metadata/properties"/>
    <ds:schemaRef ds:uri="http://schemas.microsoft.com/office/infopath/2007/PartnerControls"/>
    <ds:schemaRef ds:uri="3b34c8f0-1ef5-4d1e-bb66-517ce7fe7356"/>
  </ds:schemaRefs>
</ds:datastoreItem>
</file>

<file path=customXml/itemProps4.xml><?xml version="1.0" encoding="utf-8"?>
<ds:datastoreItem xmlns:ds="http://schemas.openxmlformats.org/officeDocument/2006/customXml" ds:itemID="{1C43DD93-C0E4-4579-A183-534E7C3386E2}">
  <ds:schemaRefs>
    <ds:schemaRef ds:uri="http://schemas.microsoft.com/office/2006/metadata/longProperties"/>
  </ds:schemaRefs>
</ds:datastoreItem>
</file>

<file path=customXml/itemProps5.xml><?xml version="1.0" encoding="utf-8"?>
<ds:datastoreItem xmlns:ds="http://schemas.openxmlformats.org/officeDocument/2006/customXml" ds:itemID="{6C2E7957-B8BB-445E-803F-A08252B9A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310491-3DE6-4829-8310-D96285CCD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5</Pages>
  <Words>1821</Words>
  <Characters>10382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Mihai Enescu</cp:lastModifiedBy>
  <cp:revision>8</cp:revision>
  <dcterms:created xsi:type="dcterms:W3CDTF">2017-05-06T20:50:00Z</dcterms:created>
  <dcterms:modified xsi:type="dcterms:W3CDTF">2017-05-07T05:07:00Z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SP-5AIRPNAIUNRU-1830940522-82</vt:lpwstr>
  </property>
  <property fmtid="{D5CDD505-2E9C-101B-9397-08002B2CF9AE}" pid="7" name="_dlc_DocIdItemGuid">
    <vt:lpwstr>c426a424-f48f-4cdd-9252-d026f651882b</vt:lpwstr>
  </property>
  <property fmtid="{D5CDD505-2E9C-101B-9397-08002B2CF9AE}" pid="8" name="_dlc_DocIdUrl">
    <vt:lpwstr>https://nokia.sharepoint.com/sites/c5g/5gradio/_layouts/15/DocIdRedir.aspx?ID=SP-5AIRPNAIUNRU-1830940522-82, SP-5AIRPNAIUNRU-1830940522-82</vt:lpwstr>
  </property>
  <property fmtid="{D5CDD505-2E9C-101B-9397-08002B2CF9AE}" pid="9" name="MTWinEqns">
    <vt:bool>true</vt:bool>
  </property>
</Properties>
</file>