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2F5FFD65"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346F99">
        <w:rPr>
          <w:rFonts w:ascii="Arial" w:hAnsi="Arial" w:cs="Arial"/>
          <w:b/>
          <w:sz w:val="24"/>
          <w:szCs w:val="24"/>
        </w:rPr>
        <w:t>#8</w:t>
      </w:r>
      <w:r w:rsidR="008E00FB">
        <w:rPr>
          <w:rFonts w:ascii="Arial" w:hAnsi="Arial" w:cs="Arial"/>
          <w:b/>
          <w:sz w:val="24"/>
          <w:szCs w:val="24"/>
        </w:rPr>
        <w:t>9</w:t>
      </w:r>
      <w:r w:rsidR="00CE5F5F">
        <w:rPr>
          <w:rFonts w:ascii="Arial" w:hAnsi="Arial" w:cs="Arial"/>
          <w:b/>
          <w:sz w:val="24"/>
          <w:szCs w:val="24"/>
        </w:rPr>
        <w:t xml:space="preserve"> </w:t>
      </w:r>
      <w:r w:rsidR="00CE5F5F">
        <w:rPr>
          <w:rFonts w:ascii="Arial" w:hAnsi="Arial" w:cs="Arial"/>
          <w:b/>
          <w:sz w:val="24"/>
          <w:szCs w:val="24"/>
        </w:rPr>
        <w:tab/>
      </w:r>
      <w:r w:rsidR="00EF02A1">
        <w:rPr>
          <w:rFonts w:ascii="Arial" w:hAnsi="Arial" w:cs="Arial"/>
          <w:b/>
          <w:sz w:val="24"/>
          <w:szCs w:val="24"/>
        </w:rPr>
        <w:t xml:space="preserve"> </w:t>
      </w:r>
      <w:r w:rsidR="00346F99" w:rsidRPr="00346F99">
        <w:rPr>
          <w:rFonts w:ascii="Arial" w:hAnsi="Arial" w:cs="Arial"/>
          <w:b/>
          <w:sz w:val="24"/>
          <w:szCs w:val="24"/>
        </w:rPr>
        <w:t>R1-</w:t>
      </w:r>
      <w:r w:rsidR="00737B9A" w:rsidRPr="00737B9A">
        <w:rPr>
          <w:rFonts w:ascii="Arial" w:hAnsi="Arial" w:cs="Arial"/>
          <w:b/>
          <w:sz w:val="24"/>
          <w:szCs w:val="24"/>
        </w:rPr>
        <w:t>170</w:t>
      </w:r>
      <w:r w:rsidR="002062F1">
        <w:rPr>
          <w:rFonts w:ascii="Arial" w:hAnsi="Arial" w:cs="Arial"/>
          <w:b/>
          <w:sz w:val="24"/>
          <w:szCs w:val="24"/>
        </w:rPr>
        <w:t>862</w:t>
      </w:r>
      <w:r w:rsidR="00172A66">
        <w:rPr>
          <w:rFonts w:ascii="Arial" w:hAnsi="Arial" w:cs="Arial"/>
          <w:b/>
          <w:sz w:val="24"/>
          <w:szCs w:val="24"/>
        </w:rPr>
        <w:t>9</w:t>
      </w:r>
    </w:p>
    <w:p w14:paraId="5EC9F255" w14:textId="1A804F40" w:rsidR="00463687" w:rsidRPr="00463687" w:rsidRDefault="008E00FB" w:rsidP="00463687">
      <w:pPr>
        <w:tabs>
          <w:tab w:val="right" w:pos="10000"/>
        </w:tabs>
        <w:spacing w:after="0"/>
        <w:rPr>
          <w:rFonts w:ascii="Arial" w:hAnsi="Arial" w:cs="Arial"/>
          <w:b/>
          <w:sz w:val="24"/>
          <w:szCs w:val="24"/>
        </w:rPr>
      </w:pPr>
      <w:r>
        <w:rPr>
          <w:rFonts w:ascii="Arial" w:hAnsi="Arial" w:cs="Arial"/>
          <w:b/>
          <w:sz w:val="24"/>
          <w:szCs w:val="24"/>
        </w:rPr>
        <w:t>May</w:t>
      </w:r>
      <w:r w:rsidR="00463687" w:rsidRPr="00463687">
        <w:rPr>
          <w:rFonts w:ascii="Arial" w:hAnsi="Arial" w:cs="Arial"/>
          <w:b/>
          <w:sz w:val="24"/>
          <w:szCs w:val="24"/>
        </w:rPr>
        <w:t xml:space="preserve"> </w:t>
      </w:r>
      <w:r>
        <w:rPr>
          <w:rFonts w:ascii="Arial" w:hAnsi="Arial" w:cs="Arial"/>
          <w:b/>
          <w:sz w:val="24"/>
          <w:szCs w:val="24"/>
        </w:rPr>
        <w:t>15</w:t>
      </w:r>
      <w:r w:rsidR="001F4BAF">
        <w:rPr>
          <w:rFonts w:ascii="Arial" w:hAnsi="Arial" w:cs="Arial"/>
          <w:b/>
          <w:sz w:val="24"/>
          <w:szCs w:val="24"/>
          <w:vertAlign w:val="superscript"/>
        </w:rPr>
        <w:t>th</w:t>
      </w:r>
      <w:r w:rsidR="00463687">
        <w:rPr>
          <w:rFonts w:ascii="Arial" w:hAnsi="Arial" w:cs="Arial"/>
          <w:b/>
          <w:sz w:val="24"/>
          <w:szCs w:val="24"/>
        </w:rPr>
        <w:t xml:space="preserve"> </w:t>
      </w:r>
      <w:r w:rsidR="00463687" w:rsidRPr="00463687">
        <w:rPr>
          <w:rFonts w:ascii="Arial" w:hAnsi="Arial" w:cs="Arial"/>
          <w:b/>
          <w:sz w:val="24"/>
          <w:szCs w:val="24"/>
        </w:rPr>
        <w:t xml:space="preserve">– </w:t>
      </w:r>
      <w:r>
        <w:rPr>
          <w:rFonts w:ascii="Arial" w:hAnsi="Arial" w:cs="Arial"/>
          <w:b/>
          <w:sz w:val="24"/>
          <w:szCs w:val="24"/>
        </w:rPr>
        <w:t>19</w:t>
      </w:r>
      <w:r w:rsidR="00463687" w:rsidRPr="00463687">
        <w:rPr>
          <w:rFonts w:ascii="Arial" w:hAnsi="Arial" w:cs="Arial"/>
          <w:b/>
          <w:sz w:val="24"/>
          <w:szCs w:val="24"/>
          <w:vertAlign w:val="superscript"/>
        </w:rPr>
        <w:t>th</w:t>
      </w:r>
      <w:r w:rsidR="00463687" w:rsidRPr="00463687">
        <w:rPr>
          <w:rFonts w:ascii="Arial" w:hAnsi="Arial" w:cs="Arial"/>
          <w:b/>
          <w:sz w:val="24"/>
          <w:szCs w:val="24"/>
        </w:rPr>
        <w:t>, 2017</w:t>
      </w:r>
    </w:p>
    <w:p w14:paraId="2E426516" w14:textId="5874132F" w:rsidR="000C63E6" w:rsidRPr="000C63E6" w:rsidRDefault="008E00FB" w:rsidP="00463687">
      <w:pPr>
        <w:tabs>
          <w:tab w:val="right" w:pos="10000"/>
        </w:tabs>
        <w:spacing w:after="0"/>
        <w:rPr>
          <w:rFonts w:ascii="Arial" w:hAnsi="Arial" w:cs="Arial"/>
          <w:b/>
          <w:sz w:val="24"/>
          <w:szCs w:val="24"/>
        </w:rPr>
      </w:pPr>
      <w:r>
        <w:rPr>
          <w:rFonts w:ascii="Arial" w:hAnsi="Arial" w:cs="Arial"/>
          <w:b/>
          <w:sz w:val="24"/>
          <w:szCs w:val="24"/>
        </w:rPr>
        <w:t>Hangzhou</w:t>
      </w:r>
      <w:r w:rsidR="00463687" w:rsidRPr="00463687">
        <w:rPr>
          <w:rFonts w:ascii="Arial" w:hAnsi="Arial" w:cs="Arial"/>
          <w:b/>
          <w:sz w:val="24"/>
          <w:szCs w:val="24"/>
        </w:rPr>
        <w:t xml:space="preserve">, </w:t>
      </w:r>
      <w:r>
        <w:rPr>
          <w:rFonts w:ascii="Arial" w:hAnsi="Arial" w:cs="Arial"/>
          <w:b/>
          <w:sz w:val="24"/>
          <w:szCs w:val="24"/>
        </w:rPr>
        <w:t>China</w:t>
      </w:r>
    </w:p>
    <w:p w14:paraId="2F2D8718" w14:textId="77777777" w:rsidR="00CE5F5F" w:rsidRDefault="00CE5F5F" w:rsidP="00CE5F5F">
      <w:pPr>
        <w:pStyle w:val="Footer"/>
        <w:jc w:val="both"/>
        <w:rPr>
          <w:noProof w:val="0"/>
        </w:rPr>
      </w:pPr>
    </w:p>
    <w:p w14:paraId="00A480DC" w14:textId="35303287"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8E00FB">
        <w:rPr>
          <w:rFonts w:ascii="Arial" w:hAnsi="Arial"/>
          <w:sz w:val="24"/>
        </w:rPr>
        <w:t>7</w:t>
      </w:r>
      <w:r>
        <w:rPr>
          <w:rFonts w:ascii="Arial" w:hAnsi="Arial"/>
          <w:sz w:val="24"/>
        </w:rPr>
        <w:t>.1.</w:t>
      </w:r>
      <w:r w:rsidR="00585668">
        <w:rPr>
          <w:rFonts w:ascii="Arial" w:hAnsi="Arial"/>
          <w:sz w:val="24"/>
        </w:rPr>
        <w:t>3</w:t>
      </w:r>
      <w:r w:rsidR="000C63E6">
        <w:rPr>
          <w:rFonts w:ascii="Arial" w:hAnsi="Arial"/>
          <w:sz w:val="24"/>
        </w:rPr>
        <w:t>.3</w:t>
      </w:r>
      <w:r w:rsidR="00346F99">
        <w:rPr>
          <w:rFonts w:ascii="Arial" w:hAnsi="Arial"/>
          <w:sz w:val="24"/>
        </w:rPr>
        <w:t>.</w:t>
      </w:r>
      <w:r w:rsidR="008E00FB">
        <w:rPr>
          <w:rFonts w:ascii="Arial" w:hAnsi="Arial"/>
          <w:sz w:val="24"/>
        </w:rPr>
        <w:t>4</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36785A27"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A35FC8">
        <w:rPr>
          <w:rFonts w:ascii="Arial" w:hAnsi="Arial"/>
          <w:sz w:val="24"/>
        </w:rPr>
        <w:t>Processing time requirements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5A3C8122" w:rsidR="001F2982" w:rsidRPr="00E05BD3" w:rsidRDefault="00AC4866" w:rsidP="0088176C">
      <w:pPr>
        <w:pStyle w:val="Heading1"/>
        <w:rPr>
          <w:sz w:val="40"/>
          <w:lang w:val="en-US"/>
        </w:rPr>
      </w:pPr>
      <w:r>
        <w:rPr>
          <w:sz w:val="40"/>
          <w:lang w:val="en-US"/>
        </w:rPr>
        <w:t>Background</w:t>
      </w:r>
    </w:p>
    <w:p w14:paraId="7E74B0AC" w14:textId="23C9C407" w:rsidR="0040609D" w:rsidRPr="00C340CA" w:rsidRDefault="00A87AA7" w:rsidP="00C340CA">
      <w:r>
        <w:rPr>
          <w:noProof/>
          <w:sz w:val="22"/>
        </w:rPr>
        <mc:AlternateContent>
          <mc:Choice Requires="wps">
            <w:drawing>
              <wp:anchor distT="0" distB="0" distL="114300" distR="114300" simplePos="0" relativeHeight="251661312" behindDoc="0" locked="0" layoutInCell="1" allowOverlap="1" wp14:anchorId="31DD0A87" wp14:editId="3909B269">
                <wp:simplePos x="0" y="0"/>
                <wp:positionH relativeFrom="margin">
                  <wp:align>left</wp:align>
                </wp:positionH>
                <wp:positionV relativeFrom="paragraph">
                  <wp:posOffset>374770</wp:posOffset>
                </wp:positionV>
                <wp:extent cx="6359237" cy="1595887"/>
                <wp:effectExtent l="0" t="0" r="22860" b="23495"/>
                <wp:wrapNone/>
                <wp:docPr id="2" name="Rounded Rectangle 2"/>
                <wp:cNvGraphicFramePr/>
                <a:graphic xmlns:a="http://schemas.openxmlformats.org/drawingml/2006/main">
                  <a:graphicData uri="http://schemas.microsoft.com/office/word/2010/wordprocessingShape">
                    <wps:wsp>
                      <wps:cNvSpPr/>
                      <wps:spPr>
                        <a:xfrm>
                          <a:off x="0" y="0"/>
                          <a:ext cx="6359237" cy="1595887"/>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17252B6" id="Rounded Rectangle 2" o:spid="_x0000_s1026" style="position:absolute;margin-left:0;margin-top:29.5pt;width:500.75pt;height:125.6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fMjAIAAGsFAAAOAAAAZHJzL2Uyb0RvYy54bWysVEtv2zAMvg/YfxB0Xx27TR9GnCJo0WFA&#10;0QZth54VWUqEyaImKXGyXz9Kdpysy2nYRRbFjx8fJjm53TaabITzCkxF87MRJcJwqJVZVvT728OX&#10;a0p8YKZmGoyo6E54ejv9/GnS2lIUsAJdC0eQxPiytRVdhWDLLPN8JRrmz8AKg0oJrmEBRbfMasda&#10;ZG90VoxGl1kLrrYOuPAeX+87JZ0mfikFD89SehGIrijGFtLp0rmIZzadsHLpmF0p3ofB/iGKhimD&#10;TgeqexYYWTv1F1WjuAMPMpxxaDKQUnGRcsBs8tGHbF5XzIqUCxbH26FM/v/R8qfN3BFVV7SgxLAG&#10;f9ELrE0tavKCxWNmqQUpYpla60tEv9q56yWP15jzVromfjEbsk2l3Q2lFdtAOD5eno9vivMrSjjq&#10;8vHN+Pr6KrJmB3PrfPgqoCHxUlEXw4gxpLqyzaMPHX6Piy4NPCit8Z2V2sTTg1Z1fEtC7CJxpx3Z&#10;MPz/YZv3Lo9QGEC0zGJ6XULpFnZadKwvQmJ9MIUiBZI688DJOBcmXPa82iA6mkmMYDDMTxnqsA+m&#10;x0YzkTp2MBydMvzT42CRvIIJg3GjDLhTBPWPwXOH32ff5RzTX0C9w7Zw0M2Lt/xB4U95ZD7MmcMB&#10;wVHCoQ/PeEgNbUWhv1GyAvfr1HvEY9+ilpIWB66i/ueaOUGJ/mawo2/yi4s4oUm4GF8VKLhjzeJY&#10;Y9bNHeA/zXG9WJ6uER/0/iodNO+4G2bRK6qY4ei7ojy4vXAXukWA24WL2SzBcCotC4/m1fJIHqsa&#10;++1t+86c7TszYFM/wX44WfmhNztstDQwWweQKjXuoa59vXGiU//32yeujGM5oQ47cvobAAD//wMA&#10;UEsDBBQABgAIAAAAIQADFdIN3AAAAAgBAAAPAAAAZHJzL2Rvd25yZXYueG1sTI9BS8NAEIXvgv9h&#10;GcGb3Y2hojGTIgXxqlUL3ibJmIRmZ8Putk399W5PenoMb3jve+VqtqM6sA+DE4RsYUCxNK4dpEP4&#10;eH++uQcVIklLoxNGOHGAVXV5UVLRuqO88WETO5VCJBSE0Mc4FVqHpmdLYeEmluR9O28pptN3uvV0&#10;TOF21LfG3GlLg6SGniZe99zsNnuLsDVfP7QWXb9sP5vdq/O+zk8e8fpqfnoEFXmOf89wxk/oUCWm&#10;2u2lDWpESEMiwvIh6dk1JluCqhHyzOSgq1L/H1D9AgAA//8DAFBLAQItABQABgAIAAAAIQC2gziS&#10;/gAAAOEBAAATAAAAAAAAAAAAAAAAAAAAAABbQ29udGVudF9UeXBlc10ueG1sUEsBAi0AFAAGAAgA&#10;AAAhADj9If/WAAAAlAEAAAsAAAAAAAAAAAAAAAAALwEAAF9yZWxzLy5yZWxzUEsBAi0AFAAGAAgA&#10;AAAhAPMLN8yMAgAAawUAAA4AAAAAAAAAAAAAAAAALgIAAGRycy9lMm9Eb2MueG1sUEsBAi0AFAAG&#10;AAgAAAAhAAMV0g3cAAAACAEAAA8AAAAAAAAAAAAAAAAA5gQAAGRycy9kb3ducmV2LnhtbFBLBQYA&#10;AAAABAAEAPMAAADvBQAAAAA=&#10;" filled="f" strokecolor="black [3213]" strokeweight="1pt">
                <v:stroke joinstyle="miter"/>
                <w10:wrap anchorx="margin"/>
              </v:roundrect>
            </w:pict>
          </mc:Fallback>
        </mc:AlternateContent>
      </w:r>
      <w:r w:rsidR="00F34514" w:rsidRPr="006164DD">
        <w:t xml:space="preserve">In </w:t>
      </w:r>
      <w:r w:rsidR="0040609D" w:rsidRPr="006164DD">
        <w:t xml:space="preserve">RAN1 </w:t>
      </w:r>
      <w:r w:rsidR="005418BA" w:rsidRPr="006164DD">
        <w:t>#8</w:t>
      </w:r>
      <w:r w:rsidR="00C340CA">
        <w:t>5</w:t>
      </w:r>
      <w:r w:rsidR="005418BA" w:rsidRPr="006164DD">
        <w:t>,</w:t>
      </w:r>
      <w:r w:rsidR="00414598" w:rsidRPr="006164DD">
        <w:t xml:space="preserve"> </w:t>
      </w:r>
      <w:r>
        <w:t xml:space="preserve">the working group set the following goal for improving NR for LTE in terms of both latency and forward compatibility </w:t>
      </w:r>
      <w:r>
        <w:fldChar w:fldCharType="begin"/>
      </w:r>
      <w:r>
        <w:instrText xml:space="preserve"> REF _Ref458548305 \r \h </w:instrText>
      </w:r>
      <w:r>
        <w:fldChar w:fldCharType="separate"/>
      </w:r>
      <w:r>
        <w:t>[1]</w:t>
      </w:r>
      <w:r>
        <w:fldChar w:fldCharType="end"/>
      </w:r>
      <w:r>
        <w:t>.</w:t>
      </w:r>
    </w:p>
    <w:p w14:paraId="1F10B62B" w14:textId="77777777" w:rsidR="00C340CA" w:rsidRPr="00A839CC" w:rsidRDefault="00C340CA" w:rsidP="00FB78F1">
      <w:pPr>
        <w:numPr>
          <w:ilvl w:val="0"/>
          <w:numId w:val="6"/>
        </w:numPr>
        <w:overflowPunct/>
        <w:autoSpaceDE/>
        <w:autoSpaceDN/>
        <w:adjustRightInd/>
        <w:spacing w:after="0"/>
        <w:textAlignment w:val="auto"/>
        <w:rPr>
          <w:rFonts w:eastAsia="MS Mincho"/>
          <w:lang w:eastAsia="ja-JP"/>
        </w:rPr>
      </w:pPr>
      <w:r w:rsidRPr="00A839CC">
        <w:rPr>
          <w:rFonts w:eastAsia="MS Mincho"/>
          <w:lang w:eastAsia="ja-JP"/>
        </w:rPr>
        <w:t>NR design should strive at least to enable the possibility for</w:t>
      </w:r>
    </w:p>
    <w:p w14:paraId="5F29559A" w14:textId="77777777" w:rsidR="00C340CA" w:rsidRPr="001B018D" w:rsidRDefault="00C340CA" w:rsidP="00FB78F1">
      <w:pPr>
        <w:numPr>
          <w:ilvl w:val="1"/>
          <w:numId w:val="6"/>
        </w:numPr>
        <w:overflowPunct/>
        <w:autoSpaceDE/>
        <w:autoSpaceDN/>
        <w:adjustRightInd/>
        <w:spacing w:after="0"/>
        <w:textAlignment w:val="auto"/>
        <w:rPr>
          <w:rFonts w:eastAsia="MS Mincho"/>
          <w:lang w:eastAsia="ja-JP"/>
        </w:rPr>
      </w:pPr>
      <w:r>
        <w:rPr>
          <w:rFonts w:eastAsia="MS Mincho" w:hint="eastAsia"/>
          <w:lang w:eastAsia="ja-JP"/>
        </w:rPr>
        <w:t>Corresponding acknowledgement</w:t>
      </w:r>
      <w:r>
        <w:rPr>
          <w:rFonts w:eastAsia="MS Mincho"/>
          <w:lang w:eastAsia="ja-JP"/>
        </w:rPr>
        <w:t xml:space="preserve"> </w:t>
      </w:r>
      <w:r>
        <w:rPr>
          <w:rFonts w:eastAsia="MS Mincho" w:hint="eastAsia"/>
          <w:lang w:eastAsia="ja-JP"/>
        </w:rPr>
        <w:t xml:space="preserve">reporting </w:t>
      </w:r>
      <w:r>
        <w:rPr>
          <w:rFonts w:eastAsia="MS Mincho"/>
          <w:lang w:eastAsia="ja-JP"/>
        </w:rPr>
        <w:t xml:space="preserve">shortly </w:t>
      </w:r>
      <w:r>
        <w:rPr>
          <w:rFonts w:eastAsia="MS Mincho" w:hint="eastAsia"/>
          <w:lang w:eastAsia="ja-JP"/>
        </w:rPr>
        <w:t>(</w:t>
      </w:r>
      <w:r>
        <w:rPr>
          <w:rFonts w:eastAsia="MS Mincho"/>
          <w:lang w:eastAsia="ja-JP"/>
        </w:rPr>
        <w:t xml:space="preserve">in the order of </w:t>
      </w:r>
      <w:r>
        <w:rPr>
          <w:rFonts w:eastAsia="MS Mincho" w:hint="eastAsia"/>
          <w:lang w:eastAsia="ja-JP"/>
        </w:rPr>
        <w:t>X</w:t>
      </w:r>
      <w:r>
        <w:rPr>
          <w:rFonts w:eastAsia="MS Mincho"/>
          <w:lang w:eastAsia="ja-JP"/>
        </w:rPr>
        <w:t xml:space="preserve"> µs</w:t>
      </w:r>
      <w:r>
        <w:rPr>
          <w:rFonts w:eastAsia="MS Mincho" w:hint="eastAsia"/>
          <w:lang w:eastAsia="ja-JP"/>
        </w:rPr>
        <w:t>)</w:t>
      </w:r>
      <w:r w:rsidRPr="00A839CC">
        <w:rPr>
          <w:rFonts w:eastAsia="MS Mincho"/>
          <w:lang w:eastAsia="ja-JP"/>
        </w:rPr>
        <w:t xml:space="preserve"> after the end of the </w:t>
      </w:r>
      <w:r>
        <w:rPr>
          <w:rFonts w:eastAsia="MS Mincho" w:hint="eastAsia"/>
          <w:lang w:eastAsia="ja-JP"/>
        </w:rPr>
        <w:t xml:space="preserve">DL </w:t>
      </w:r>
      <w:r w:rsidRPr="00A839CC">
        <w:rPr>
          <w:rFonts w:eastAsia="MS Mincho"/>
          <w:lang w:eastAsia="ja-JP"/>
        </w:rPr>
        <w:t>data transmission</w:t>
      </w:r>
    </w:p>
    <w:p w14:paraId="4FC5E7CF" w14:textId="77777777" w:rsidR="00C340CA" w:rsidRPr="00A114CC" w:rsidRDefault="00C340CA" w:rsidP="00FB78F1">
      <w:pPr>
        <w:numPr>
          <w:ilvl w:val="1"/>
          <w:numId w:val="6"/>
        </w:numPr>
        <w:overflowPunct/>
        <w:autoSpaceDE/>
        <w:autoSpaceDN/>
        <w:adjustRightInd/>
        <w:spacing w:after="0"/>
        <w:textAlignment w:val="auto"/>
        <w:rPr>
          <w:rFonts w:eastAsia="MS Mincho"/>
          <w:lang w:eastAsia="ja-JP"/>
        </w:rPr>
      </w:pPr>
      <w:r>
        <w:rPr>
          <w:rFonts w:eastAsia="MS Mincho" w:hint="eastAsia"/>
          <w:lang w:eastAsia="ja-JP"/>
        </w:rPr>
        <w:t>Corresponding u</w:t>
      </w:r>
      <w:r w:rsidRPr="00A839CC">
        <w:rPr>
          <w:rFonts w:eastAsia="MS Mincho"/>
          <w:lang w:eastAsia="ja-JP"/>
        </w:rPr>
        <w:t>plink data transmission sh</w:t>
      </w:r>
      <w:r>
        <w:rPr>
          <w:rFonts w:eastAsia="MS Mincho"/>
          <w:lang w:eastAsia="ja-JP"/>
        </w:rPr>
        <w:t xml:space="preserve">ortly (in the order of </w:t>
      </w:r>
      <w:r>
        <w:rPr>
          <w:rFonts w:eastAsia="MS Mincho" w:hint="eastAsia"/>
          <w:lang w:eastAsia="ja-JP"/>
        </w:rPr>
        <w:t>Y</w:t>
      </w:r>
      <w:r w:rsidRPr="00A839CC">
        <w:rPr>
          <w:rFonts w:eastAsia="MS Mincho"/>
          <w:lang w:eastAsia="ja-JP"/>
        </w:rPr>
        <w:t xml:space="preserve"> µs) after </w:t>
      </w:r>
      <w:r>
        <w:rPr>
          <w:rFonts w:eastAsia="MS Mincho"/>
          <w:lang w:eastAsia="ja-JP"/>
        </w:rPr>
        <w:t xml:space="preserve">reception of </w:t>
      </w:r>
      <w:r w:rsidRPr="00EE29E6">
        <w:rPr>
          <w:rFonts w:eastAsia="MS Mincho"/>
          <w:lang w:eastAsia="ja-JP"/>
        </w:rPr>
        <w:t>UL assignment</w:t>
      </w:r>
    </w:p>
    <w:p w14:paraId="765ADB7E" w14:textId="77777777" w:rsidR="00C340CA" w:rsidRDefault="00C340CA" w:rsidP="00FB78F1">
      <w:pPr>
        <w:numPr>
          <w:ilvl w:val="1"/>
          <w:numId w:val="6"/>
        </w:numPr>
        <w:overflowPunct/>
        <w:autoSpaceDE/>
        <w:autoSpaceDN/>
        <w:adjustRightInd/>
        <w:spacing w:after="0"/>
        <w:textAlignment w:val="auto"/>
        <w:rPr>
          <w:rFonts w:eastAsia="MS Mincho"/>
          <w:lang w:eastAsia="ja-JP"/>
        </w:rPr>
      </w:pPr>
      <w:r w:rsidRPr="00A839CC">
        <w:rPr>
          <w:rFonts w:eastAsia="MS Mincho"/>
          <w:lang w:eastAsia="ja-JP"/>
        </w:rPr>
        <w:t>Note</w:t>
      </w:r>
      <w:r>
        <w:rPr>
          <w:rFonts w:eastAsia="MS Mincho"/>
          <w:lang w:eastAsia="ja-JP"/>
        </w:rPr>
        <w:t>: may depend on e.g. UE ca</w:t>
      </w:r>
      <w:r>
        <w:rPr>
          <w:rFonts w:eastAsia="MS Mincho" w:hint="eastAsia"/>
          <w:lang w:eastAsia="ja-JP"/>
        </w:rPr>
        <w:t>pability/category</w:t>
      </w:r>
      <w:r w:rsidRPr="00A839CC">
        <w:rPr>
          <w:rFonts w:eastAsia="MS Mincho"/>
          <w:lang w:eastAsia="ja-JP"/>
        </w:rPr>
        <w:t xml:space="preserve">, payload size, </w:t>
      </w:r>
      <w:proofErr w:type="spellStart"/>
      <w:r w:rsidRPr="00A839CC">
        <w:rPr>
          <w:rFonts w:eastAsia="MS Mincho"/>
          <w:lang w:eastAsia="ja-JP"/>
        </w:rPr>
        <w:t>etc</w:t>
      </w:r>
      <w:proofErr w:type="spellEnd"/>
    </w:p>
    <w:p w14:paraId="16A3752D" w14:textId="77777777" w:rsidR="00C340CA" w:rsidRPr="00A114CC" w:rsidRDefault="00C340CA" w:rsidP="00FB78F1">
      <w:pPr>
        <w:numPr>
          <w:ilvl w:val="1"/>
          <w:numId w:val="6"/>
        </w:numPr>
        <w:overflowPunct/>
        <w:autoSpaceDE/>
        <w:autoSpaceDN/>
        <w:adjustRightInd/>
        <w:spacing w:after="0"/>
        <w:textAlignment w:val="auto"/>
        <w:rPr>
          <w:rFonts w:eastAsia="MS Mincho"/>
          <w:lang w:eastAsia="ja-JP"/>
        </w:rPr>
      </w:pPr>
      <w:r>
        <w:rPr>
          <w:rFonts w:eastAsia="MS Mincho" w:hint="eastAsia"/>
          <w:lang w:eastAsia="ja-JP"/>
        </w:rPr>
        <w:t xml:space="preserve">FFS: X and Y in the order of a few tens of or </w:t>
      </w:r>
      <w:r>
        <w:rPr>
          <w:rFonts w:eastAsia="MS Mincho"/>
          <w:lang w:eastAsia="ja-JP"/>
        </w:rPr>
        <w:t>hundreds</w:t>
      </w:r>
      <w:r>
        <w:rPr>
          <w:rFonts w:eastAsia="MS Mincho" w:hint="eastAsia"/>
          <w:lang w:eastAsia="ja-JP"/>
        </w:rPr>
        <w:t xml:space="preserve"> of micro </w:t>
      </w:r>
      <w:proofErr w:type="gramStart"/>
      <w:r>
        <w:rPr>
          <w:rFonts w:eastAsia="MS Mincho" w:hint="eastAsia"/>
          <w:lang w:eastAsia="ja-JP"/>
        </w:rPr>
        <w:t>sec</w:t>
      </w:r>
      <w:proofErr w:type="gramEnd"/>
      <w:r>
        <w:rPr>
          <w:rFonts w:eastAsia="MS Mincho" w:hint="eastAsia"/>
          <w:lang w:eastAsia="ja-JP"/>
        </w:rPr>
        <w:t xml:space="preserve"> is feasible</w:t>
      </w:r>
    </w:p>
    <w:p w14:paraId="17D2F154" w14:textId="77777777" w:rsidR="00C340CA" w:rsidRPr="00A839CC" w:rsidRDefault="00C340CA" w:rsidP="00FB78F1">
      <w:pPr>
        <w:numPr>
          <w:ilvl w:val="0"/>
          <w:numId w:val="6"/>
        </w:numPr>
        <w:overflowPunct/>
        <w:autoSpaceDE/>
        <w:autoSpaceDN/>
        <w:adjustRightInd/>
        <w:spacing w:after="0"/>
        <w:textAlignment w:val="auto"/>
        <w:rPr>
          <w:rFonts w:eastAsia="MS Mincho"/>
          <w:lang w:eastAsia="ja-JP"/>
        </w:rPr>
      </w:pPr>
      <w:r w:rsidRPr="00A839CC">
        <w:rPr>
          <w:rFonts w:eastAsia="MS Mincho"/>
          <w:lang w:eastAsia="ja-JP"/>
        </w:rPr>
        <w:t>Other mechanisms/configurations in addition to fast/sho</w:t>
      </w:r>
      <w:r>
        <w:rPr>
          <w:rFonts w:eastAsia="MS Mincho"/>
          <w:lang w:eastAsia="ja-JP"/>
        </w:rPr>
        <w:t xml:space="preserve">rt </w:t>
      </w:r>
      <w:r>
        <w:rPr>
          <w:rFonts w:eastAsia="MS Mincho" w:hint="eastAsia"/>
          <w:lang w:eastAsia="ja-JP"/>
        </w:rPr>
        <w:t xml:space="preserve">corresponding </w:t>
      </w:r>
      <w:r>
        <w:rPr>
          <w:rFonts w:eastAsia="MS Mincho"/>
          <w:lang w:eastAsia="ja-JP"/>
        </w:rPr>
        <w:t>acknowledgement</w:t>
      </w:r>
      <w:r w:rsidRPr="00A839CC">
        <w:rPr>
          <w:rFonts w:eastAsia="MS Mincho"/>
          <w:lang w:eastAsia="ja-JP"/>
        </w:rPr>
        <w:t xml:space="preserve"> are needed</w:t>
      </w:r>
    </w:p>
    <w:p w14:paraId="1280DCEA" w14:textId="77777777" w:rsidR="00C340CA" w:rsidRPr="00A839CC" w:rsidRDefault="00C340CA" w:rsidP="00FB78F1">
      <w:pPr>
        <w:numPr>
          <w:ilvl w:val="1"/>
          <w:numId w:val="6"/>
        </w:numPr>
        <w:overflowPunct/>
        <w:autoSpaceDE/>
        <w:autoSpaceDN/>
        <w:adjustRightInd/>
        <w:spacing w:after="0"/>
        <w:textAlignment w:val="auto"/>
        <w:rPr>
          <w:rFonts w:eastAsia="MS Mincho"/>
          <w:lang w:eastAsia="ja-JP"/>
        </w:rPr>
      </w:pPr>
      <w:r w:rsidRPr="00A839CC">
        <w:rPr>
          <w:rFonts w:eastAsia="MS Mincho"/>
          <w:lang w:eastAsia="ja-JP"/>
        </w:rPr>
        <w:t xml:space="preserve">For </w:t>
      </w:r>
      <w:proofErr w:type="gramStart"/>
      <w:r w:rsidRPr="00A839CC">
        <w:rPr>
          <w:rFonts w:eastAsia="MS Mincho"/>
          <w:lang w:eastAsia="ja-JP"/>
        </w:rPr>
        <w:t>example</w:t>
      </w:r>
      <w:proofErr w:type="gramEnd"/>
      <w:r w:rsidRPr="00A839CC">
        <w:rPr>
          <w:rFonts w:eastAsia="MS Mincho"/>
          <w:lang w:eastAsia="ja-JP"/>
        </w:rPr>
        <w:t xml:space="preserve"> to provide coverage or enable TD-LTE coexistence</w:t>
      </w:r>
    </w:p>
    <w:p w14:paraId="1A4D3C91" w14:textId="2ADBD00D" w:rsidR="00C340CA" w:rsidRPr="00C340CA" w:rsidRDefault="00C340CA" w:rsidP="00FB78F1">
      <w:pPr>
        <w:numPr>
          <w:ilvl w:val="0"/>
          <w:numId w:val="6"/>
        </w:numPr>
        <w:overflowPunct/>
        <w:autoSpaceDE/>
        <w:autoSpaceDN/>
        <w:adjustRightInd/>
        <w:spacing w:after="0"/>
        <w:textAlignment w:val="auto"/>
        <w:rPr>
          <w:rFonts w:eastAsia="MS Mincho"/>
          <w:lang w:eastAsia="ja-JP"/>
        </w:rPr>
      </w:pPr>
      <w:r w:rsidRPr="00A839CC">
        <w:rPr>
          <w:rFonts w:eastAsia="MS Mincho"/>
          <w:lang w:eastAsia="ja-JP"/>
        </w:rPr>
        <w:t>Note: RAN1 will continue investigations about UE complexity, implementation processing time, interleaving applicability</w:t>
      </w:r>
    </w:p>
    <w:p w14:paraId="5AC78F4B" w14:textId="77777777" w:rsidR="00A87AA7" w:rsidRDefault="00A87AA7" w:rsidP="0040609D"/>
    <w:p w14:paraId="58D5561E" w14:textId="1ECD479B" w:rsidR="0040609D" w:rsidRPr="00A87AA7" w:rsidRDefault="00A87AA7" w:rsidP="0040609D">
      <w:r>
        <w:t xml:space="preserve">In </w:t>
      </w:r>
      <w:r w:rsidRPr="006164DD">
        <w:t xml:space="preserve">RAN1 #86bis, </w:t>
      </w:r>
      <w:r>
        <w:t>a subsequent agreement refined this, at least in terms relative timing at the slot level</w:t>
      </w:r>
      <w:r w:rsidR="00403DC5">
        <w:t xml:space="preserve"> </w:t>
      </w:r>
      <w:r w:rsidR="00403DC5">
        <w:fldChar w:fldCharType="begin"/>
      </w:r>
      <w:r w:rsidR="00403DC5">
        <w:instrText xml:space="preserve"> REF _Ref481855311 \r \h </w:instrText>
      </w:r>
      <w:r w:rsidR="00403DC5">
        <w:fldChar w:fldCharType="separate"/>
      </w:r>
      <w:r w:rsidR="00403DC5">
        <w:t>[2]</w:t>
      </w:r>
      <w:r w:rsidR="00403DC5">
        <w:fldChar w:fldCharType="end"/>
      </w:r>
      <w:r w:rsidRPr="006164DD">
        <w:t>.</w:t>
      </w:r>
      <w:r>
        <w:t xml:space="preserve"> </w:t>
      </w:r>
      <w:r w:rsidR="005F5AE1">
        <w:rPr>
          <w:noProof/>
          <w:sz w:val="22"/>
        </w:rPr>
        <mc:AlternateContent>
          <mc:Choice Requires="wps">
            <w:drawing>
              <wp:anchor distT="0" distB="0" distL="114300" distR="114300" simplePos="0" relativeHeight="251663360" behindDoc="0" locked="0" layoutInCell="1" allowOverlap="1" wp14:anchorId="64CA6CE8" wp14:editId="68FFA713">
                <wp:simplePos x="0" y="0"/>
                <wp:positionH relativeFrom="margin">
                  <wp:align>left</wp:align>
                </wp:positionH>
                <wp:positionV relativeFrom="paragraph">
                  <wp:posOffset>232410</wp:posOffset>
                </wp:positionV>
                <wp:extent cx="6359237" cy="1136073"/>
                <wp:effectExtent l="0" t="0" r="22860" b="26035"/>
                <wp:wrapNone/>
                <wp:docPr id="3" name="Rounded Rectangle 3"/>
                <wp:cNvGraphicFramePr/>
                <a:graphic xmlns:a="http://schemas.openxmlformats.org/drawingml/2006/main">
                  <a:graphicData uri="http://schemas.microsoft.com/office/word/2010/wordprocessingShape">
                    <wps:wsp>
                      <wps:cNvSpPr/>
                      <wps:spPr>
                        <a:xfrm>
                          <a:off x="0" y="0"/>
                          <a:ext cx="6359237" cy="1136073"/>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6F19ED3B">
              <v:roundrect w14:anchorId="4C14F0A6" id="Rounded Rectangle 3" o:spid="_x0000_s1026" style="position:absolute;margin-left:0;margin-top:18.3pt;width:500.75pt;height:89.4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OajQIAAGsFAAAOAAAAZHJzL2Uyb0RvYy54bWysVMFu2zAMvQ/YPwi6r46TNm2DOEWQosOA&#10;oi3aDj2rspQYk0VNUuJkXz9Sdpysy2nYxRZF8pGPIjm92daGbZQPFdiC52cDzpSVUFZ2WfDvr3df&#10;rjgLUdhSGLCq4DsV+M3s86dp4yZqCCswpfIMQWyYNK7gqxjdJMuCXKlahDNwyqJSg69FRNEvs9KL&#10;BtFrkw0Hg3HWgC+dB6lCwNvbVslnCV9rJeOj1kFFZgqOucX09en7Tt9sNhWTpRduVckuDfEPWdSi&#10;shi0h7oVUbC1r/6CqivpIYCOZxLqDLSupEockE0++MDmZSWcSlywOMH1ZQr/D1Y+bJ48q8qCjziz&#10;osYneoa1LVXJnrF4wi6NYiMqU+PCBK1f3JPvpIBH4rzVvqY/smHbVNpdX1q1jUzi5Xh0cT0cXXIm&#10;UZfno/HgMqFmB3fnQ/yqoGZ0KLinNCiHVFexuQ8R46L93o5CWrirjEmPaCxdBDBVSXdJoC5SC+PZ&#10;RuD7x21ORBDiyAol8syIXksoneLOKIIw9llprA9SGKZEUmceMIWUysZxh5usyU1jBr1jfsrRxH0y&#10;nS25qdSxvePglOOfEXuPFBVs7J3ryoI/BVD+6CO39nv2LWei/w7lDtvCQzsvwcm7Ch/lXoT4JDwO&#10;CI4SDn18xI820BQcuhNnK/C/Tt2TPfYtajlrcOAKHn6uhVecmW8WO/o6Pz+nCU3C+cXlEAV/rHk/&#10;1th1vQB80xzXi5PpSPbR7I/aQ/2Gu2FOUVElrMTYBZfR74VFbBcBbhep5vNkhlPpRLy3L04SOFWV&#10;+u11+ya86zozYlM/wH44xeRDb7a25Glhvo6gq9S4h7p29caJTs3YbR9aGcdysjrsyNlvAAAA//8D&#10;AFBLAwQUAAYACAAAACEAhKgQSdwAAAAIAQAADwAAAGRycy9kb3ducmV2LnhtbEyPQUvDQBSE74L/&#10;YXmCN7ublgSJeSlSEK9abcHbJvtMQrNvw+62Tf31bk96HGaY+aZaz3YUJ/JhcIyQLRQI4taZgTuE&#10;z4+Xh0cQIWo2enRMCBcKsK5vbypdGnfmdzptYydSCYdSI/QxTqWUoe3J6rBwE3Hyvp23OibpO2m8&#10;PqdyO8qlUoW0euC00OuJNj21h+3RIuzV14/esGxe97v28Oa8b1YXj3h/Nz8/gYg0x78wXPETOtSJ&#10;qXFHNkGMCOlIRFgVBYirq1SWg2gQllmeg6wr+f9A/QsAAP//AwBQSwECLQAUAAYACAAAACEAtoM4&#10;kv4AAADhAQAAEwAAAAAAAAAAAAAAAAAAAAAAW0NvbnRlbnRfVHlwZXNdLnhtbFBLAQItABQABgAI&#10;AAAAIQA4/SH/1gAAAJQBAAALAAAAAAAAAAAAAAAAAC8BAABfcmVscy8ucmVsc1BLAQItABQABgAI&#10;AAAAIQBOFzOajQIAAGsFAAAOAAAAAAAAAAAAAAAAAC4CAABkcnMvZTJvRG9jLnhtbFBLAQItABQA&#10;BgAIAAAAIQCEqBBJ3AAAAAgBAAAPAAAAAAAAAAAAAAAAAOcEAABkcnMvZG93bnJldi54bWxQSwUG&#10;AAAAAAQABADzAAAA8AUAAAAA&#10;" filled="f" strokecolor="black [3213]" strokeweight="1pt">
                <v:stroke joinstyle="miter"/>
                <w10:wrap anchorx="margin"/>
              </v:roundrect>
            </w:pict>
          </mc:Fallback>
        </mc:AlternateContent>
      </w:r>
    </w:p>
    <w:p w14:paraId="16A98F4F" w14:textId="2461033A" w:rsidR="005F5AE1" w:rsidRDefault="005F5AE1" w:rsidP="00FB78F1">
      <w:pPr>
        <w:numPr>
          <w:ilvl w:val="0"/>
          <w:numId w:val="6"/>
        </w:numPr>
        <w:overflowPunct/>
        <w:autoSpaceDE/>
        <w:autoSpaceDN/>
        <w:adjustRightInd/>
        <w:spacing w:after="0"/>
        <w:textAlignment w:val="auto"/>
        <w:rPr>
          <w:lang w:eastAsia="ja-JP"/>
        </w:rPr>
      </w:pPr>
      <w:r>
        <w:t>For slot-based scheduling, NR specification should support the following</w:t>
      </w:r>
    </w:p>
    <w:p w14:paraId="01EB7FF4" w14:textId="5C85CB5B" w:rsidR="005F5AE1" w:rsidRDefault="005F5AE1" w:rsidP="00FB78F1">
      <w:pPr>
        <w:numPr>
          <w:ilvl w:val="1"/>
          <w:numId w:val="6"/>
        </w:numPr>
        <w:overflowPunct/>
        <w:autoSpaceDE/>
        <w:autoSpaceDN/>
        <w:adjustRightInd/>
        <w:spacing w:after="0"/>
        <w:textAlignment w:val="auto"/>
      </w:pPr>
      <w:r>
        <w:t>DL data reception in slot N and corresponding acknowledgment in slot N+K1</w:t>
      </w:r>
    </w:p>
    <w:p w14:paraId="4298543C" w14:textId="77777777" w:rsidR="005F5AE1" w:rsidRDefault="005F5AE1" w:rsidP="00FB78F1">
      <w:pPr>
        <w:numPr>
          <w:ilvl w:val="2"/>
          <w:numId w:val="6"/>
        </w:numPr>
        <w:overflowPunct/>
        <w:autoSpaceDE/>
        <w:autoSpaceDN/>
        <w:adjustRightInd/>
        <w:spacing w:after="0"/>
        <w:textAlignment w:val="auto"/>
      </w:pPr>
      <w:r>
        <w:t>All UEs should support K1≥1 with exact values for K1 FFS</w:t>
      </w:r>
    </w:p>
    <w:p w14:paraId="68E45C29" w14:textId="77777777" w:rsidR="005F5AE1" w:rsidRDefault="005F5AE1" w:rsidP="00FB78F1">
      <w:pPr>
        <w:numPr>
          <w:ilvl w:val="2"/>
          <w:numId w:val="6"/>
        </w:numPr>
        <w:overflowPunct/>
        <w:autoSpaceDE/>
        <w:autoSpaceDN/>
        <w:adjustRightInd/>
        <w:spacing w:after="0"/>
        <w:textAlignment w:val="auto"/>
      </w:pPr>
      <w:r>
        <w:t>Some UEs may support K1=0 (FFS conditions)</w:t>
      </w:r>
    </w:p>
    <w:p w14:paraId="1BB083FD" w14:textId="77777777" w:rsidR="005F5AE1" w:rsidRDefault="005F5AE1" w:rsidP="00FB78F1">
      <w:pPr>
        <w:numPr>
          <w:ilvl w:val="1"/>
          <w:numId w:val="6"/>
        </w:numPr>
        <w:overflowPunct/>
        <w:autoSpaceDE/>
        <w:autoSpaceDN/>
        <w:adjustRightInd/>
        <w:spacing w:after="0"/>
        <w:textAlignment w:val="auto"/>
      </w:pPr>
      <w:r>
        <w:t>UL assignment in slot N and corresponding uplink data transmission in slot N+K2</w:t>
      </w:r>
    </w:p>
    <w:p w14:paraId="5DC43462" w14:textId="77777777" w:rsidR="005F5AE1" w:rsidRDefault="005F5AE1" w:rsidP="00FB78F1">
      <w:pPr>
        <w:numPr>
          <w:ilvl w:val="2"/>
          <w:numId w:val="6"/>
        </w:numPr>
        <w:overflowPunct/>
        <w:autoSpaceDE/>
        <w:autoSpaceDN/>
        <w:adjustRightInd/>
        <w:spacing w:after="0"/>
        <w:textAlignment w:val="auto"/>
      </w:pPr>
      <w:r>
        <w:t>All UEs should support K2≥1 with exact values for K2 FFS</w:t>
      </w:r>
    </w:p>
    <w:p w14:paraId="4B1A8BA3" w14:textId="77777777" w:rsidR="005F5AE1" w:rsidRDefault="005F5AE1" w:rsidP="00FB78F1">
      <w:pPr>
        <w:numPr>
          <w:ilvl w:val="2"/>
          <w:numId w:val="6"/>
        </w:numPr>
        <w:overflowPunct/>
        <w:autoSpaceDE/>
        <w:autoSpaceDN/>
        <w:adjustRightInd/>
        <w:spacing w:after="0"/>
        <w:textAlignment w:val="auto"/>
      </w:pPr>
      <w:r>
        <w:t>Some UEs may support K2=0 (FFS conditions)</w:t>
      </w:r>
    </w:p>
    <w:p w14:paraId="270782A7" w14:textId="60A649C6" w:rsidR="005F5AE1" w:rsidRDefault="005F5AE1" w:rsidP="00017928">
      <w:pPr>
        <w:rPr>
          <w:sz w:val="22"/>
        </w:rPr>
      </w:pPr>
    </w:p>
    <w:p w14:paraId="57BAC511" w14:textId="51EA9DFF" w:rsidR="00E542C2" w:rsidRPr="006164DD" w:rsidRDefault="00E542C2" w:rsidP="00017928">
      <w:r w:rsidRPr="006164DD">
        <w:t xml:space="preserve">The following are some agreed-upon terminology </w:t>
      </w:r>
      <w:r w:rsidR="00E225EC">
        <w:t>to provide context above</w:t>
      </w:r>
      <w:r w:rsidRPr="006164DD">
        <w:t>:</w:t>
      </w:r>
    </w:p>
    <w:p w14:paraId="715D2456" w14:textId="70AFC604" w:rsidR="00E542C2" w:rsidRPr="006164DD" w:rsidRDefault="00E542C2" w:rsidP="00FB78F1">
      <w:pPr>
        <w:pStyle w:val="ListParagraph"/>
        <w:numPr>
          <w:ilvl w:val="0"/>
          <w:numId w:val="7"/>
        </w:numPr>
      </w:pPr>
      <w:r w:rsidRPr="006164DD">
        <w:t xml:space="preserve">K0: Delay between DL grant and </w:t>
      </w:r>
      <w:r w:rsidR="0047482E" w:rsidRPr="006164DD">
        <w:t xml:space="preserve">corresponding </w:t>
      </w:r>
      <w:r w:rsidRPr="006164DD">
        <w:t>DL data (PDSCH) reception</w:t>
      </w:r>
    </w:p>
    <w:p w14:paraId="697A83A8" w14:textId="41A229E9" w:rsidR="00A87AA7" w:rsidRDefault="00E542C2" w:rsidP="00FB78F1">
      <w:pPr>
        <w:pStyle w:val="ListParagraph"/>
        <w:numPr>
          <w:ilvl w:val="0"/>
          <w:numId w:val="7"/>
        </w:numPr>
      </w:pPr>
      <w:r w:rsidRPr="006164DD">
        <w:t xml:space="preserve">K1: Delay between DL data (PDSCH) reception and corresponding </w:t>
      </w:r>
      <w:r w:rsidR="00A87AA7">
        <w:t>ACK</w:t>
      </w:r>
      <w:r w:rsidRPr="006164DD">
        <w:t xml:space="preserve"> transmission on UL</w:t>
      </w:r>
    </w:p>
    <w:p w14:paraId="02425221" w14:textId="77777777" w:rsidR="00A87AA7" w:rsidRDefault="00E542C2" w:rsidP="00FB78F1">
      <w:pPr>
        <w:pStyle w:val="ListParagraph"/>
        <w:numPr>
          <w:ilvl w:val="0"/>
          <w:numId w:val="7"/>
        </w:numPr>
      </w:pPr>
      <w:r w:rsidRPr="006164DD">
        <w:t xml:space="preserve">K2: Delay between UL </w:t>
      </w:r>
      <w:r w:rsidR="0047482E" w:rsidRPr="006164DD">
        <w:t xml:space="preserve">grant </w:t>
      </w:r>
      <w:r w:rsidRPr="006164DD">
        <w:t>reception in DL and UL data (PUSCH) transmission</w:t>
      </w:r>
    </w:p>
    <w:p w14:paraId="4EF2C32E" w14:textId="3C9A7CEA" w:rsidR="00E542C2" w:rsidRDefault="00E542C2" w:rsidP="00FB78F1">
      <w:pPr>
        <w:pStyle w:val="ListParagraph"/>
        <w:numPr>
          <w:ilvl w:val="0"/>
          <w:numId w:val="7"/>
        </w:numPr>
      </w:pPr>
      <w:r w:rsidRPr="006164DD">
        <w:t xml:space="preserve">K3: Delay between ACK/NAK reception in UL and corresponding retransmission of data (PDSCH) </w:t>
      </w:r>
      <w:r w:rsidR="00695D23" w:rsidRPr="006164DD">
        <w:t xml:space="preserve">on </w:t>
      </w:r>
      <w:r w:rsidRPr="006164DD">
        <w:t>DL</w:t>
      </w:r>
    </w:p>
    <w:p w14:paraId="0DB6F5F3" w14:textId="77777777" w:rsidR="00A87AA7" w:rsidRDefault="00A87AA7" w:rsidP="00A87AA7">
      <w:pPr>
        <w:ind w:left="360"/>
      </w:pPr>
    </w:p>
    <w:p w14:paraId="18ADDC08" w14:textId="6829EBB4" w:rsidR="00E542C2" w:rsidRDefault="00A87AA7" w:rsidP="00A87AA7">
      <w:r>
        <w:t xml:space="preserve">In this contribution, we </w:t>
      </w:r>
      <w:r w:rsidR="00403DC5">
        <w:t>provide further discussion on the benefits of supporting short response time and</w:t>
      </w:r>
      <w:r w:rsidR="001D28C1">
        <w:t xml:space="preserve"> propose </w:t>
      </w:r>
      <w:r w:rsidR="00403DC5">
        <w:t xml:space="preserve">this as a requirement for Release 15 UEs so that NR can provide better </w:t>
      </w:r>
      <w:r w:rsidR="00BC01B6">
        <w:t>capabilities</w:t>
      </w:r>
      <w:r w:rsidR="00403DC5">
        <w:t xml:space="preserve"> </w:t>
      </w:r>
      <w:r w:rsidR="0091545D">
        <w:t>across</w:t>
      </w:r>
      <w:r w:rsidR="00BC01B6">
        <w:t xml:space="preserve"> initial</w:t>
      </w:r>
      <w:r w:rsidR="00403DC5">
        <w:t xml:space="preserve"> </w:t>
      </w:r>
      <w:r w:rsidR="0091545D">
        <w:t xml:space="preserve">and future </w:t>
      </w:r>
      <w:r w:rsidR="00403DC5">
        <w:t>deployment</w:t>
      </w:r>
      <w:r w:rsidR="00A147BB">
        <w:t>s</w:t>
      </w:r>
      <w:r w:rsidR="00403DC5">
        <w:t>.</w:t>
      </w:r>
    </w:p>
    <w:p w14:paraId="08794346" w14:textId="2A793CFD" w:rsidR="00AC4866" w:rsidRDefault="00AC4866" w:rsidP="00017928">
      <w:pPr>
        <w:rPr>
          <w:sz w:val="22"/>
        </w:rPr>
      </w:pPr>
    </w:p>
    <w:p w14:paraId="5E32D09D" w14:textId="5E79FA04" w:rsidR="00AC4866" w:rsidRDefault="00AC4866" w:rsidP="00AC4866">
      <w:pPr>
        <w:pStyle w:val="Heading1"/>
      </w:pPr>
      <w:r>
        <w:lastRenderedPageBreak/>
        <w:t>Introduction</w:t>
      </w:r>
    </w:p>
    <w:p w14:paraId="3B8E793A" w14:textId="022AEAA6" w:rsidR="00A71F75" w:rsidRDefault="00A87AA7" w:rsidP="00A87AA7">
      <w:r w:rsidRPr="006164DD">
        <w:t>In</w:t>
      </w:r>
      <w:r w:rsidR="00C21436">
        <w:t xml:space="preserve"> </w:t>
      </w:r>
      <w:r w:rsidR="00C21436">
        <w:fldChar w:fldCharType="begin"/>
      </w:r>
      <w:r w:rsidR="00C21436">
        <w:instrText xml:space="preserve"> REF _Ref481855604 \r \h </w:instrText>
      </w:r>
      <w:r w:rsidR="00C21436">
        <w:fldChar w:fldCharType="separate"/>
      </w:r>
      <w:r w:rsidR="00C21436">
        <w:t>[3]</w:t>
      </w:r>
      <w:r w:rsidR="00C21436">
        <w:fldChar w:fldCharType="end"/>
      </w:r>
      <w:r w:rsidR="00C21436">
        <w:fldChar w:fldCharType="begin"/>
      </w:r>
      <w:r w:rsidR="00C21436">
        <w:instrText xml:space="preserve"> REF _Ref458798945 \r \h </w:instrText>
      </w:r>
      <w:r w:rsidR="00C21436">
        <w:fldChar w:fldCharType="separate"/>
      </w:r>
      <w:r w:rsidR="00C21436">
        <w:t>[4]</w:t>
      </w:r>
      <w:r w:rsidR="00C21436">
        <w:fldChar w:fldCharType="end"/>
      </w:r>
      <w:r w:rsidRPr="006164DD">
        <w:t>, we provided inputs on the feasibility and need of</w:t>
      </w:r>
      <w:r w:rsidR="00A71F75">
        <w:t xml:space="preserve"> self-contained slot structure, illustrated in the </w:t>
      </w:r>
      <w:r w:rsidR="00C21436">
        <w:fldChar w:fldCharType="begin"/>
      </w:r>
      <w:r w:rsidR="00C21436">
        <w:instrText xml:space="preserve"> REF _Ref481855627 \h </w:instrText>
      </w:r>
      <w:r w:rsidR="00C21436">
        <w:fldChar w:fldCharType="separate"/>
      </w:r>
      <w:r w:rsidR="00C21436">
        <w:t xml:space="preserve">Figure </w:t>
      </w:r>
      <w:r w:rsidR="00C21436">
        <w:rPr>
          <w:noProof/>
        </w:rPr>
        <w:t>1</w:t>
      </w:r>
      <w:r w:rsidR="00C21436">
        <w:fldChar w:fldCharType="end"/>
      </w:r>
      <w:r w:rsidR="00C21436">
        <w:t xml:space="preserve"> </w:t>
      </w:r>
      <w:r w:rsidR="00A71F75">
        <w:t>below</w:t>
      </w:r>
      <w:r w:rsidR="00C21436">
        <w:t>. This</w:t>
      </w:r>
      <w:r w:rsidR="00A71F75">
        <w:t xml:space="preserve"> </w:t>
      </w:r>
      <w:r w:rsidR="00C21436">
        <w:t>feature</w:t>
      </w:r>
      <w:r w:rsidR="00A71F75">
        <w:t xml:space="preserve"> </w:t>
      </w:r>
      <w:r w:rsidR="00C21436">
        <w:t xml:space="preserve">is </w:t>
      </w:r>
      <w:r w:rsidR="00A71F75">
        <w:t>essentially defined by a response time which is specified in terms of OFDM symbols rather than time slots.</w:t>
      </w:r>
      <w:r w:rsidR="003066DC">
        <w:t xml:space="preserve"> Such response times could allow ACK response or data transmission to grants within the time allocated for even one slot, hence the term self-contained.</w:t>
      </w:r>
    </w:p>
    <w:p w14:paraId="3F2A2573" w14:textId="77777777" w:rsidR="00957E44" w:rsidRDefault="00957E44" w:rsidP="00A87AA7"/>
    <w:p w14:paraId="02EA81E3" w14:textId="77777777" w:rsidR="009331A7" w:rsidRDefault="009331A7" w:rsidP="009D05E0">
      <w:pPr>
        <w:keepNext/>
        <w:jc w:val="center"/>
      </w:pPr>
      <w:r w:rsidRPr="009331A7">
        <w:rPr>
          <w:noProof/>
        </w:rPr>
        <w:drawing>
          <wp:inline distT="0" distB="0" distL="0" distR="0" wp14:anchorId="76A1886E" wp14:editId="5515D05B">
            <wp:extent cx="6332220" cy="6115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stretch>
                      <a:fillRect/>
                    </a:stretch>
                  </pic:blipFill>
                  <pic:spPr>
                    <a:xfrm>
                      <a:off x="0" y="0"/>
                      <a:ext cx="6332220" cy="611505"/>
                    </a:xfrm>
                    <a:prstGeom prst="rect">
                      <a:avLst/>
                    </a:prstGeom>
                  </pic:spPr>
                </pic:pic>
              </a:graphicData>
            </a:graphic>
          </wp:inline>
        </w:drawing>
      </w:r>
    </w:p>
    <w:p w14:paraId="40E4315B" w14:textId="16E85333" w:rsidR="003066DC" w:rsidRDefault="009331A7" w:rsidP="009D05E0">
      <w:pPr>
        <w:pStyle w:val="Caption"/>
        <w:jc w:val="center"/>
      </w:pPr>
      <w:bookmarkStart w:id="0" w:name="_Ref481855627"/>
      <w:r>
        <w:t xml:space="preserve">Figure </w:t>
      </w:r>
      <w:fldSimple w:instr=" SEQ Figure \* ARABIC ">
        <w:r w:rsidR="00015A7E">
          <w:rPr>
            <w:noProof/>
          </w:rPr>
          <w:t>1</w:t>
        </w:r>
      </w:fldSimple>
      <w:bookmarkEnd w:id="0"/>
      <w:r>
        <w:t xml:space="preserve">. Self-contained </w:t>
      </w:r>
      <w:proofErr w:type="spellStart"/>
      <w:r>
        <w:t>subframe</w:t>
      </w:r>
      <w:proofErr w:type="spellEnd"/>
    </w:p>
    <w:p w14:paraId="1E7D3B28" w14:textId="77777777" w:rsidR="00C21436" w:rsidRDefault="00C21436" w:rsidP="00C21436"/>
    <w:p w14:paraId="641EABEC" w14:textId="78A249E6" w:rsidR="00C21436" w:rsidRDefault="00C21436" w:rsidP="00C21436">
      <w:r>
        <w:t xml:space="preserve">In </w:t>
      </w:r>
      <w:r w:rsidR="00026FED">
        <w:fldChar w:fldCharType="begin"/>
      </w:r>
      <w:r w:rsidR="00026FED">
        <w:instrText xml:space="preserve"> REF _Ref481855710 \r \h </w:instrText>
      </w:r>
      <w:r w:rsidR="00026FED">
        <w:fldChar w:fldCharType="separate"/>
      </w:r>
      <w:r w:rsidR="00026FED">
        <w:t>[5]</w:t>
      </w:r>
      <w:r w:rsidR="00026FED">
        <w:fldChar w:fldCharType="end"/>
      </w:r>
      <w:r w:rsidR="00026FED">
        <w:fldChar w:fldCharType="begin"/>
      </w:r>
      <w:r w:rsidR="00026FED">
        <w:instrText xml:space="preserve"> REF _Ref481855712 \r \h </w:instrText>
      </w:r>
      <w:r w:rsidR="00026FED">
        <w:fldChar w:fldCharType="separate"/>
      </w:r>
      <w:r w:rsidR="00026FED">
        <w:t>[6]</w:t>
      </w:r>
      <w:r w:rsidR="00026FED">
        <w:fldChar w:fldCharType="end"/>
      </w:r>
      <w:r w:rsidRPr="006164DD">
        <w:t xml:space="preserve">, analysis </w:t>
      </w:r>
      <w:r w:rsidR="00026FED">
        <w:t>wa</w:t>
      </w:r>
      <w:r w:rsidRPr="006164DD">
        <w:t>s provided to define the condition for a UE to support different K1 and K2.</w:t>
      </w:r>
      <w:r w:rsidR="006211E8">
        <w:t xml:space="preserve"> Based on current agreements and work progress in RAN1, such as front-loaded DMRS and considerations for channel design to enable pipelined decoding, and low-latency highly parallelizable LDPC code design, it becomes more feasible to support such a feature with acceptable overhead </w:t>
      </w:r>
      <w:r w:rsidR="00565E25">
        <w:t>for</w:t>
      </w:r>
      <w:r w:rsidR="006211E8">
        <w:t xml:space="preserve"> the processing gap. </w:t>
      </w:r>
    </w:p>
    <w:p w14:paraId="63A9C6A1" w14:textId="508B69A7" w:rsidR="00A87AA7" w:rsidRPr="006164DD" w:rsidRDefault="006211E8" w:rsidP="00A87AA7">
      <w:r>
        <w:t xml:space="preserve">In this paper, we discuss the benefits of self-contained design and the significance of having this uniformly supported in some form in Release 15. </w:t>
      </w:r>
      <w:r w:rsidR="00DE221F">
        <w:t>The key benefits of focus here are summarized below</w:t>
      </w:r>
      <w:r w:rsidR="00A87AA7" w:rsidRPr="006164DD">
        <w:t>:</w:t>
      </w:r>
    </w:p>
    <w:p w14:paraId="0335F3CC" w14:textId="77777777" w:rsidR="00A87AA7" w:rsidRPr="006164DD" w:rsidRDefault="00A87AA7" w:rsidP="00FB78F1">
      <w:pPr>
        <w:numPr>
          <w:ilvl w:val="1"/>
          <w:numId w:val="5"/>
        </w:numPr>
      </w:pPr>
      <w:r w:rsidRPr="006164DD">
        <w:t>Forward compatibility</w:t>
      </w:r>
    </w:p>
    <w:p w14:paraId="47D67C67" w14:textId="77777777" w:rsidR="00A87AA7" w:rsidRPr="006164DD" w:rsidRDefault="00A87AA7" w:rsidP="00FB78F1">
      <w:pPr>
        <w:numPr>
          <w:ilvl w:val="1"/>
          <w:numId w:val="5"/>
        </w:numPr>
      </w:pPr>
      <w:r w:rsidRPr="006164DD">
        <w:t>Low complexity high throughput support</w:t>
      </w:r>
    </w:p>
    <w:p w14:paraId="42274389" w14:textId="490D29D2" w:rsidR="004E3D87" w:rsidRPr="006164DD" w:rsidRDefault="004E3D87" w:rsidP="00FB78F1">
      <w:pPr>
        <w:numPr>
          <w:ilvl w:val="1"/>
          <w:numId w:val="5"/>
        </w:numPr>
      </w:pPr>
      <w:r w:rsidRPr="006164DD">
        <w:t>Dynamic TDD</w:t>
      </w:r>
    </w:p>
    <w:p w14:paraId="69946B44" w14:textId="22BCBBAA" w:rsidR="00A87AA7" w:rsidRPr="006164DD" w:rsidRDefault="009226E3" w:rsidP="00FB78F1">
      <w:pPr>
        <w:numPr>
          <w:ilvl w:val="1"/>
          <w:numId w:val="5"/>
        </w:numPr>
      </w:pPr>
      <w:r>
        <w:t>Applications for link-budget limited UEs</w:t>
      </w:r>
    </w:p>
    <w:p w14:paraId="2D88B3E4" w14:textId="77777777" w:rsidR="00A87AA7" w:rsidRPr="006164DD" w:rsidRDefault="00A87AA7" w:rsidP="00FB78F1">
      <w:pPr>
        <w:numPr>
          <w:ilvl w:val="1"/>
          <w:numId w:val="5"/>
        </w:numPr>
      </w:pPr>
      <w:r w:rsidRPr="006164DD">
        <w:t>NR over unlicensed band</w:t>
      </w:r>
    </w:p>
    <w:p w14:paraId="02957EEE" w14:textId="28727887" w:rsidR="00971F44" w:rsidRDefault="00971F44" w:rsidP="009A65DB">
      <w:pPr>
        <w:pStyle w:val="Heading1"/>
      </w:pPr>
      <w:r>
        <w:t xml:space="preserve">Deployment </w:t>
      </w:r>
      <w:r w:rsidR="0081036B">
        <w:t>a</w:t>
      </w:r>
      <w:r>
        <w:t xml:space="preserve">dvantages from </w:t>
      </w:r>
      <w:r w:rsidR="0081036B">
        <w:t>f</w:t>
      </w:r>
      <w:r>
        <w:t>ast</w:t>
      </w:r>
      <w:r w:rsidR="0081036B">
        <w:t>er</w:t>
      </w:r>
      <w:r>
        <w:t xml:space="preserve"> UE </w:t>
      </w:r>
      <w:r w:rsidR="0081036B">
        <w:t>p</w:t>
      </w:r>
      <w:r>
        <w:t>rocessing</w:t>
      </w:r>
    </w:p>
    <w:p w14:paraId="30E51E77" w14:textId="5D222941" w:rsidR="004653F0" w:rsidRDefault="009A65DB" w:rsidP="0081036B">
      <w:pPr>
        <w:pStyle w:val="Heading2"/>
      </w:pPr>
      <w:r>
        <w:t>Forward compatibility</w:t>
      </w:r>
    </w:p>
    <w:p w14:paraId="5EAA7EE7" w14:textId="6A04979A" w:rsidR="00CE52E0" w:rsidRDefault="00D234B2" w:rsidP="00CE52E0">
      <w:pPr>
        <w:rPr>
          <w:lang w:val="en-GB"/>
        </w:rPr>
      </w:pPr>
      <w:r>
        <w:rPr>
          <w:lang w:val="en-GB"/>
        </w:rPr>
        <w:t xml:space="preserve">One important </w:t>
      </w:r>
      <w:r w:rsidR="00480618">
        <w:rPr>
          <w:lang w:val="en-GB"/>
        </w:rPr>
        <w:t>requirement for NR</w:t>
      </w:r>
      <w:r>
        <w:rPr>
          <w:lang w:val="en-GB"/>
        </w:rPr>
        <w:t xml:space="preserve"> which was concluded in the Rel-14 SI was to support forward compatibility, i.e.,  </w:t>
      </w:r>
    </w:p>
    <w:p w14:paraId="4F991467" w14:textId="77777777" w:rsidR="007E58B9" w:rsidRPr="00D234B2" w:rsidRDefault="007E58B9" w:rsidP="00FB78F1">
      <w:pPr>
        <w:numPr>
          <w:ilvl w:val="0"/>
          <w:numId w:val="8"/>
        </w:numPr>
      </w:pPr>
      <w:r w:rsidRPr="00D234B2">
        <w:rPr>
          <w:lang w:val="en-GB"/>
        </w:rPr>
        <w:t xml:space="preserve">Forward compatibility of NR shall ensure smooth introduction of future services and features while efficient access of the earlier services and UEs in the same spectrum is still ensured. </w:t>
      </w:r>
    </w:p>
    <w:p w14:paraId="3EB08684" w14:textId="77777777" w:rsidR="007E58B9" w:rsidRPr="00D234B2" w:rsidRDefault="007E58B9" w:rsidP="00FB78F1">
      <w:pPr>
        <w:numPr>
          <w:ilvl w:val="0"/>
          <w:numId w:val="8"/>
        </w:numPr>
      </w:pPr>
      <w:r w:rsidRPr="00D234B2">
        <w:t xml:space="preserve">In order to ensure </w:t>
      </w:r>
      <w:r w:rsidRPr="00D234B2">
        <w:rPr>
          <w:lang w:val="en-GB"/>
        </w:rPr>
        <w:t xml:space="preserve">forward compatibility of NR, </w:t>
      </w:r>
      <w:r w:rsidRPr="00D234B2">
        <w:t xml:space="preserve">explicit signaling to NR UEs can indicate reserved resources. </w:t>
      </w:r>
      <w:r w:rsidRPr="00D234B2">
        <w:rPr>
          <w:lang w:val="en-GB"/>
        </w:rPr>
        <w:t xml:space="preserve">At least some reserved resources are indicated by using at least RRC </w:t>
      </w:r>
      <w:proofErr w:type="spellStart"/>
      <w:r w:rsidRPr="00D234B2">
        <w:rPr>
          <w:lang w:val="en-GB"/>
        </w:rPr>
        <w:t>signaling</w:t>
      </w:r>
      <w:proofErr w:type="spellEnd"/>
      <w:r w:rsidRPr="00D234B2">
        <w:rPr>
          <w:lang w:val="en-GB"/>
        </w:rPr>
        <w:t>.</w:t>
      </w:r>
    </w:p>
    <w:p w14:paraId="4BC2ACC1" w14:textId="77777777" w:rsidR="00D45D51" w:rsidRDefault="00480618" w:rsidP="00CE52E0">
      <w:pPr>
        <w:rPr>
          <w:lang w:val="en-GB"/>
        </w:rPr>
      </w:pPr>
      <w:r>
        <w:rPr>
          <w:lang w:val="en-GB"/>
        </w:rPr>
        <w:t>Among the consequences of this guidance are support for dynamic scheduling and HARQ timing requirements, removal of always-ON signals such as LTE-CRS and further reduction of other signals such as increased synchronization signal periodicity to 20ms</w:t>
      </w:r>
      <w:r w:rsidR="00140F7A">
        <w:rPr>
          <w:lang w:val="en-GB"/>
        </w:rPr>
        <w:t xml:space="preserve">, introduction of scalable slots and scalable subcarrier </w:t>
      </w:r>
      <w:proofErr w:type="spellStart"/>
      <w:r w:rsidR="00140F7A">
        <w:rPr>
          <w:lang w:val="en-GB"/>
        </w:rPr>
        <w:t>spacings</w:t>
      </w:r>
      <w:proofErr w:type="spellEnd"/>
      <w:r w:rsidR="00140F7A">
        <w:rPr>
          <w:lang w:val="en-GB"/>
        </w:rPr>
        <w:t xml:space="preserve"> </w:t>
      </w:r>
      <w:r w:rsidR="004A5D78">
        <w:rPr>
          <w:lang w:val="en-GB"/>
        </w:rPr>
        <w:t>with</w:t>
      </w:r>
      <w:r w:rsidR="00140F7A">
        <w:rPr>
          <w:lang w:val="en-GB"/>
        </w:rPr>
        <w:t xml:space="preserve"> allowance for multiplexing these in the same component carrier</w:t>
      </w:r>
      <w:r>
        <w:rPr>
          <w:lang w:val="en-GB"/>
        </w:rPr>
        <w:t xml:space="preserve">. </w:t>
      </w:r>
    </w:p>
    <w:p w14:paraId="2EB7F454" w14:textId="0C6CFA15" w:rsidR="00480618" w:rsidRPr="00D45D51" w:rsidRDefault="001F662A" w:rsidP="00CE52E0">
      <w:pPr>
        <w:rPr>
          <w:i/>
          <w:lang w:val="en-GB"/>
        </w:rPr>
      </w:pPr>
      <w:r w:rsidRPr="00D45D51">
        <w:rPr>
          <w:i/>
          <w:lang w:val="en-GB"/>
        </w:rPr>
        <w:t>However, it is important to note a reduced footprint from these decisions is not necessarily guaranteed if the general timing requirements are not tightened up sufficiently.</w:t>
      </w:r>
    </w:p>
    <w:p w14:paraId="3A1B68D1" w14:textId="450E7F40" w:rsidR="00CF617D" w:rsidRDefault="00CF617D" w:rsidP="00CE52E0">
      <w:pPr>
        <w:rPr>
          <w:lang w:val="en-GB"/>
        </w:rPr>
      </w:pPr>
      <w:r>
        <w:rPr>
          <w:lang w:val="en-GB"/>
        </w:rPr>
        <w:t xml:space="preserve">Let us start with an example in </w:t>
      </w:r>
      <w:r>
        <w:rPr>
          <w:lang w:val="en-GB"/>
        </w:rPr>
        <w:fldChar w:fldCharType="begin"/>
      </w:r>
      <w:r>
        <w:rPr>
          <w:lang w:val="en-GB"/>
        </w:rPr>
        <w:instrText xml:space="preserve"> REF _Ref481856684 \h </w:instrText>
      </w:r>
      <w:r>
        <w:rPr>
          <w:lang w:val="en-GB"/>
        </w:rPr>
      </w:r>
      <w:r>
        <w:rPr>
          <w:lang w:val="en-GB"/>
        </w:rPr>
        <w:fldChar w:fldCharType="separate"/>
      </w:r>
      <w:r>
        <w:t xml:space="preserve">Figure </w:t>
      </w:r>
      <w:r>
        <w:rPr>
          <w:noProof/>
        </w:rPr>
        <w:t>2</w:t>
      </w:r>
      <w:r>
        <w:rPr>
          <w:lang w:val="en-GB"/>
        </w:rPr>
        <w:fldChar w:fldCharType="end"/>
      </w:r>
      <w:r>
        <w:rPr>
          <w:lang w:val="en-GB"/>
        </w:rPr>
        <w:t xml:space="preserve">. Here we see that the relaxed HARQ timing from LTE contributed to the larger span need for each HARQ process. Transmissions and their acknowledgements, or grants and the subsequent uplink scheduled transmissions, constrain the resources such that the scheduler must avoid a distributed footprint over time with a </w:t>
      </w:r>
      <w:r>
        <w:rPr>
          <w:lang w:val="en-GB"/>
        </w:rPr>
        <w:lastRenderedPageBreak/>
        <w:t>fine timing accuracy so as not to disturb the on-going HARQ process. In contrast, for a 5G NR self-contained system, we can see that the resources for the forward compatible slots are much more flexible, since transactions complete immediately and give way to full resource utilization by other services in all subsequent times.</w:t>
      </w:r>
    </w:p>
    <w:p w14:paraId="008F3730" w14:textId="77777777" w:rsidR="00CF617D" w:rsidRDefault="00CF617D" w:rsidP="00E82E6D">
      <w:pPr>
        <w:keepNext/>
        <w:jc w:val="center"/>
      </w:pPr>
      <w:r>
        <w:rPr>
          <w:noProof/>
        </w:rPr>
        <w:drawing>
          <wp:inline distT="0" distB="0" distL="0" distR="0" wp14:anchorId="3ECC11A7" wp14:editId="2166AAA9">
            <wp:extent cx="4671060" cy="19715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156" cy="1979170"/>
                    </a:xfrm>
                    <a:prstGeom prst="rect">
                      <a:avLst/>
                    </a:prstGeom>
                    <a:noFill/>
                  </pic:spPr>
                </pic:pic>
              </a:graphicData>
            </a:graphic>
          </wp:inline>
        </w:drawing>
      </w:r>
    </w:p>
    <w:p w14:paraId="795F0771" w14:textId="6DF13690" w:rsidR="00CF617D" w:rsidRDefault="00CF617D" w:rsidP="00E82E6D">
      <w:pPr>
        <w:pStyle w:val="Caption"/>
        <w:jc w:val="center"/>
      </w:pPr>
      <w:bookmarkStart w:id="1" w:name="_Ref481856684"/>
      <w:r>
        <w:t xml:space="preserve">Figure </w:t>
      </w:r>
      <w:fldSimple w:instr=" SEQ Figure \* ARABIC ">
        <w:r w:rsidR="00015A7E">
          <w:rPr>
            <w:noProof/>
          </w:rPr>
          <w:t>2</w:t>
        </w:r>
      </w:fldSimple>
      <w:bookmarkEnd w:id="1"/>
      <w:r>
        <w:t>. Comparison of forward compatible resources</w:t>
      </w:r>
      <w:r w:rsidR="00E82E6D">
        <w:t xml:space="preserve"> between LTE and NR</w:t>
      </w:r>
    </w:p>
    <w:p w14:paraId="2A3F7495" w14:textId="1FAC3C54" w:rsidR="00CF617D" w:rsidRDefault="00CF617D" w:rsidP="00CF617D"/>
    <w:p w14:paraId="2D9325E1" w14:textId="63210CF2" w:rsidR="00CF617D" w:rsidRDefault="00CF617D" w:rsidP="00CF617D">
      <w:r>
        <w:t xml:space="preserve">To better illustrate the </w:t>
      </w:r>
      <w:r w:rsidR="00244F6B">
        <w:t>loss in flexibility</w:t>
      </w:r>
      <w:r>
        <w:t xml:space="preserve"> here, a comparison between the resources reserved </w:t>
      </w:r>
      <w:r w:rsidR="00244F6B">
        <w:t>around</w:t>
      </w:r>
      <w:r>
        <w:t xml:space="preserve"> a given example transaction </w:t>
      </w:r>
      <w:r w:rsidR="00244F6B">
        <w:t>are</w:t>
      </w:r>
      <w:r>
        <w:t xml:space="preserve"> shown in </w:t>
      </w:r>
      <w:r w:rsidR="00244F6B">
        <w:fldChar w:fldCharType="begin"/>
      </w:r>
      <w:r w:rsidR="00244F6B">
        <w:instrText xml:space="preserve"> REF _Ref481857190 \h </w:instrText>
      </w:r>
      <w:r w:rsidR="00244F6B">
        <w:fldChar w:fldCharType="separate"/>
      </w:r>
      <w:r w:rsidR="00244F6B">
        <w:t xml:space="preserve">Figure </w:t>
      </w:r>
      <w:r w:rsidR="00244F6B">
        <w:rPr>
          <w:noProof/>
        </w:rPr>
        <w:t>3</w:t>
      </w:r>
      <w:r w:rsidR="00244F6B">
        <w:fldChar w:fldCharType="end"/>
      </w:r>
      <w:r w:rsidR="00244F6B">
        <w:t xml:space="preserve"> for self-contained </w:t>
      </w:r>
      <w:proofErr w:type="spellStart"/>
      <w:r w:rsidR="00244F6B">
        <w:t>subframes</w:t>
      </w:r>
      <w:proofErr w:type="spellEnd"/>
      <w:r w:rsidR="00244F6B">
        <w:t xml:space="preserve"> (SCSF) and non-self-contained </w:t>
      </w:r>
      <w:proofErr w:type="spellStart"/>
      <w:r w:rsidR="00244F6B">
        <w:t>subframes</w:t>
      </w:r>
      <w:proofErr w:type="spellEnd"/>
      <w:r w:rsidR="00244F6B">
        <w:t xml:space="preserve"> (</w:t>
      </w:r>
      <w:proofErr w:type="spellStart"/>
      <w:r w:rsidR="00BB1598">
        <w:t>nSCSF</w:t>
      </w:r>
      <w:proofErr w:type="spellEnd"/>
      <w:r w:rsidR="00BB1598">
        <w:t xml:space="preserve">), both with respect to a </w:t>
      </w:r>
      <w:r w:rsidR="00244F6B">
        <w:t>downlink and uplink transaction</w:t>
      </w:r>
      <w:r>
        <w:t>.</w:t>
      </w:r>
      <w:r w:rsidR="00244F6B">
        <w:t xml:space="preserve"> Here it is more obvious that the future service in the </w:t>
      </w:r>
      <w:proofErr w:type="spellStart"/>
      <w:r w:rsidR="00244F6B">
        <w:t>nSCSF</w:t>
      </w:r>
      <w:proofErr w:type="spellEnd"/>
      <w:r w:rsidR="00244F6B">
        <w:t xml:space="preserve"> case needs to be pre-empted intermittently to allow the </w:t>
      </w:r>
      <w:proofErr w:type="spellStart"/>
      <w:r w:rsidR="00244F6B">
        <w:t>nSCSF</w:t>
      </w:r>
      <w:proofErr w:type="spellEnd"/>
      <w:r w:rsidR="00244F6B">
        <w:t xml:space="preserve"> process to complete, while the SCSF case allows a contiguous use of resources after the transactions are completed.</w:t>
      </w:r>
    </w:p>
    <w:p w14:paraId="2A5681A6" w14:textId="77777777" w:rsidR="00E82E6D" w:rsidRDefault="00E82E6D" w:rsidP="00971F44">
      <w:pPr>
        <w:keepNext/>
        <w:jc w:val="center"/>
      </w:pPr>
      <w:r>
        <w:rPr>
          <w:noProof/>
        </w:rPr>
        <w:drawing>
          <wp:inline distT="0" distB="0" distL="0" distR="0" wp14:anchorId="1A5CEDCF" wp14:editId="4326C847">
            <wp:extent cx="6086475" cy="15314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48135" cy="1546965"/>
                    </a:xfrm>
                    <a:prstGeom prst="rect">
                      <a:avLst/>
                    </a:prstGeom>
                    <a:noFill/>
                  </pic:spPr>
                </pic:pic>
              </a:graphicData>
            </a:graphic>
          </wp:inline>
        </w:drawing>
      </w:r>
    </w:p>
    <w:p w14:paraId="5A1D4604" w14:textId="0F77F958" w:rsidR="00CF617D" w:rsidRDefault="00E82E6D" w:rsidP="00971F44">
      <w:pPr>
        <w:pStyle w:val="Caption"/>
        <w:jc w:val="center"/>
        <w:rPr>
          <w:noProof/>
        </w:rPr>
      </w:pPr>
      <w:bookmarkStart w:id="2" w:name="_Ref481857190"/>
      <w:r>
        <w:t xml:space="preserve">Figure </w:t>
      </w:r>
      <w:fldSimple w:instr=" SEQ Figure \* ARABIC ">
        <w:r w:rsidR="00015A7E">
          <w:rPr>
            <w:noProof/>
          </w:rPr>
          <w:t>3</w:t>
        </w:r>
      </w:fldSimple>
      <w:bookmarkEnd w:id="2"/>
      <w:r>
        <w:t xml:space="preserve">. Comparison of forward compatible resources between SCSF and </w:t>
      </w:r>
      <w:proofErr w:type="spellStart"/>
      <w:r>
        <w:t>nSCSF</w:t>
      </w:r>
      <w:proofErr w:type="spellEnd"/>
      <w:r>
        <w:rPr>
          <w:noProof/>
        </w:rPr>
        <w:t xml:space="preserve"> in NR</w:t>
      </w:r>
    </w:p>
    <w:p w14:paraId="55816F96" w14:textId="751D4945" w:rsidR="00971F44" w:rsidRDefault="00971F44" w:rsidP="00DA4E82">
      <w:pPr>
        <w:pStyle w:val="Heading2"/>
      </w:pPr>
      <w:r>
        <w:t>Low latency and high throughput</w:t>
      </w:r>
    </w:p>
    <w:p w14:paraId="7E135B6C" w14:textId="0FB97FE4" w:rsidR="0089482C" w:rsidRDefault="00FE7D2A" w:rsidP="008955D7">
      <w:pPr>
        <w:rPr>
          <w:lang w:val="en-GB"/>
        </w:rPr>
      </w:pPr>
      <w:r>
        <w:rPr>
          <w:lang w:val="en-GB"/>
        </w:rPr>
        <w:t xml:space="preserve">Although </w:t>
      </w:r>
      <w:r w:rsidR="00C86345">
        <w:rPr>
          <w:lang w:val="en-GB"/>
        </w:rPr>
        <w:t xml:space="preserve">NR targets </w:t>
      </w:r>
      <w:r>
        <w:rPr>
          <w:lang w:val="en-GB"/>
        </w:rPr>
        <w:t xml:space="preserve">very high throughput, such as 20Gbps stated in </w:t>
      </w:r>
      <w:r w:rsidR="00C86345">
        <w:rPr>
          <w:lang w:val="en-GB"/>
        </w:rPr>
        <w:fldChar w:fldCharType="begin"/>
      </w:r>
      <w:r w:rsidR="00C86345">
        <w:rPr>
          <w:lang w:val="en-GB"/>
        </w:rPr>
        <w:instrText xml:space="preserve"> REF _Ref481857960 \r \h </w:instrText>
      </w:r>
      <w:r w:rsidR="00C86345">
        <w:rPr>
          <w:lang w:val="en-GB"/>
        </w:rPr>
      </w:r>
      <w:r w:rsidR="00C86345">
        <w:rPr>
          <w:lang w:val="en-GB"/>
        </w:rPr>
        <w:fldChar w:fldCharType="separate"/>
      </w:r>
      <w:r w:rsidR="00C86345">
        <w:rPr>
          <w:lang w:val="en-GB"/>
        </w:rPr>
        <w:t>[8]</w:t>
      </w:r>
      <w:r w:rsidR="00C86345">
        <w:rPr>
          <w:lang w:val="en-GB"/>
        </w:rPr>
        <w:fldChar w:fldCharType="end"/>
      </w:r>
      <w:r w:rsidR="00C86345">
        <w:rPr>
          <w:lang w:val="en-GB"/>
        </w:rPr>
        <w:t xml:space="preserve">, providing such </w:t>
      </w:r>
      <w:r w:rsidR="00996FB0">
        <w:rPr>
          <w:lang w:val="en-GB"/>
        </w:rPr>
        <w:t xml:space="preserve">a </w:t>
      </w:r>
      <w:r w:rsidR="00C86345">
        <w:rPr>
          <w:lang w:val="en-GB"/>
        </w:rPr>
        <w:t>capabilit</w:t>
      </w:r>
      <w:r w:rsidR="00996FB0">
        <w:rPr>
          <w:lang w:val="en-GB"/>
        </w:rPr>
        <w:t>y</w:t>
      </w:r>
      <w:r w:rsidR="00C86345">
        <w:rPr>
          <w:lang w:val="en-GB"/>
        </w:rPr>
        <w:t xml:space="preserve"> much less useful if the corresponding round-trip-time is not reduced. For illustration, let us consider again a comparison between LTE and NR in </w:t>
      </w:r>
      <w:r w:rsidR="00C86345">
        <w:rPr>
          <w:lang w:val="en-GB"/>
        </w:rPr>
        <w:fldChar w:fldCharType="begin"/>
      </w:r>
      <w:r w:rsidR="00C86345">
        <w:rPr>
          <w:lang w:val="en-GB"/>
        </w:rPr>
        <w:instrText xml:space="preserve"> REF _Ref481858166 \h </w:instrText>
      </w:r>
      <w:r w:rsidR="00C86345">
        <w:rPr>
          <w:lang w:val="en-GB"/>
        </w:rPr>
      </w:r>
      <w:r w:rsidR="00C86345">
        <w:rPr>
          <w:lang w:val="en-GB"/>
        </w:rPr>
        <w:fldChar w:fldCharType="separate"/>
      </w:r>
      <w:r w:rsidR="00C86345">
        <w:t xml:space="preserve">Figure </w:t>
      </w:r>
      <w:r w:rsidR="00C86345">
        <w:rPr>
          <w:noProof/>
        </w:rPr>
        <w:t>4</w:t>
      </w:r>
      <w:r w:rsidR="00C86345">
        <w:rPr>
          <w:lang w:val="en-GB"/>
        </w:rPr>
        <w:fldChar w:fldCharType="end"/>
      </w:r>
      <w:r w:rsidR="00FF3FB4">
        <w:rPr>
          <w:lang w:val="en-GB"/>
        </w:rPr>
        <w:t>. Although both techniques can advertise multi-</w:t>
      </w:r>
      <w:proofErr w:type="spellStart"/>
      <w:r w:rsidR="00FF3FB4">
        <w:rPr>
          <w:lang w:val="en-GB"/>
        </w:rPr>
        <w:t>Gbps</w:t>
      </w:r>
      <w:proofErr w:type="spellEnd"/>
      <w:r w:rsidR="00FF3FB4">
        <w:rPr>
          <w:lang w:val="en-GB"/>
        </w:rPr>
        <w:t xml:space="preserve"> throughput capability, we can see that NR with scalable numerology and SCSF can potentially provide such throughputs (and higher) at 1/10 the RTT. </w:t>
      </w:r>
    </w:p>
    <w:p w14:paraId="27757102" w14:textId="77777777" w:rsidR="00C86345" w:rsidRDefault="00C86345" w:rsidP="00FF3FB4">
      <w:pPr>
        <w:keepNext/>
        <w:jc w:val="center"/>
      </w:pPr>
      <w:r>
        <w:rPr>
          <w:noProof/>
        </w:rPr>
        <w:lastRenderedPageBreak/>
        <w:drawing>
          <wp:inline distT="0" distB="0" distL="0" distR="0" wp14:anchorId="4BC5167D" wp14:editId="0B29FBF1">
            <wp:extent cx="3425588" cy="197703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9368" cy="1984992"/>
                    </a:xfrm>
                    <a:prstGeom prst="rect">
                      <a:avLst/>
                    </a:prstGeom>
                    <a:noFill/>
                  </pic:spPr>
                </pic:pic>
              </a:graphicData>
            </a:graphic>
          </wp:inline>
        </w:drawing>
      </w:r>
    </w:p>
    <w:p w14:paraId="2277C8A0" w14:textId="13B4E14C" w:rsidR="00FF3FB4" w:rsidRDefault="00C86345" w:rsidP="007D6CA0">
      <w:pPr>
        <w:pStyle w:val="Caption"/>
        <w:jc w:val="center"/>
      </w:pPr>
      <w:bookmarkStart w:id="3" w:name="_Ref481858166"/>
      <w:r>
        <w:t xml:space="preserve">Figure </w:t>
      </w:r>
      <w:fldSimple w:instr=" SEQ Figure \* ARABIC ">
        <w:r w:rsidR="00015A7E">
          <w:rPr>
            <w:noProof/>
          </w:rPr>
          <w:t>4</w:t>
        </w:r>
      </w:fldSimple>
      <w:bookmarkEnd w:id="3"/>
      <w:r>
        <w:t>. Comparison of LTE and NR supportable round-trip time (RTT)</w:t>
      </w:r>
    </w:p>
    <w:p w14:paraId="6BABFBAE" w14:textId="77777777" w:rsidR="007D6CA0" w:rsidRDefault="007D6CA0" w:rsidP="00FF3FB4"/>
    <w:p w14:paraId="3DE11BEB" w14:textId="41DAFAB8" w:rsidR="007E58B9" w:rsidRPr="00FF3FB4" w:rsidRDefault="00FF3FB4" w:rsidP="00FF3FB4">
      <w:r>
        <w:t xml:space="preserve">This is extremely relevant when considering that TCP is a fundamental component for many applications. For instance, let us </w:t>
      </w:r>
      <w:r w:rsidR="00401A0B">
        <w:t>examine</w:t>
      </w:r>
      <w:r>
        <w:t xml:space="preserve"> TCP slow-start, which is a mechanism </w:t>
      </w:r>
      <w:r w:rsidR="007E58B9" w:rsidRPr="00FF3FB4">
        <w:t>to quickly estimate the available capacity of the link and establish an equilibrium congestion window accordingly</w:t>
      </w:r>
      <w:r>
        <w:t>.</w:t>
      </w:r>
    </w:p>
    <w:p w14:paraId="7FF8DD96" w14:textId="77777777" w:rsidR="007E58B9" w:rsidRPr="00FF3FB4" w:rsidRDefault="007E58B9" w:rsidP="00FB78F1">
      <w:pPr>
        <w:numPr>
          <w:ilvl w:val="0"/>
          <w:numId w:val="9"/>
        </w:numPr>
      </w:pPr>
      <w:r w:rsidRPr="00FF3FB4">
        <w:t>Typical slow-start algorithms begin with a small congestion window (for example, 10 segments) and increase the congestion window by 1 segment for every TCP ACK received, essentially doubling the congestion window every RTT until packet loss is observed</w:t>
      </w:r>
    </w:p>
    <w:p w14:paraId="0959ADD2" w14:textId="77777777" w:rsidR="007E58B9" w:rsidRPr="00FF3FB4" w:rsidRDefault="007E58B9" w:rsidP="00FB78F1">
      <w:pPr>
        <w:numPr>
          <w:ilvl w:val="0"/>
          <w:numId w:val="10"/>
        </w:numPr>
      </w:pPr>
      <w:r w:rsidRPr="00FF3FB4">
        <w:t>For links with a large capacity, this process can take a long time to reach the link capacity if the RTT is large</w:t>
      </w:r>
    </w:p>
    <w:p w14:paraId="506DFB2C" w14:textId="77777777" w:rsidR="007E58B9" w:rsidRPr="00FF3FB4" w:rsidRDefault="007E58B9" w:rsidP="00FB78F1">
      <w:pPr>
        <w:numPr>
          <w:ilvl w:val="0"/>
          <w:numId w:val="11"/>
        </w:numPr>
      </w:pPr>
      <w:r w:rsidRPr="00FF3FB4">
        <w:t>Some implementations optimize slow start to transition to congestion avoidance even before packet loss occurs, based on the ACK timing</w:t>
      </w:r>
    </w:p>
    <w:p w14:paraId="2649B56E" w14:textId="77777777" w:rsidR="007E58B9" w:rsidRPr="00FF3FB4" w:rsidRDefault="007E58B9" w:rsidP="00FB78F1">
      <w:pPr>
        <w:numPr>
          <w:ilvl w:val="1"/>
          <w:numId w:val="11"/>
        </w:numPr>
      </w:pPr>
      <w:r w:rsidRPr="00FF3FB4">
        <w:t>Such methods may be sensitive to jitter caused by physical layer retransmissions</w:t>
      </w:r>
    </w:p>
    <w:p w14:paraId="74C20CC2" w14:textId="77777777" w:rsidR="007E58B9" w:rsidRPr="00FF3FB4" w:rsidRDefault="007E58B9" w:rsidP="00FB78F1">
      <w:pPr>
        <w:numPr>
          <w:ilvl w:val="0"/>
          <w:numId w:val="12"/>
        </w:numPr>
      </w:pPr>
      <w:r w:rsidRPr="00FF3FB4">
        <w:t>From a user-perspective, slow-start latency can significantly impact user experience</w:t>
      </w:r>
    </w:p>
    <w:p w14:paraId="53705979" w14:textId="77777777" w:rsidR="007E58B9" w:rsidRPr="00FF3FB4" w:rsidRDefault="007E58B9" w:rsidP="00FB78F1">
      <w:pPr>
        <w:numPr>
          <w:ilvl w:val="1"/>
          <w:numId w:val="12"/>
        </w:numPr>
      </w:pPr>
      <w:r w:rsidRPr="00FF3FB4">
        <w:t>For example, web-browsing typically involves short file downloads from multiple different servers</w:t>
      </w:r>
    </w:p>
    <w:p w14:paraId="18255F7C" w14:textId="77777777" w:rsidR="007E58B9" w:rsidRPr="00FF3FB4" w:rsidRDefault="007E58B9" w:rsidP="00FB78F1">
      <w:pPr>
        <w:numPr>
          <w:ilvl w:val="1"/>
          <w:numId w:val="12"/>
        </w:numPr>
      </w:pPr>
      <w:r w:rsidRPr="00FF3FB4">
        <w:t>Most of these transfers complete within slow-start, especially if the throughput is very high</w:t>
      </w:r>
    </w:p>
    <w:p w14:paraId="6CCCDA6E" w14:textId="77777777" w:rsidR="007E58B9" w:rsidRPr="00FF3FB4" w:rsidRDefault="007E58B9" w:rsidP="00FB78F1">
      <w:pPr>
        <w:numPr>
          <w:ilvl w:val="1"/>
          <w:numId w:val="12"/>
        </w:numPr>
      </w:pPr>
      <w:r w:rsidRPr="00FF3FB4">
        <w:t>Sometimes, these transfers cannot occur in parallel, but must happen one after another</w:t>
      </w:r>
    </w:p>
    <w:p w14:paraId="09E4AB9F" w14:textId="77777777" w:rsidR="007E58B9" w:rsidRPr="00FF3FB4" w:rsidRDefault="007E58B9" w:rsidP="00FB78F1">
      <w:pPr>
        <w:numPr>
          <w:ilvl w:val="1"/>
          <w:numId w:val="12"/>
        </w:numPr>
      </w:pPr>
      <w:r w:rsidRPr="00FF3FB4">
        <w:t>Latency of slow-start can significantly impact the user experience in terms of the page-loading time</w:t>
      </w:r>
    </w:p>
    <w:p w14:paraId="44CE5BB3" w14:textId="61D1DFC0" w:rsidR="00FF3FB4" w:rsidRDefault="00FF3FB4" w:rsidP="00FF3FB4">
      <w:r>
        <w:t xml:space="preserve">An illustration of this impact is shown in the next </w:t>
      </w:r>
      <w:r w:rsidR="001D5FD3">
        <w:t xml:space="preserve">set of </w:t>
      </w:r>
      <w:r w:rsidR="004D6708">
        <w:t>measurements</w:t>
      </w:r>
      <w:r w:rsidR="001D5FD3">
        <w:t xml:space="preserve"> show in </w:t>
      </w:r>
      <w:r w:rsidR="001B6740">
        <w:fldChar w:fldCharType="begin"/>
      </w:r>
      <w:r w:rsidR="001B6740">
        <w:instrText xml:space="preserve"> REF _Ref481858840 \h </w:instrText>
      </w:r>
      <w:r w:rsidR="001B6740">
        <w:fldChar w:fldCharType="separate"/>
      </w:r>
      <w:r w:rsidR="001B6740">
        <w:t xml:space="preserve">Figure </w:t>
      </w:r>
      <w:r w:rsidR="001B6740">
        <w:rPr>
          <w:noProof/>
        </w:rPr>
        <w:t>5</w:t>
      </w:r>
      <w:r w:rsidR="001B6740">
        <w:fldChar w:fldCharType="end"/>
      </w:r>
      <w:r w:rsidR="001D5FD3">
        <w:t>.</w:t>
      </w:r>
      <w:r w:rsidR="001B6740">
        <w:t xml:space="preserve"> Here we see that even though the offered physical layer rate is 10Gbps, the effect of TCP slow start means that the transaction utilizes less than 1Gbps, and </w:t>
      </w:r>
      <w:r w:rsidR="003C29B7">
        <w:t xml:space="preserve">this </w:t>
      </w:r>
      <w:r w:rsidR="001B6740">
        <w:t>dramatically decreases as the RTT increases.</w:t>
      </w:r>
    </w:p>
    <w:p w14:paraId="0BAB4C32" w14:textId="77777777" w:rsidR="001B6740" w:rsidRDefault="001B6740" w:rsidP="002C0411">
      <w:pPr>
        <w:keepNext/>
        <w:jc w:val="center"/>
      </w:pPr>
      <w:r>
        <w:rPr>
          <w:noProof/>
        </w:rPr>
        <w:lastRenderedPageBreak/>
        <w:drawing>
          <wp:inline distT="0" distB="0" distL="0" distR="0" wp14:anchorId="1E322A82" wp14:editId="2790DFC3">
            <wp:extent cx="5867400" cy="3455011"/>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81146" cy="3463105"/>
                    </a:xfrm>
                    <a:prstGeom prst="rect">
                      <a:avLst/>
                    </a:prstGeom>
                  </pic:spPr>
                </pic:pic>
              </a:graphicData>
            </a:graphic>
          </wp:inline>
        </w:drawing>
      </w:r>
    </w:p>
    <w:p w14:paraId="34883287" w14:textId="3AB68C24" w:rsidR="00B44631" w:rsidRPr="00FF3FB4" w:rsidRDefault="001B6740" w:rsidP="002C0411">
      <w:pPr>
        <w:pStyle w:val="Caption"/>
        <w:jc w:val="center"/>
      </w:pPr>
      <w:bookmarkStart w:id="4" w:name="_Ref481858840"/>
      <w:r>
        <w:t xml:space="preserve">Figure </w:t>
      </w:r>
      <w:fldSimple w:instr=" SEQ Figure \* ARABIC ">
        <w:r w:rsidR="00015A7E">
          <w:rPr>
            <w:noProof/>
          </w:rPr>
          <w:t>5</w:t>
        </w:r>
      </w:fldSimple>
      <w:bookmarkEnd w:id="4"/>
      <w:r>
        <w:t>. Measured TCP Throughput sensitivity to latency and PER when PHY=10Gbps</w:t>
      </w:r>
    </w:p>
    <w:p w14:paraId="5C8B6EC7" w14:textId="23E3C7AE" w:rsidR="00C86345" w:rsidRDefault="00C86345" w:rsidP="00C86345"/>
    <w:p w14:paraId="74703281" w14:textId="0EF1A7AC" w:rsidR="002C0411" w:rsidRDefault="002C0411" w:rsidP="00C86345">
      <w:r w:rsidRPr="002C0411">
        <w:rPr>
          <w:b/>
          <w:u w:val="single"/>
        </w:rPr>
        <w:t>Observation 1.</w:t>
      </w:r>
      <w:r>
        <w:t xml:space="preserve"> </w:t>
      </w:r>
      <w:r w:rsidRPr="002C0411">
        <w:t>Application layer latency (after HARQ, RLC) and PER is the key for high throughput</w:t>
      </w:r>
      <w:r>
        <w:t>.</w:t>
      </w:r>
    </w:p>
    <w:p w14:paraId="7F90E196" w14:textId="7559F53A" w:rsidR="008955D7" w:rsidRPr="00807011" w:rsidRDefault="00F6036A" w:rsidP="008955D7">
      <w:r>
        <w:t xml:space="preserve">Note that one may </w:t>
      </w:r>
      <w:r w:rsidR="00431F81">
        <w:t>argu</w:t>
      </w:r>
      <w:r>
        <w:t>e</w:t>
      </w:r>
      <w:r w:rsidR="00431F81">
        <w:t xml:space="preserve"> that alternative services which do not rely on TCP could better utilize this high physical layer throughput without sensitivity to large RTT. While this is possible in some less common cases, it is important to realize that if NR can provide high through with low RTT, than </w:t>
      </w:r>
      <w:r>
        <w:t xml:space="preserve">almost all </w:t>
      </w:r>
      <w:r w:rsidR="00431F81">
        <w:t>current low latency high throughput wireline TCP services could immediately b</w:t>
      </w:r>
      <w:r w:rsidR="0010508E">
        <w:t xml:space="preserve">e replaced directly by NR. Thus, </w:t>
      </w:r>
      <w:r w:rsidR="00431F81">
        <w:t xml:space="preserve">the deployment of NR would be better much better positioned for commercial success. </w:t>
      </w:r>
    </w:p>
    <w:p w14:paraId="4C2A2DDE" w14:textId="20AED9D6" w:rsidR="00971F44" w:rsidRDefault="00971F44" w:rsidP="00DA4E82">
      <w:pPr>
        <w:pStyle w:val="Heading2"/>
      </w:pPr>
      <w:r>
        <w:t>Dynamic TDD operation</w:t>
      </w:r>
    </w:p>
    <w:p w14:paraId="6305A025" w14:textId="254213CA" w:rsidR="007967DC" w:rsidRDefault="006A494F" w:rsidP="00106031">
      <w:pPr>
        <w:rPr>
          <w:lang w:val="en-GB"/>
        </w:rPr>
      </w:pPr>
      <w:r>
        <w:rPr>
          <w:lang w:val="en-GB"/>
        </w:rPr>
        <w:t>In the previous section, we have provided examples on one-way latency benefits. Many wideband spectrum allocations are available on TDD spectrum, especially as the carrier frequency increases. When considering that applications often involve two-way exchanges of data, then it becomes critical to reduce the latency of transaction in both direction</w:t>
      </w:r>
      <w:r w:rsidR="00F57492">
        <w:rPr>
          <w:lang w:val="en-GB"/>
        </w:rPr>
        <w:t>s</w:t>
      </w:r>
      <w:r>
        <w:rPr>
          <w:lang w:val="en-GB"/>
        </w:rPr>
        <w:t>.</w:t>
      </w:r>
      <w:r w:rsidR="00F57492">
        <w:rPr>
          <w:lang w:val="en-GB"/>
        </w:rPr>
        <w:t xml:space="preserve"> </w:t>
      </w:r>
      <w:r w:rsidR="007967DC">
        <w:rPr>
          <w:lang w:val="en-GB"/>
        </w:rPr>
        <w:t xml:space="preserve">The significance of faster UE response time becomes clear in such cases, as seen in </w:t>
      </w:r>
      <w:r w:rsidR="007967DC">
        <w:rPr>
          <w:lang w:val="en-GB"/>
        </w:rPr>
        <w:fldChar w:fldCharType="begin"/>
      </w:r>
      <w:r w:rsidR="007967DC">
        <w:rPr>
          <w:lang w:val="en-GB"/>
        </w:rPr>
        <w:instrText xml:space="preserve"> REF _Ref481859666 \h </w:instrText>
      </w:r>
      <w:r w:rsidR="007967DC">
        <w:rPr>
          <w:lang w:val="en-GB"/>
        </w:rPr>
      </w:r>
      <w:r w:rsidR="007967DC">
        <w:rPr>
          <w:lang w:val="en-GB"/>
        </w:rPr>
        <w:fldChar w:fldCharType="separate"/>
      </w:r>
      <w:r w:rsidR="007967DC">
        <w:t xml:space="preserve">Figure </w:t>
      </w:r>
      <w:r w:rsidR="007967DC">
        <w:rPr>
          <w:noProof/>
        </w:rPr>
        <w:t>6</w:t>
      </w:r>
      <w:r w:rsidR="007967DC">
        <w:rPr>
          <w:lang w:val="en-GB"/>
        </w:rPr>
        <w:fldChar w:fldCharType="end"/>
      </w:r>
      <w:r w:rsidR="007967DC">
        <w:rPr>
          <w:lang w:val="en-GB"/>
        </w:rPr>
        <w:t>.</w:t>
      </w:r>
    </w:p>
    <w:p w14:paraId="067EF14C" w14:textId="77777777" w:rsidR="007967DC" w:rsidRDefault="007967DC" w:rsidP="00035A4E">
      <w:pPr>
        <w:keepNext/>
        <w:jc w:val="center"/>
      </w:pPr>
      <w:r>
        <w:rPr>
          <w:noProof/>
        </w:rPr>
        <w:drawing>
          <wp:inline distT="0" distB="0" distL="0" distR="0" wp14:anchorId="1F83EC59" wp14:editId="7A014166">
            <wp:extent cx="6664676" cy="1923499"/>
            <wp:effectExtent l="0" t="0" r="317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99126" cy="1933442"/>
                    </a:xfrm>
                    <a:prstGeom prst="rect">
                      <a:avLst/>
                    </a:prstGeom>
                    <a:noFill/>
                  </pic:spPr>
                </pic:pic>
              </a:graphicData>
            </a:graphic>
          </wp:inline>
        </w:drawing>
      </w:r>
    </w:p>
    <w:p w14:paraId="558DDA53" w14:textId="59D8289B" w:rsidR="007967DC" w:rsidRDefault="007967DC" w:rsidP="00035A4E">
      <w:pPr>
        <w:pStyle w:val="Caption"/>
        <w:jc w:val="center"/>
      </w:pPr>
      <w:bookmarkStart w:id="5" w:name="_Ref481859666"/>
      <w:r>
        <w:t xml:space="preserve">Figure </w:t>
      </w:r>
      <w:fldSimple w:instr=" SEQ Figure \* ARABIC ">
        <w:r w:rsidR="00015A7E">
          <w:rPr>
            <w:noProof/>
          </w:rPr>
          <w:t>6</w:t>
        </w:r>
      </w:fldSimple>
      <w:bookmarkEnd w:id="5"/>
      <w:r>
        <w:t xml:space="preserve">. Dynamic TDD and </w:t>
      </w:r>
      <w:r w:rsidR="004A7577">
        <w:t xml:space="preserve">RTT reduction from </w:t>
      </w:r>
      <w:r>
        <w:t>SCSF operation</w:t>
      </w:r>
    </w:p>
    <w:p w14:paraId="4CB9F2AF" w14:textId="10B6E458" w:rsidR="007967DC" w:rsidRDefault="00035A4E" w:rsidP="007967DC">
      <w:r>
        <w:lastRenderedPageBreak/>
        <w:t xml:space="preserve">Further analysis on </w:t>
      </w:r>
      <w:r w:rsidR="00E47C2F">
        <w:t xml:space="preserve">these </w:t>
      </w:r>
      <w:r>
        <w:t>frame structure</w:t>
      </w:r>
      <w:r w:rsidR="00E47C2F">
        <w:t>s</w:t>
      </w:r>
      <w:r>
        <w:t xml:space="preserve"> with faster processing time has been provided in </w:t>
      </w:r>
      <w:r w:rsidR="00845A7B">
        <w:fldChar w:fldCharType="begin"/>
      </w:r>
      <w:r w:rsidR="00845A7B">
        <w:instrText xml:space="preserve"> REF _Ref481859758 \r \h </w:instrText>
      </w:r>
      <w:r w:rsidR="00845A7B">
        <w:fldChar w:fldCharType="separate"/>
      </w:r>
      <w:r w:rsidR="00845A7B">
        <w:t>[9]</w:t>
      </w:r>
      <w:r w:rsidR="00845A7B">
        <w:fldChar w:fldCharType="end"/>
      </w:r>
      <w:r w:rsidR="00845A7B">
        <w:fldChar w:fldCharType="begin"/>
      </w:r>
      <w:r w:rsidR="00845A7B">
        <w:instrText xml:space="preserve"> REF _Ref481859760 \r \h </w:instrText>
      </w:r>
      <w:r w:rsidR="00845A7B">
        <w:fldChar w:fldCharType="separate"/>
      </w:r>
      <w:r w:rsidR="00845A7B">
        <w:t>[10]</w:t>
      </w:r>
      <w:r w:rsidR="00845A7B">
        <w:fldChar w:fldCharType="end"/>
      </w:r>
      <w:r>
        <w:t>.</w:t>
      </w:r>
      <w:r w:rsidR="00845A7B">
        <w:t xml:space="preserve"> An example result is shown below, where it can be seen that the user throughput experienced both in uplink and downlink can be significantly enhanced from dynamic TDD and maximum flexibility through SCSF operation, even with the addition of advanced implementations for cross-link interference cancellation (see references for further details and simulation assumptions).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45A7B" w:rsidRPr="00F44CD8" w14:paraId="19E6F0ED" w14:textId="77777777" w:rsidTr="007E58B9">
        <w:trPr>
          <w:jc w:val="center"/>
        </w:trPr>
        <w:tc>
          <w:tcPr>
            <w:tcW w:w="4981" w:type="dxa"/>
          </w:tcPr>
          <w:p w14:paraId="44071C44" w14:textId="77777777" w:rsidR="00845A7B" w:rsidRDefault="00845A7B" w:rsidP="007E58B9">
            <w:pPr>
              <w:keepNext/>
              <w:jc w:val="center"/>
            </w:pPr>
            <w:r>
              <w:rPr>
                <w:noProof/>
              </w:rPr>
              <w:drawing>
                <wp:inline distT="0" distB="0" distL="0" distR="0" wp14:anchorId="4BB57E20" wp14:editId="0CB47D27">
                  <wp:extent cx="2743200" cy="22919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291997"/>
                          </a:xfrm>
                          <a:prstGeom prst="rect">
                            <a:avLst/>
                          </a:prstGeom>
                          <a:noFill/>
                        </pic:spPr>
                      </pic:pic>
                    </a:graphicData>
                  </a:graphic>
                </wp:inline>
              </w:drawing>
            </w:r>
          </w:p>
          <w:p w14:paraId="5FD43DA9" w14:textId="7589236D" w:rsidR="00845A7B" w:rsidRPr="00F44CD8" w:rsidRDefault="00845A7B" w:rsidP="007E58B9">
            <w:pPr>
              <w:pStyle w:val="Caption"/>
              <w:jc w:val="center"/>
              <w:rPr>
                <w:b w:val="0"/>
                <w:i/>
                <w:sz w:val="24"/>
                <w:lang w:val="en-GB"/>
              </w:rPr>
            </w:pPr>
            <w:r w:rsidRPr="004616A1">
              <w:t xml:space="preserve">Figure </w:t>
            </w:r>
            <w:fldSimple w:instr=" SEQ Figure \* ARABIC ">
              <w:r w:rsidR="00015A7E">
                <w:rPr>
                  <w:noProof/>
                </w:rPr>
                <w:t>7</w:t>
              </w:r>
            </w:fldSimple>
            <w:r w:rsidRPr="004616A1">
              <w:t>: 5</w:t>
            </w:r>
            <w:r w:rsidRPr="004616A1">
              <w:rPr>
                <w:vertAlign w:val="superscript"/>
              </w:rPr>
              <w:t>th</w:t>
            </w:r>
            <w:r w:rsidRPr="004616A1">
              <w:t xml:space="preserve"> %</w:t>
            </w:r>
            <w:proofErr w:type="spellStart"/>
            <w:r w:rsidRPr="004616A1">
              <w:t>ile</w:t>
            </w:r>
            <w:proofErr w:type="spellEnd"/>
            <w:r w:rsidRPr="004616A1">
              <w:t xml:space="preserve"> DL UPT vs. load</w:t>
            </w:r>
          </w:p>
        </w:tc>
        <w:tc>
          <w:tcPr>
            <w:tcW w:w="4981" w:type="dxa"/>
          </w:tcPr>
          <w:p w14:paraId="6C4E6358" w14:textId="77777777" w:rsidR="00845A7B" w:rsidRDefault="00845A7B" w:rsidP="007E58B9">
            <w:pPr>
              <w:keepNext/>
              <w:jc w:val="center"/>
            </w:pPr>
            <w:r>
              <w:rPr>
                <w:noProof/>
              </w:rPr>
              <w:drawing>
                <wp:inline distT="0" distB="0" distL="0" distR="0" wp14:anchorId="0331E763" wp14:editId="2C866681">
                  <wp:extent cx="2743200" cy="2290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290643"/>
                          </a:xfrm>
                          <a:prstGeom prst="rect">
                            <a:avLst/>
                          </a:prstGeom>
                          <a:noFill/>
                        </pic:spPr>
                      </pic:pic>
                    </a:graphicData>
                  </a:graphic>
                </wp:inline>
              </w:drawing>
            </w:r>
          </w:p>
          <w:p w14:paraId="164616D7" w14:textId="5EB4076C" w:rsidR="00845A7B" w:rsidRPr="00F44CD8" w:rsidRDefault="00845A7B" w:rsidP="007E58B9">
            <w:pPr>
              <w:pStyle w:val="Caption"/>
              <w:jc w:val="center"/>
              <w:rPr>
                <w:b w:val="0"/>
                <w:i/>
                <w:sz w:val="24"/>
                <w:lang w:val="en-GB"/>
              </w:rPr>
            </w:pPr>
            <w:r w:rsidRPr="004616A1">
              <w:t xml:space="preserve">Figure </w:t>
            </w:r>
            <w:fldSimple w:instr=" SEQ Figure \* ARABIC ">
              <w:r w:rsidR="00015A7E">
                <w:rPr>
                  <w:noProof/>
                </w:rPr>
                <w:t>8</w:t>
              </w:r>
            </w:fldSimple>
            <w:r w:rsidRPr="004616A1">
              <w:t>: 5</w:t>
            </w:r>
            <w:r w:rsidRPr="004616A1">
              <w:rPr>
                <w:vertAlign w:val="superscript"/>
              </w:rPr>
              <w:t>th</w:t>
            </w:r>
            <w:r w:rsidRPr="004616A1">
              <w:t xml:space="preserve"> %</w:t>
            </w:r>
            <w:proofErr w:type="spellStart"/>
            <w:r w:rsidRPr="004616A1">
              <w:t>ile</w:t>
            </w:r>
            <w:proofErr w:type="spellEnd"/>
            <w:r w:rsidRPr="004616A1">
              <w:t xml:space="preserve"> UL UPT vs. load</w:t>
            </w:r>
          </w:p>
        </w:tc>
      </w:tr>
    </w:tbl>
    <w:p w14:paraId="6EE7AA1A" w14:textId="430985A1" w:rsidR="00106031" w:rsidRPr="00106031" w:rsidRDefault="00106031" w:rsidP="00106031">
      <w:pPr>
        <w:rPr>
          <w:lang w:val="en-GB"/>
        </w:rPr>
      </w:pPr>
    </w:p>
    <w:p w14:paraId="1790E451" w14:textId="281D4A03" w:rsidR="00A166C5" w:rsidRDefault="00DA4E82" w:rsidP="00A166C5">
      <w:pPr>
        <w:pStyle w:val="Heading2"/>
      </w:pPr>
      <w:r>
        <w:t>Applications for link-budget limited cases</w:t>
      </w:r>
    </w:p>
    <w:p w14:paraId="06AD18FB" w14:textId="59485C99" w:rsidR="00C31312" w:rsidRDefault="00C31312" w:rsidP="00C31312">
      <w:pPr>
        <w:rPr>
          <w:lang w:val="en-GB"/>
        </w:rPr>
      </w:pPr>
      <w:r>
        <w:rPr>
          <w:lang w:val="en-GB"/>
        </w:rPr>
        <w:t xml:space="preserve">Often there is a myth that the faster processing times for self-contained operation are only applicable at cell </w:t>
      </w:r>
      <w:proofErr w:type="spellStart"/>
      <w:r>
        <w:rPr>
          <w:lang w:val="en-GB"/>
        </w:rPr>
        <w:t>center</w:t>
      </w:r>
      <w:proofErr w:type="spellEnd"/>
      <w:r>
        <w:rPr>
          <w:lang w:val="en-GB"/>
        </w:rPr>
        <w:t xml:space="preserve">, and that cell-edge UEs have no benefit. The reality is that the short-uplink control burst is more applicable </w:t>
      </w:r>
      <w:r w:rsidR="00F20B30">
        <w:rPr>
          <w:lang w:val="en-GB"/>
        </w:rPr>
        <w:t>for</w:t>
      </w:r>
      <w:r>
        <w:rPr>
          <w:lang w:val="en-GB"/>
        </w:rPr>
        <w:t xml:space="preserve"> cell </w:t>
      </w:r>
      <w:proofErr w:type="spellStart"/>
      <w:r>
        <w:rPr>
          <w:lang w:val="en-GB"/>
        </w:rPr>
        <w:t>center</w:t>
      </w:r>
      <w:proofErr w:type="spellEnd"/>
      <w:r>
        <w:rPr>
          <w:lang w:val="en-GB"/>
        </w:rPr>
        <w:t xml:space="preserve">, but that should actually be de-coupled from </w:t>
      </w:r>
      <w:r w:rsidR="00F20B30">
        <w:rPr>
          <w:lang w:val="en-GB"/>
        </w:rPr>
        <w:t>self-contained operation which enables UE to use the next immediately available</w:t>
      </w:r>
      <w:r w:rsidR="00061359">
        <w:rPr>
          <w:lang w:val="en-GB"/>
        </w:rPr>
        <w:t xml:space="preserve"> long</w:t>
      </w:r>
      <w:r w:rsidR="00F20B30">
        <w:rPr>
          <w:lang w:val="en-GB"/>
        </w:rPr>
        <w:t xml:space="preserve"> uplink </w:t>
      </w:r>
      <w:r w:rsidR="00061359">
        <w:rPr>
          <w:lang w:val="en-GB"/>
        </w:rPr>
        <w:t xml:space="preserve">burst </w:t>
      </w:r>
      <w:r w:rsidR="00F20B30">
        <w:rPr>
          <w:lang w:val="en-GB"/>
        </w:rPr>
        <w:t>resource</w:t>
      </w:r>
      <w:r w:rsidR="00061359">
        <w:rPr>
          <w:lang w:val="en-GB"/>
        </w:rPr>
        <w:t>s</w:t>
      </w:r>
      <w:r w:rsidR="00F20B30">
        <w:rPr>
          <w:lang w:val="en-GB"/>
        </w:rPr>
        <w:t xml:space="preserve">. This is </w:t>
      </w:r>
      <w:r w:rsidR="00061359">
        <w:rPr>
          <w:lang w:val="en-GB"/>
        </w:rPr>
        <w:t xml:space="preserve">especially </w:t>
      </w:r>
      <w:r w:rsidR="00F20B30">
        <w:rPr>
          <w:lang w:val="en-GB"/>
        </w:rPr>
        <w:t xml:space="preserve">important for link-budget limited UEs, since full utilization of all available uplink resources over time </w:t>
      </w:r>
      <w:r w:rsidR="00061359">
        <w:rPr>
          <w:lang w:val="en-GB"/>
        </w:rPr>
        <w:t>is of central importance</w:t>
      </w:r>
      <w:r w:rsidR="000D1393">
        <w:rPr>
          <w:lang w:val="en-GB"/>
        </w:rPr>
        <w:t xml:space="preserve">, </w:t>
      </w:r>
      <w:r w:rsidR="00061359">
        <w:rPr>
          <w:lang w:val="en-GB"/>
        </w:rPr>
        <w:t>just as much as it is for latency constrained UEs.</w:t>
      </w:r>
    </w:p>
    <w:p w14:paraId="03A2EF60" w14:textId="77777777" w:rsidR="00061359" w:rsidRDefault="00061359" w:rsidP="00061359">
      <w:pPr>
        <w:keepNext/>
        <w:jc w:val="center"/>
      </w:pPr>
      <w:r>
        <w:rPr>
          <w:noProof/>
        </w:rPr>
        <w:drawing>
          <wp:inline distT="0" distB="0" distL="0" distR="0" wp14:anchorId="0F4B04E2" wp14:editId="5E2EE74D">
            <wp:extent cx="6305266" cy="1321729"/>
            <wp:effectExtent l="0" t="0" r="63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63851" cy="1334010"/>
                    </a:xfrm>
                    <a:prstGeom prst="rect">
                      <a:avLst/>
                    </a:prstGeom>
                    <a:noFill/>
                  </pic:spPr>
                </pic:pic>
              </a:graphicData>
            </a:graphic>
          </wp:inline>
        </w:drawing>
      </w:r>
    </w:p>
    <w:p w14:paraId="7552F0F6" w14:textId="264BB181" w:rsidR="00F20B30" w:rsidRDefault="00061359" w:rsidP="00061359">
      <w:pPr>
        <w:pStyle w:val="Caption"/>
        <w:jc w:val="center"/>
        <w:rPr>
          <w:lang w:val="en-GB"/>
        </w:rPr>
      </w:pPr>
      <w:r>
        <w:t xml:space="preserve">Figure </w:t>
      </w:r>
      <w:fldSimple w:instr=" SEQ Figure \* ARABIC ">
        <w:r w:rsidR="00015A7E">
          <w:rPr>
            <w:noProof/>
          </w:rPr>
          <w:t>9</w:t>
        </w:r>
      </w:fldSimple>
      <w:r>
        <w:t xml:space="preserve">. Available resources for SCSF and </w:t>
      </w:r>
      <w:proofErr w:type="spellStart"/>
      <w:r>
        <w:t>nSCSF</w:t>
      </w:r>
      <w:proofErr w:type="spellEnd"/>
      <w:r>
        <w:t xml:space="preserve"> UEs</w:t>
      </w:r>
    </w:p>
    <w:p w14:paraId="34FAC993" w14:textId="74D9288E" w:rsidR="00C31312" w:rsidRDefault="00C31312" w:rsidP="00C31312">
      <w:pPr>
        <w:rPr>
          <w:lang w:val="en-GB"/>
        </w:rPr>
      </w:pPr>
      <w:r w:rsidRPr="00F20B30">
        <w:rPr>
          <w:b/>
          <w:u w:val="single"/>
          <w:lang w:val="en-GB"/>
        </w:rPr>
        <w:t>Observation 2.</w:t>
      </w:r>
      <w:r>
        <w:rPr>
          <w:lang w:val="en-GB"/>
        </w:rPr>
        <w:t xml:space="preserve"> At cell edge, UEs which support self-contained operation are able to utilize even more uplink resources in a given time span as compared to UEs which are not capable of this operation. </w:t>
      </w:r>
      <w:r w:rsidR="00F20B30">
        <w:rPr>
          <w:lang w:val="en-GB"/>
        </w:rPr>
        <w:t>Lower latency turnaround can be easier</w:t>
      </w:r>
      <w:r>
        <w:rPr>
          <w:lang w:val="en-GB"/>
        </w:rPr>
        <w:t xml:space="preserve"> at cell edge </w:t>
      </w:r>
      <w:r w:rsidR="00F20B30">
        <w:rPr>
          <w:lang w:val="en-GB"/>
        </w:rPr>
        <w:t>since the data rate requirements are less.</w:t>
      </w:r>
    </w:p>
    <w:p w14:paraId="49F5C419" w14:textId="18F082B8" w:rsidR="00CD1B7E" w:rsidRDefault="00CD1B7E" w:rsidP="00C31312">
      <w:pPr>
        <w:rPr>
          <w:lang w:val="en-GB"/>
        </w:rPr>
      </w:pPr>
      <w:r>
        <w:rPr>
          <w:lang w:val="en-GB"/>
        </w:rPr>
        <w:t>Additionally, support for SCSF operation allows for better frame structure options with reduced RTT, such as the slot aggregation illustration below which can be very relevant for macro-deployments at higher sub-6GHz carrier frequencies. Such aggregation could allow for amortization of overhead to increase spectral efficiency, or provide larger guard periods for inter-</w:t>
      </w:r>
      <w:proofErr w:type="spellStart"/>
      <w:r>
        <w:rPr>
          <w:lang w:val="en-GB"/>
        </w:rPr>
        <w:t>basestation</w:t>
      </w:r>
      <w:proofErr w:type="spellEnd"/>
      <w:r>
        <w:rPr>
          <w:lang w:val="en-GB"/>
        </w:rPr>
        <w:t xml:space="preserve"> cross link interference</w:t>
      </w:r>
      <w:r w:rsidR="001005CE">
        <w:rPr>
          <w:lang w:val="en-GB"/>
        </w:rPr>
        <w:t>, while efficiently tightening the RTT as much as possible for better utilization of the wider bandwidths available.</w:t>
      </w:r>
      <w:r w:rsidR="001342C3">
        <w:rPr>
          <w:lang w:val="en-GB"/>
        </w:rPr>
        <w:t xml:space="preserve"> More discussion is provided in </w:t>
      </w:r>
      <w:r w:rsidR="001342C3">
        <w:rPr>
          <w:lang w:val="en-GB"/>
        </w:rPr>
        <w:fldChar w:fldCharType="begin"/>
      </w:r>
      <w:r w:rsidR="001342C3">
        <w:rPr>
          <w:lang w:val="en-GB"/>
        </w:rPr>
        <w:instrText xml:space="preserve"> REF _Ref481864320 \r \h </w:instrText>
      </w:r>
      <w:r w:rsidR="001342C3">
        <w:rPr>
          <w:lang w:val="en-GB"/>
        </w:rPr>
      </w:r>
      <w:r w:rsidR="001342C3">
        <w:rPr>
          <w:lang w:val="en-GB"/>
        </w:rPr>
        <w:fldChar w:fldCharType="separate"/>
      </w:r>
      <w:r w:rsidR="001342C3">
        <w:rPr>
          <w:lang w:val="en-GB"/>
        </w:rPr>
        <w:t>[11]</w:t>
      </w:r>
      <w:r w:rsidR="001342C3">
        <w:rPr>
          <w:lang w:val="en-GB"/>
        </w:rPr>
        <w:fldChar w:fldCharType="end"/>
      </w:r>
      <w:r w:rsidR="001342C3">
        <w:rPr>
          <w:lang w:val="en-GB"/>
        </w:rPr>
        <w:t>.</w:t>
      </w:r>
    </w:p>
    <w:p w14:paraId="380FCC10" w14:textId="77777777" w:rsidR="00CD1B7E" w:rsidRDefault="00CD1B7E" w:rsidP="001005CE">
      <w:pPr>
        <w:keepNext/>
        <w:jc w:val="center"/>
      </w:pPr>
      <w:r>
        <w:rPr>
          <w:noProof/>
        </w:rPr>
        <w:lastRenderedPageBreak/>
        <w:drawing>
          <wp:inline distT="0" distB="0" distL="0" distR="0" wp14:anchorId="70FBC38C" wp14:editId="4D965F57">
            <wp:extent cx="6299106" cy="1416400"/>
            <wp:effectExtent l="0" t="0" r="698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43968" cy="1426487"/>
                    </a:xfrm>
                    <a:prstGeom prst="rect">
                      <a:avLst/>
                    </a:prstGeom>
                    <a:noFill/>
                  </pic:spPr>
                </pic:pic>
              </a:graphicData>
            </a:graphic>
          </wp:inline>
        </w:drawing>
      </w:r>
    </w:p>
    <w:p w14:paraId="66076BC2" w14:textId="499FEF5A" w:rsidR="007D0F04" w:rsidRPr="007D0F04" w:rsidRDefault="00CD1B7E" w:rsidP="007D0F04">
      <w:pPr>
        <w:pStyle w:val="Caption"/>
        <w:jc w:val="center"/>
      </w:pPr>
      <w:r>
        <w:t xml:space="preserve">Figure </w:t>
      </w:r>
      <w:fldSimple w:instr=" SEQ Figure \* ARABIC ">
        <w:r w:rsidR="00015A7E">
          <w:rPr>
            <w:noProof/>
          </w:rPr>
          <w:t>10</w:t>
        </w:r>
      </w:fldSimple>
      <w:r>
        <w:t>. Slot aggregation to increase guard in macro-TDD deployment</w:t>
      </w:r>
      <w:r w:rsidR="00765530">
        <w:t>, allow</w:t>
      </w:r>
      <w:r w:rsidR="00DB541D">
        <w:t>ing</w:t>
      </w:r>
      <w:r w:rsidR="00765530">
        <w:t xml:space="preserve"> for reduced RTT </w:t>
      </w:r>
      <w:r w:rsidR="00DB541D">
        <w:t>with</w:t>
      </w:r>
      <w:r w:rsidR="00765530">
        <w:t xml:space="preserve"> SCSF</w:t>
      </w:r>
    </w:p>
    <w:p w14:paraId="61DA320A" w14:textId="1049BCA8" w:rsidR="009D7A2A" w:rsidRDefault="009D7A2A" w:rsidP="009D7A2A">
      <w:pPr>
        <w:pStyle w:val="Heading2"/>
      </w:pPr>
      <w:r>
        <w:t>Unlicensed and shared spectrum</w:t>
      </w:r>
    </w:p>
    <w:p w14:paraId="77D74408" w14:textId="0F236E70" w:rsidR="007D0F04" w:rsidRPr="007D0F04" w:rsidRDefault="007D0F04" w:rsidP="007D0F04">
      <w:pPr>
        <w:rPr>
          <w:lang w:val="en-GB"/>
        </w:rPr>
      </w:pPr>
      <w:r>
        <w:rPr>
          <w:lang w:val="en-GB"/>
        </w:rPr>
        <w:t xml:space="preserve">Although access on unlicensed spectrum and shared spectrum is not the focus of Release 15, it should be noted that faster turnaround on the UE side can readily allow for more flexible medium access between contending entities which are not coordinated under the same operator. Thus, by implementing SCSF operation for Release 15, such devices should be easily forward compatible to </w:t>
      </w:r>
      <w:proofErr w:type="gramStart"/>
      <w:r w:rsidR="00A81877">
        <w:rPr>
          <w:lang w:val="en-GB"/>
        </w:rPr>
        <w:t>these new spectrum</w:t>
      </w:r>
      <w:proofErr w:type="gramEnd"/>
      <w:r>
        <w:rPr>
          <w:lang w:val="en-GB"/>
        </w:rPr>
        <w:t xml:space="preserve"> sharing protocols.</w:t>
      </w:r>
    </w:p>
    <w:p w14:paraId="30AF1EFA" w14:textId="12D11FE9" w:rsidR="00C86345" w:rsidRPr="00C86345" w:rsidRDefault="006D4894" w:rsidP="00C86345">
      <w:pPr>
        <w:pStyle w:val="Heading1"/>
      </w:pPr>
      <w:r>
        <w:t>Processing time requirements</w:t>
      </w:r>
      <w:r w:rsidR="00582F9E">
        <w:t xml:space="preserve"> for Release 15</w:t>
      </w:r>
    </w:p>
    <w:p w14:paraId="5C922F2E" w14:textId="618948A8" w:rsidR="00C86345" w:rsidRDefault="00C86345" w:rsidP="00CB0CE5">
      <w:pPr>
        <w:pStyle w:val="Heading2"/>
      </w:pPr>
      <w:r>
        <w:t>Considerations for UE processing time</w:t>
      </w:r>
    </w:p>
    <w:p w14:paraId="6AB538E9" w14:textId="4318C6D3" w:rsidR="009D05E0" w:rsidRDefault="009D05E0" w:rsidP="009D05E0">
      <w:pPr>
        <w:rPr>
          <w:lang w:val="en-GB"/>
        </w:rPr>
      </w:pPr>
      <w:r>
        <w:rPr>
          <w:lang w:val="en-GB"/>
        </w:rPr>
        <w:t xml:space="preserve">As mentioned </w:t>
      </w:r>
      <w:r w:rsidR="00957E44">
        <w:rPr>
          <w:lang w:val="en-GB"/>
        </w:rPr>
        <w:t>earlier and in</w:t>
      </w:r>
      <w:r>
        <w:rPr>
          <w:lang w:val="en-GB"/>
        </w:rPr>
        <w:t xml:space="preserve"> </w:t>
      </w:r>
      <w:r w:rsidR="00957E44">
        <w:fldChar w:fldCharType="begin"/>
      </w:r>
      <w:r w:rsidR="00957E44">
        <w:instrText xml:space="preserve"> REF _Ref481855710 \r \h </w:instrText>
      </w:r>
      <w:r w:rsidR="00957E44">
        <w:fldChar w:fldCharType="separate"/>
      </w:r>
      <w:r w:rsidR="00957E44">
        <w:t>[5]</w:t>
      </w:r>
      <w:r w:rsidR="00957E44">
        <w:fldChar w:fldCharType="end"/>
      </w:r>
      <w:r w:rsidR="00957E44">
        <w:fldChar w:fldCharType="begin"/>
      </w:r>
      <w:r w:rsidR="00957E44">
        <w:instrText xml:space="preserve"> REF _Ref481855712 \r \h </w:instrText>
      </w:r>
      <w:r w:rsidR="00957E44">
        <w:fldChar w:fldCharType="separate"/>
      </w:r>
      <w:r w:rsidR="00957E44">
        <w:t>[6]</w:t>
      </w:r>
      <w:r w:rsidR="00957E44">
        <w:fldChar w:fldCharType="end"/>
      </w:r>
      <w:r>
        <w:rPr>
          <w:lang w:val="en-GB"/>
        </w:rPr>
        <w:t>, the support of SCSF operation involves careful considerations along many aspects</w:t>
      </w:r>
      <w:r w:rsidR="00957E44">
        <w:rPr>
          <w:lang w:val="en-GB"/>
        </w:rPr>
        <w:t xml:space="preserve"> of physical layer design</w:t>
      </w:r>
      <w:r>
        <w:rPr>
          <w:lang w:val="en-GB"/>
        </w:rPr>
        <w:t xml:space="preserve"> which affect key areas such as </w:t>
      </w:r>
    </w:p>
    <w:p w14:paraId="7F308915" w14:textId="79D5E732" w:rsidR="009D05E0" w:rsidRDefault="009D05E0" w:rsidP="00FB78F1">
      <w:pPr>
        <w:pStyle w:val="ListParagraph"/>
        <w:numPr>
          <w:ilvl w:val="0"/>
          <w:numId w:val="7"/>
        </w:numPr>
        <w:rPr>
          <w:lang w:val="en-GB"/>
        </w:rPr>
      </w:pPr>
      <w:r>
        <w:rPr>
          <w:lang w:val="en-GB"/>
        </w:rPr>
        <w:t>UE demodulation time</w:t>
      </w:r>
    </w:p>
    <w:p w14:paraId="2D258440" w14:textId="2E76ECF1" w:rsidR="009D05E0" w:rsidRDefault="009D05E0" w:rsidP="00FB78F1">
      <w:pPr>
        <w:pStyle w:val="ListParagraph"/>
        <w:numPr>
          <w:ilvl w:val="0"/>
          <w:numId w:val="7"/>
        </w:numPr>
        <w:rPr>
          <w:lang w:val="en-GB"/>
        </w:rPr>
      </w:pPr>
      <w:r>
        <w:rPr>
          <w:lang w:val="en-GB"/>
        </w:rPr>
        <w:t>UE decoding time</w:t>
      </w:r>
    </w:p>
    <w:p w14:paraId="236C99D8" w14:textId="0AD6FEF7" w:rsidR="009D05E0" w:rsidRDefault="009D05E0" w:rsidP="00FB78F1">
      <w:pPr>
        <w:pStyle w:val="ListParagraph"/>
        <w:numPr>
          <w:ilvl w:val="0"/>
          <w:numId w:val="7"/>
        </w:numPr>
        <w:rPr>
          <w:lang w:val="en-GB"/>
        </w:rPr>
      </w:pPr>
      <w:r>
        <w:rPr>
          <w:lang w:val="en-GB"/>
        </w:rPr>
        <w:t>UE preparation of transmission waveform</w:t>
      </w:r>
    </w:p>
    <w:p w14:paraId="299333EB" w14:textId="66DA5620" w:rsidR="00957E44" w:rsidRDefault="009D05E0" w:rsidP="00FB78F1">
      <w:pPr>
        <w:pStyle w:val="ListParagraph"/>
        <w:numPr>
          <w:ilvl w:val="0"/>
          <w:numId w:val="7"/>
        </w:numPr>
        <w:rPr>
          <w:lang w:val="en-GB"/>
        </w:rPr>
      </w:pPr>
      <w:r>
        <w:rPr>
          <w:lang w:val="en-GB"/>
        </w:rPr>
        <w:t>UE transmission time</w:t>
      </w:r>
    </w:p>
    <w:p w14:paraId="6126FE96" w14:textId="77777777" w:rsidR="00957E44" w:rsidRPr="00957E44" w:rsidRDefault="00957E44" w:rsidP="00957E44">
      <w:pPr>
        <w:pStyle w:val="ListParagraph"/>
        <w:rPr>
          <w:lang w:val="en-GB"/>
        </w:rPr>
      </w:pPr>
    </w:p>
    <w:p w14:paraId="099F2FDC" w14:textId="474852E7" w:rsidR="00957E44" w:rsidRDefault="00957E44" w:rsidP="00957E44">
      <w:pPr>
        <w:rPr>
          <w:lang w:val="en-GB"/>
        </w:rPr>
      </w:pPr>
      <w:r>
        <w:rPr>
          <w:lang w:val="en-GB"/>
        </w:rPr>
        <w:t xml:space="preserve">Although feasibility at the larger subcarrier </w:t>
      </w:r>
      <w:proofErr w:type="spellStart"/>
      <w:r>
        <w:rPr>
          <w:lang w:val="en-GB"/>
        </w:rPr>
        <w:t>spacings</w:t>
      </w:r>
      <w:proofErr w:type="spellEnd"/>
      <w:r>
        <w:rPr>
          <w:lang w:val="en-GB"/>
        </w:rPr>
        <w:t xml:space="preserve"> (SCSs) and smaller slot durations can be a significant challenge, supporting SCSF at lower SCSs should be more appropriate since technologies are more mature at this timeline and these are also better aligned with timelines needed for existing unlicensed spectrum.</w:t>
      </w:r>
    </w:p>
    <w:p w14:paraId="1CB8A422" w14:textId="48563FE0" w:rsidR="00CB0CE5" w:rsidRDefault="00CB0CE5" w:rsidP="00CB0CE5">
      <w:pPr>
        <w:pStyle w:val="Heading2"/>
      </w:pPr>
      <w:r>
        <w:t xml:space="preserve">Scheduling </w:t>
      </w:r>
      <w:r w:rsidR="00015A7E">
        <w:t xml:space="preserve">between UEs </w:t>
      </w:r>
      <w:r>
        <w:t xml:space="preserve">with </w:t>
      </w:r>
      <w:r w:rsidR="00015A7E">
        <w:t>different</w:t>
      </w:r>
      <w:r>
        <w:t xml:space="preserve"> </w:t>
      </w:r>
      <w:r w:rsidR="00C424ED">
        <w:t>capabilities</w:t>
      </w:r>
    </w:p>
    <w:p w14:paraId="63438616" w14:textId="77777777" w:rsidR="006670CC" w:rsidRDefault="009826A6" w:rsidP="00742E0B">
      <w:pPr>
        <w:rPr>
          <w:lang w:val="en-GB"/>
        </w:rPr>
      </w:pPr>
      <w:r>
        <w:rPr>
          <w:lang w:val="en-GB"/>
        </w:rPr>
        <w:t>From the network perspective, there will be a need for a more advanced scheduler capability to manage the HARQ timing flexibility supported in NR. For instance, when multiplexing UEs with different downlink timelines</w:t>
      </w:r>
      <w:r w:rsidR="00015A7E">
        <w:rPr>
          <w:lang w:val="en-GB"/>
        </w:rPr>
        <w:t xml:space="preserve"> as shown in </w:t>
      </w:r>
      <w:r w:rsidR="00015A7E">
        <w:rPr>
          <w:lang w:val="en-GB"/>
        </w:rPr>
        <w:fldChar w:fldCharType="begin"/>
      </w:r>
      <w:r w:rsidR="00015A7E">
        <w:rPr>
          <w:lang w:val="en-GB"/>
        </w:rPr>
        <w:instrText xml:space="preserve"> REF _Ref481862335 \h </w:instrText>
      </w:r>
      <w:r w:rsidR="00015A7E">
        <w:rPr>
          <w:lang w:val="en-GB"/>
        </w:rPr>
      </w:r>
      <w:r w:rsidR="00015A7E">
        <w:rPr>
          <w:lang w:val="en-GB"/>
        </w:rPr>
        <w:fldChar w:fldCharType="separate"/>
      </w:r>
      <w:r w:rsidR="00015A7E">
        <w:t xml:space="preserve">Figure </w:t>
      </w:r>
      <w:r w:rsidR="00015A7E">
        <w:rPr>
          <w:noProof/>
        </w:rPr>
        <w:t>11</w:t>
      </w:r>
      <w:r w:rsidR="00015A7E">
        <w:rPr>
          <w:lang w:val="en-GB"/>
        </w:rPr>
        <w:fldChar w:fldCharType="end"/>
      </w:r>
      <w:r>
        <w:rPr>
          <w:lang w:val="en-GB"/>
        </w:rPr>
        <w:t>,</w:t>
      </w:r>
      <w:r w:rsidR="00015A7E">
        <w:rPr>
          <w:lang w:val="en-GB"/>
        </w:rPr>
        <w:t xml:space="preserve"> scheduler needs to take into account resource allocations made from past decisions when they may coincide with decisions made for UEs that allow for faster response times. </w:t>
      </w:r>
    </w:p>
    <w:p w14:paraId="71BA0241" w14:textId="5711DC76" w:rsidR="004A08C9" w:rsidRPr="004A08C9" w:rsidRDefault="00E00B87" w:rsidP="00742E0B">
      <w:pPr>
        <w:rPr>
          <w:lang w:val="en-GB"/>
        </w:rPr>
      </w:pPr>
      <w:r>
        <w:rPr>
          <w:i/>
          <w:lang w:val="en-GB"/>
        </w:rPr>
        <w:t>Note that this is not any different for multiplexing K1=1 and K1=2 users, and overall is a result of supporting dynamic HARQ timing independent of the actual supported range per UE.</w:t>
      </w:r>
      <w:r w:rsidR="004A08C9">
        <w:rPr>
          <w:lang w:val="en-GB"/>
        </w:rPr>
        <w:t xml:space="preserve"> More details can be found in </w:t>
      </w:r>
      <w:r w:rsidR="007E58B9">
        <w:rPr>
          <w:lang w:val="en-GB"/>
        </w:rPr>
        <w:fldChar w:fldCharType="begin"/>
      </w:r>
      <w:r w:rsidR="007E58B9">
        <w:rPr>
          <w:lang w:val="en-GB"/>
        </w:rPr>
        <w:instrText xml:space="preserve"> REF _Ref481862942 \r \h </w:instrText>
      </w:r>
      <w:r w:rsidR="007E58B9">
        <w:rPr>
          <w:lang w:val="en-GB"/>
        </w:rPr>
      </w:r>
      <w:r w:rsidR="007E58B9">
        <w:rPr>
          <w:lang w:val="en-GB"/>
        </w:rPr>
        <w:fldChar w:fldCharType="separate"/>
      </w:r>
      <w:r w:rsidR="007E58B9">
        <w:rPr>
          <w:lang w:val="en-GB"/>
        </w:rPr>
        <w:t>[12]</w:t>
      </w:r>
      <w:r w:rsidR="007E58B9">
        <w:rPr>
          <w:lang w:val="en-GB"/>
        </w:rPr>
        <w:fldChar w:fldCharType="end"/>
      </w:r>
      <w:r w:rsidR="004A08C9">
        <w:rPr>
          <w:lang w:val="en-GB"/>
        </w:rPr>
        <w:t>.</w:t>
      </w:r>
    </w:p>
    <w:p w14:paraId="7177D2FB" w14:textId="77777777" w:rsidR="00015A7E" w:rsidRDefault="00015A7E" w:rsidP="007E58B9">
      <w:pPr>
        <w:keepNext/>
        <w:jc w:val="center"/>
      </w:pPr>
      <w:r w:rsidRPr="00015A7E">
        <w:object w:dxaOrig="15666" w:dyaOrig="5548" w14:anchorId="6CD99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8.25pt" o:ole="">
            <v:imagedata r:id="rId22" o:title=""/>
          </v:shape>
          <o:OLEObject Type="Embed" ProgID="Visio.Drawing.11" ShapeID="_x0000_i1025" DrawAspect="Content" ObjectID="_1555610668" r:id="rId23"/>
        </w:object>
      </w:r>
    </w:p>
    <w:p w14:paraId="1CE5D10F" w14:textId="77777777" w:rsidR="00015A7E" w:rsidRPr="00957E44" w:rsidRDefault="00015A7E" w:rsidP="007E58B9">
      <w:pPr>
        <w:pStyle w:val="Caption"/>
        <w:jc w:val="center"/>
        <w:rPr>
          <w:lang w:val="en-GB"/>
        </w:rPr>
      </w:pPr>
      <w:bookmarkStart w:id="6" w:name="_Ref481862335"/>
      <w:r>
        <w:t xml:space="preserve">Figure </w:t>
      </w:r>
      <w:fldSimple w:instr=" SEQ Figure \* ARABIC ">
        <w:r>
          <w:rPr>
            <w:noProof/>
          </w:rPr>
          <w:t>11</w:t>
        </w:r>
      </w:fldSimple>
      <w:bookmarkEnd w:id="6"/>
      <w:r>
        <w:t xml:space="preserve">. Multiplexing of SCSF and </w:t>
      </w:r>
      <w:proofErr w:type="spellStart"/>
      <w:r>
        <w:t>nSCSF</w:t>
      </w:r>
      <w:proofErr w:type="spellEnd"/>
      <w:r>
        <w:t xml:space="preserve"> UEs</w:t>
      </w:r>
    </w:p>
    <w:p w14:paraId="6E6F3EAA" w14:textId="77777777" w:rsidR="004A08C9" w:rsidRDefault="004A08C9" w:rsidP="00742E0B">
      <w:pPr>
        <w:rPr>
          <w:lang w:val="en-GB"/>
        </w:rPr>
      </w:pPr>
    </w:p>
    <w:p w14:paraId="203872F2" w14:textId="77777777" w:rsidR="004A08C9" w:rsidRDefault="004A08C9" w:rsidP="00742E0B">
      <w:pPr>
        <w:rPr>
          <w:lang w:val="en-GB"/>
        </w:rPr>
      </w:pPr>
      <w:r>
        <w:rPr>
          <w:lang w:val="en-GB"/>
        </w:rPr>
        <w:t>Now, if we consider multiplexing UEs of different categories, there are two potential options of categorization.</w:t>
      </w:r>
    </w:p>
    <w:p w14:paraId="432A9EBA" w14:textId="00558A7E" w:rsidR="004A08C9" w:rsidRDefault="004A08C9" w:rsidP="00FB78F1">
      <w:pPr>
        <w:pStyle w:val="ListParagraph"/>
        <w:numPr>
          <w:ilvl w:val="0"/>
          <w:numId w:val="7"/>
        </w:numPr>
        <w:rPr>
          <w:lang w:val="en-GB"/>
        </w:rPr>
      </w:pPr>
      <w:r>
        <w:rPr>
          <w:lang w:val="en-GB"/>
        </w:rPr>
        <w:t>(Opt</w:t>
      </w:r>
      <w:r w:rsidR="0003186A">
        <w:rPr>
          <w:lang w:val="en-GB"/>
        </w:rPr>
        <w:t>ion 1) High category UE support</w:t>
      </w:r>
      <w:r>
        <w:rPr>
          <w:lang w:val="en-GB"/>
        </w:rPr>
        <w:t xml:space="preserve"> SCSF, while low category UE</w:t>
      </w:r>
      <w:r w:rsidR="0003186A">
        <w:rPr>
          <w:lang w:val="en-GB"/>
        </w:rPr>
        <w:t>s</w:t>
      </w:r>
      <w:r>
        <w:rPr>
          <w:lang w:val="en-GB"/>
        </w:rPr>
        <w:t xml:space="preserve"> do not</w:t>
      </w:r>
      <w:r w:rsidR="0003186A">
        <w:rPr>
          <w:lang w:val="en-GB"/>
        </w:rPr>
        <w:t xml:space="preserve"> support SCSF</w:t>
      </w:r>
    </w:p>
    <w:p w14:paraId="733880E3" w14:textId="26CEC5F3" w:rsidR="004A08C9" w:rsidRDefault="004A08C9" w:rsidP="00FB78F1">
      <w:pPr>
        <w:pStyle w:val="ListParagraph"/>
        <w:numPr>
          <w:ilvl w:val="0"/>
          <w:numId w:val="7"/>
        </w:numPr>
        <w:rPr>
          <w:lang w:val="en-GB"/>
        </w:rPr>
      </w:pPr>
      <w:r>
        <w:rPr>
          <w:lang w:val="en-GB"/>
        </w:rPr>
        <w:t xml:space="preserve">(Option 2) All UEs support SCSF, but high category UEs have achieve higher spectral efficiency under SCSF (e.g., with lower processing times leading to lower guard times) </w:t>
      </w:r>
      <w:r w:rsidR="0003186A">
        <w:rPr>
          <w:lang w:val="en-GB"/>
        </w:rPr>
        <w:t xml:space="preserve">as </w:t>
      </w:r>
      <w:r>
        <w:rPr>
          <w:lang w:val="en-GB"/>
        </w:rPr>
        <w:t>compared to lower category UEs</w:t>
      </w:r>
      <w:r w:rsidR="00EA1B19">
        <w:rPr>
          <w:lang w:val="en-GB"/>
        </w:rPr>
        <w:t xml:space="preserve"> under SCSF</w:t>
      </w:r>
      <w:r>
        <w:rPr>
          <w:lang w:val="en-GB"/>
        </w:rPr>
        <w:t>.</w:t>
      </w:r>
    </w:p>
    <w:p w14:paraId="658CCE85" w14:textId="77777777" w:rsidR="00EA1B19" w:rsidRPr="00EA1B19" w:rsidRDefault="00EA1B19" w:rsidP="00910F1F">
      <w:pPr>
        <w:pStyle w:val="ListParagraph"/>
        <w:rPr>
          <w:lang w:val="en-GB"/>
        </w:rPr>
      </w:pPr>
    </w:p>
    <w:p w14:paraId="73FECF36" w14:textId="641F2841" w:rsidR="004A08C9" w:rsidRDefault="004A08C9" w:rsidP="004A08C9">
      <w:pPr>
        <w:rPr>
          <w:lang w:val="en-GB"/>
        </w:rPr>
      </w:pPr>
      <w:r>
        <w:rPr>
          <w:lang w:val="en-GB"/>
        </w:rPr>
        <w:t xml:space="preserve">In the case of Option 1, </w:t>
      </w:r>
      <w:r w:rsidR="008F1FD7">
        <w:rPr>
          <w:lang w:val="en-GB"/>
        </w:rPr>
        <w:t xml:space="preserve">we have a </w:t>
      </w:r>
      <w:r>
        <w:rPr>
          <w:lang w:val="en-GB"/>
        </w:rPr>
        <w:t xml:space="preserve">problem </w:t>
      </w:r>
      <w:r w:rsidR="008F1FD7">
        <w:rPr>
          <w:lang w:val="en-GB"/>
        </w:rPr>
        <w:t>where</w:t>
      </w:r>
      <w:r>
        <w:rPr>
          <w:lang w:val="en-GB"/>
        </w:rPr>
        <w:t xml:space="preserve"> low category UEs actually degrade the global timeline of the network and tie up network resources. </w:t>
      </w:r>
      <w:proofErr w:type="gramStart"/>
      <w:r>
        <w:rPr>
          <w:lang w:val="en-GB"/>
        </w:rPr>
        <w:t>Therefore</w:t>
      </w:r>
      <w:proofErr w:type="gramEnd"/>
      <w:r>
        <w:rPr>
          <w:lang w:val="en-GB"/>
        </w:rPr>
        <w:t xml:space="preserve"> introduction of lower</w:t>
      </w:r>
      <w:r w:rsidR="00B1315C">
        <w:rPr>
          <w:lang w:val="en-GB"/>
        </w:rPr>
        <w:t xml:space="preserve"> category UEs hurts the network both in performance and flexibility</w:t>
      </w:r>
      <w:r>
        <w:rPr>
          <w:lang w:val="en-GB"/>
        </w:rPr>
        <w:t>.</w:t>
      </w:r>
    </w:p>
    <w:p w14:paraId="22CDE318" w14:textId="172FAF31" w:rsidR="008F1FD7" w:rsidRPr="00B1315C" w:rsidRDefault="004A08C9" w:rsidP="004A08C9">
      <w:pPr>
        <w:rPr>
          <w:lang w:val="en-GB"/>
        </w:rPr>
      </w:pPr>
      <w:r w:rsidRPr="00B1315C">
        <w:rPr>
          <w:lang w:val="en-GB"/>
        </w:rPr>
        <w:t xml:space="preserve">In the case of Option 2, all UEs support self-contained operation and thus the </w:t>
      </w:r>
      <w:r w:rsidR="007E58B9" w:rsidRPr="00B1315C">
        <w:rPr>
          <w:lang w:val="en-GB"/>
        </w:rPr>
        <w:t xml:space="preserve">network is allowed to have maximum flexibility of resources. The introduction of low category UEs only brings down the spectral efficiency of those low category UEs when they are scheduled as SCSF, but the overall </w:t>
      </w:r>
      <w:r w:rsidR="009B7D88">
        <w:rPr>
          <w:lang w:val="en-GB"/>
        </w:rPr>
        <w:t xml:space="preserve">flexibility for scheduling resources is still provided and the high category UEs performance can still be </w:t>
      </w:r>
      <w:r w:rsidR="00EB0307">
        <w:rPr>
          <w:lang w:val="en-GB"/>
        </w:rPr>
        <w:t>maintained</w:t>
      </w:r>
      <w:r w:rsidR="007E58B9" w:rsidRPr="00B1315C">
        <w:rPr>
          <w:lang w:val="en-GB"/>
        </w:rPr>
        <w:t>.</w:t>
      </w:r>
    </w:p>
    <w:p w14:paraId="6340B49B" w14:textId="58DE3F38" w:rsidR="006309AC" w:rsidRPr="006309AC" w:rsidRDefault="007E58B9" w:rsidP="00742E0B">
      <w:pPr>
        <w:rPr>
          <w:lang w:val="en-GB"/>
        </w:rPr>
      </w:pPr>
      <w:r w:rsidRPr="00AA62C9">
        <w:rPr>
          <w:b/>
          <w:u w:val="single"/>
          <w:lang w:val="en-GB"/>
        </w:rPr>
        <w:t>Observation 3.</w:t>
      </w:r>
      <w:r w:rsidR="00AA62C9">
        <w:rPr>
          <w:b/>
          <w:lang w:val="en-GB"/>
        </w:rPr>
        <w:t xml:space="preserve"> </w:t>
      </w:r>
      <w:r w:rsidR="00AA62C9" w:rsidRPr="00AA62C9">
        <w:rPr>
          <w:lang w:val="en-GB"/>
        </w:rPr>
        <w:t xml:space="preserve">Mandatory support of SCSF with </w:t>
      </w:r>
      <w:r w:rsidR="00AA62C9">
        <w:rPr>
          <w:lang w:val="en-GB"/>
        </w:rPr>
        <w:t xml:space="preserve">UE </w:t>
      </w:r>
      <w:r w:rsidR="00AA62C9" w:rsidRPr="00AA62C9">
        <w:rPr>
          <w:lang w:val="en-GB"/>
        </w:rPr>
        <w:t>categorization by response time provides the most flexibility to the network</w:t>
      </w:r>
      <w:r w:rsidR="00AA62C9">
        <w:rPr>
          <w:lang w:val="en-GB"/>
        </w:rPr>
        <w:t>,</w:t>
      </w:r>
      <w:r w:rsidR="00AA62C9" w:rsidRPr="00AA62C9">
        <w:rPr>
          <w:lang w:val="en-GB"/>
        </w:rPr>
        <w:t xml:space="preserve"> and avoid</w:t>
      </w:r>
      <w:r w:rsidR="00AA62C9">
        <w:rPr>
          <w:lang w:val="en-GB"/>
        </w:rPr>
        <w:t>s the issue where</w:t>
      </w:r>
      <w:r w:rsidR="00AA62C9" w:rsidRPr="00AA62C9">
        <w:rPr>
          <w:lang w:val="en-GB"/>
        </w:rPr>
        <w:t xml:space="preserve"> low category UEs </w:t>
      </w:r>
      <w:r w:rsidR="00374D9D">
        <w:rPr>
          <w:lang w:val="en-GB"/>
        </w:rPr>
        <w:t>degrade the resource availability of the network</w:t>
      </w:r>
      <w:r w:rsidR="00AA62C9">
        <w:rPr>
          <w:lang w:val="en-GB"/>
        </w:rPr>
        <w:t>.</w:t>
      </w:r>
    </w:p>
    <w:p w14:paraId="76CA4506" w14:textId="73599848" w:rsidR="00971F44" w:rsidRDefault="00CB0CE5" w:rsidP="00CB0CE5">
      <w:pPr>
        <w:pStyle w:val="Heading2"/>
      </w:pPr>
      <w:r>
        <w:t>Mandatory requirements</w:t>
      </w:r>
    </w:p>
    <w:p w14:paraId="40B46404" w14:textId="1C3C608B" w:rsidR="009D4A25" w:rsidRDefault="009D4A25" w:rsidP="00CE52E0">
      <w:pPr>
        <w:rPr>
          <w:lang w:val="en-GB"/>
        </w:rPr>
      </w:pPr>
      <w:r>
        <w:rPr>
          <w:lang w:val="en-GB"/>
        </w:rPr>
        <w:t>Given the discussion from the previous two sections, we come to our main proposal for processing time requirements in Release 15 UEs.</w:t>
      </w:r>
      <w:r w:rsidR="006309AC">
        <w:rPr>
          <w:lang w:val="en-GB"/>
        </w:rPr>
        <w:t xml:space="preserve"> Note that it is critical to establish this requirement and build UE categorization from this point, otherwise the forward compatibility of NR for future releases may be negatively affected by the framework established from NR legacy UEs.</w:t>
      </w:r>
    </w:p>
    <w:p w14:paraId="7F716112" w14:textId="13697D7C" w:rsidR="00C3376C" w:rsidRPr="00C25546" w:rsidRDefault="009D4A25" w:rsidP="00017928">
      <w:pPr>
        <w:rPr>
          <w:b/>
          <w:u w:val="single"/>
          <w:lang w:val="en-GB"/>
        </w:rPr>
      </w:pPr>
      <w:r w:rsidRPr="009D4A25">
        <w:rPr>
          <w:b/>
          <w:u w:val="single"/>
          <w:lang w:val="en-GB"/>
        </w:rPr>
        <w:t>Proposal 1.</w:t>
      </w:r>
      <w:r w:rsidR="006309AC" w:rsidRPr="006309AC">
        <w:rPr>
          <w:b/>
          <w:lang w:val="en-GB"/>
        </w:rPr>
        <w:t xml:space="preserve"> </w:t>
      </w:r>
      <w:r w:rsidR="006309AC" w:rsidRPr="006309AC">
        <w:rPr>
          <w:lang w:val="en-GB"/>
        </w:rPr>
        <w:t>Mandatory UE support of self-contained operation for forward compatibility and low latency</w:t>
      </w:r>
      <w:r w:rsidR="00BA5D45">
        <w:rPr>
          <w:lang w:val="en-GB"/>
        </w:rPr>
        <w:t>,</w:t>
      </w:r>
      <w:r w:rsidR="00BD2A58">
        <w:rPr>
          <w:lang w:val="en-GB"/>
        </w:rPr>
        <w:t xml:space="preserve"> at least for SCS of 30kHz and below.</w:t>
      </w:r>
    </w:p>
    <w:p w14:paraId="5BE0AC90" w14:textId="77777777" w:rsidR="00FC6D8C" w:rsidRDefault="003A38AC" w:rsidP="00AA0D9A">
      <w:pPr>
        <w:pStyle w:val="Heading1"/>
        <w:rPr>
          <w:sz w:val="40"/>
        </w:rPr>
      </w:pPr>
      <w:bookmarkStart w:id="7" w:name="_Ref378529477"/>
      <w:r w:rsidRPr="00E05BD3">
        <w:rPr>
          <w:sz w:val="40"/>
        </w:rPr>
        <w:t>C</w:t>
      </w:r>
      <w:r w:rsidR="001021DD" w:rsidRPr="00E05BD3">
        <w:rPr>
          <w:sz w:val="40"/>
        </w:rPr>
        <w:t>onclusions</w:t>
      </w:r>
    </w:p>
    <w:p w14:paraId="4CF8396E" w14:textId="77777777" w:rsidR="00FA1FE3" w:rsidRDefault="00FA1FE3" w:rsidP="00FA1FE3">
      <w:r w:rsidRPr="002C0411">
        <w:rPr>
          <w:b/>
          <w:u w:val="single"/>
        </w:rPr>
        <w:t>Observation 1.</w:t>
      </w:r>
      <w:r>
        <w:t xml:space="preserve"> </w:t>
      </w:r>
      <w:r w:rsidRPr="002C0411">
        <w:t>Application layer latency (after HARQ, RLC) and PER is the key for high throughput</w:t>
      </w:r>
      <w:r>
        <w:t>.</w:t>
      </w:r>
    </w:p>
    <w:p w14:paraId="7B33709F" w14:textId="77777777" w:rsidR="00FA1FE3" w:rsidRDefault="00FA1FE3" w:rsidP="00FA1FE3">
      <w:pPr>
        <w:rPr>
          <w:lang w:val="en-GB"/>
        </w:rPr>
      </w:pPr>
      <w:r w:rsidRPr="00F20B30">
        <w:rPr>
          <w:b/>
          <w:u w:val="single"/>
          <w:lang w:val="en-GB"/>
        </w:rPr>
        <w:t>Observation 2.</w:t>
      </w:r>
      <w:r>
        <w:rPr>
          <w:lang w:val="en-GB"/>
        </w:rPr>
        <w:t xml:space="preserve"> At cell edge, UEs which support self-contained operation are able to utilize even more uplink resources in a given time span as compared to UEs which are not capable of this operation. Lower latency turnaround can be easier at cell edge since the data rate requirements are less.</w:t>
      </w:r>
    </w:p>
    <w:p w14:paraId="42044A16" w14:textId="77777777" w:rsidR="007B1A77" w:rsidRPr="006309AC" w:rsidRDefault="007B1A77" w:rsidP="007B1A77">
      <w:pPr>
        <w:rPr>
          <w:lang w:val="en-GB"/>
        </w:rPr>
      </w:pPr>
      <w:r w:rsidRPr="00AA62C9">
        <w:rPr>
          <w:b/>
          <w:u w:val="single"/>
          <w:lang w:val="en-GB"/>
        </w:rPr>
        <w:t>Observation 3.</w:t>
      </w:r>
      <w:r>
        <w:rPr>
          <w:b/>
          <w:lang w:val="en-GB"/>
        </w:rPr>
        <w:t xml:space="preserve"> </w:t>
      </w:r>
      <w:r w:rsidRPr="00AA62C9">
        <w:rPr>
          <w:lang w:val="en-GB"/>
        </w:rPr>
        <w:t xml:space="preserve">Mandatory support of SCSF with </w:t>
      </w:r>
      <w:r>
        <w:rPr>
          <w:lang w:val="en-GB"/>
        </w:rPr>
        <w:t xml:space="preserve">UE </w:t>
      </w:r>
      <w:r w:rsidRPr="00AA62C9">
        <w:rPr>
          <w:lang w:val="en-GB"/>
        </w:rPr>
        <w:t>categorization by response time provides the most flexibility to the network</w:t>
      </w:r>
      <w:r>
        <w:rPr>
          <w:lang w:val="en-GB"/>
        </w:rPr>
        <w:t>,</w:t>
      </w:r>
      <w:r w:rsidRPr="00AA62C9">
        <w:rPr>
          <w:lang w:val="en-GB"/>
        </w:rPr>
        <w:t xml:space="preserve"> and avoid</w:t>
      </w:r>
      <w:r>
        <w:rPr>
          <w:lang w:val="en-GB"/>
        </w:rPr>
        <w:t>s the issue where</w:t>
      </w:r>
      <w:r w:rsidRPr="00AA62C9">
        <w:rPr>
          <w:lang w:val="en-GB"/>
        </w:rPr>
        <w:t xml:space="preserve"> low category UEs </w:t>
      </w:r>
      <w:r>
        <w:rPr>
          <w:lang w:val="en-GB"/>
        </w:rPr>
        <w:t>degrade the resource availability of the network.</w:t>
      </w:r>
    </w:p>
    <w:p w14:paraId="37D42798" w14:textId="7EF60E8E" w:rsidR="00FA1FE3" w:rsidRPr="00FA1FE3" w:rsidRDefault="00C25546" w:rsidP="00B930AA">
      <w:pPr>
        <w:rPr>
          <w:lang w:val="en-GB"/>
        </w:rPr>
      </w:pPr>
      <w:bookmarkStart w:id="8" w:name="_GoBack"/>
      <w:bookmarkEnd w:id="8"/>
      <w:r w:rsidRPr="009D4A25">
        <w:rPr>
          <w:b/>
          <w:u w:val="single"/>
          <w:lang w:val="en-GB"/>
        </w:rPr>
        <w:lastRenderedPageBreak/>
        <w:t>Proposal 1.</w:t>
      </w:r>
      <w:r w:rsidRPr="006309AC">
        <w:rPr>
          <w:b/>
          <w:lang w:val="en-GB"/>
        </w:rPr>
        <w:t xml:space="preserve"> </w:t>
      </w:r>
      <w:r w:rsidRPr="006309AC">
        <w:rPr>
          <w:lang w:val="en-GB"/>
        </w:rPr>
        <w:t>Mandatory UE support of self-contained operation for forward compatibility and low latency</w:t>
      </w:r>
      <w:r w:rsidR="009404ED">
        <w:rPr>
          <w:lang w:val="en-GB"/>
        </w:rPr>
        <w:t>,</w:t>
      </w:r>
      <w:r>
        <w:rPr>
          <w:lang w:val="en-GB"/>
        </w:rPr>
        <w:t xml:space="preserve"> at least for SCS of 30kHz and below.</w:t>
      </w:r>
    </w:p>
    <w:bookmarkEnd w:id="7"/>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6164DD" w:rsidRDefault="001F2982" w:rsidP="005D4043">
      <w:pPr>
        <w:numPr>
          <w:ilvl w:val="0"/>
          <w:numId w:val="2"/>
        </w:numPr>
        <w:spacing w:before="100" w:beforeAutospacing="1" w:after="100" w:afterAutospacing="1"/>
        <w:ind w:left="562" w:hanging="562"/>
      </w:pPr>
      <w:bookmarkStart w:id="9" w:name="_Ref458548305"/>
      <w:bookmarkStart w:id="10" w:name="_Ref430766234"/>
      <w:r w:rsidRPr="006164DD">
        <w:t xml:space="preserve">RAN1 #85 </w:t>
      </w:r>
      <w:r w:rsidR="00D610F8" w:rsidRPr="006164DD">
        <w:t>Chairman Notes</w:t>
      </w:r>
      <w:bookmarkEnd w:id="9"/>
    </w:p>
    <w:p w14:paraId="6B77F939" w14:textId="3A0CF4C8" w:rsidR="00403DC5" w:rsidRDefault="00403DC5" w:rsidP="00403DC5">
      <w:pPr>
        <w:numPr>
          <w:ilvl w:val="0"/>
          <w:numId w:val="2"/>
        </w:numPr>
        <w:spacing w:before="100" w:beforeAutospacing="1" w:after="100" w:afterAutospacing="1"/>
        <w:ind w:left="562" w:hanging="562"/>
      </w:pPr>
      <w:bookmarkStart w:id="11" w:name="_Ref481855311"/>
      <w:bookmarkStart w:id="12" w:name="_Ref458800081"/>
      <w:bookmarkEnd w:id="10"/>
      <w:r>
        <w:t>RAN1 #86bis Chairman Notes</w:t>
      </w:r>
      <w:bookmarkEnd w:id="11"/>
    </w:p>
    <w:p w14:paraId="5BE0AC99" w14:textId="023FFA75" w:rsidR="003855C1" w:rsidRPr="006164DD" w:rsidRDefault="00911CBA" w:rsidP="00911CBA">
      <w:pPr>
        <w:numPr>
          <w:ilvl w:val="0"/>
          <w:numId w:val="2"/>
        </w:numPr>
        <w:spacing w:before="100" w:beforeAutospacing="1" w:after="100" w:afterAutospacing="1"/>
      </w:pPr>
      <w:bookmarkStart w:id="13" w:name="_Ref481855604"/>
      <w:r w:rsidRPr="006164DD">
        <w:t>R1-166361, “Control interval and scheduling interval”, Qualcomm Incorporated, RAN1 #86, Gothenburg, Sweden</w:t>
      </w:r>
      <w:bookmarkEnd w:id="12"/>
      <w:bookmarkEnd w:id="13"/>
    </w:p>
    <w:p w14:paraId="3B9EEDC0" w14:textId="0DC57CC8" w:rsidR="002B0BEF" w:rsidRPr="006164DD" w:rsidRDefault="002B0BEF" w:rsidP="002B0BEF">
      <w:pPr>
        <w:numPr>
          <w:ilvl w:val="0"/>
          <w:numId w:val="2"/>
        </w:numPr>
        <w:spacing w:before="100" w:beforeAutospacing="1" w:after="100" w:afterAutospacing="1"/>
      </w:pPr>
      <w:bookmarkStart w:id="14" w:name="_Ref458798945"/>
      <w:r w:rsidRPr="006164DD">
        <w:t xml:space="preserve">R1-166363, “Scalable Numerology Control Design for NR”, </w:t>
      </w:r>
      <w:r w:rsidR="00775B1D" w:rsidRPr="006164DD">
        <w:t>Qualcomm Incorporated, RAN1</w:t>
      </w:r>
      <w:r w:rsidRPr="006164DD">
        <w:t xml:space="preserve"> #86, Gothenburg, Sweden</w:t>
      </w:r>
      <w:bookmarkEnd w:id="14"/>
    </w:p>
    <w:p w14:paraId="41DCB1CB" w14:textId="77777777" w:rsidR="00C21436" w:rsidRPr="006164DD" w:rsidRDefault="00C21436" w:rsidP="00C21436">
      <w:pPr>
        <w:numPr>
          <w:ilvl w:val="0"/>
          <w:numId w:val="2"/>
        </w:numPr>
        <w:spacing w:before="100" w:beforeAutospacing="1" w:after="100" w:afterAutospacing="1"/>
      </w:pPr>
      <w:bookmarkStart w:id="15" w:name="_Ref481855710"/>
      <w:r w:rsidRPr="006164DD">
        <w:t>R1-1612077, “DL processing time consideration”, Qualcomm Incorporated, RAN1 #87, Reno, USA</w:t>
      </w:r>
      <w:bookmarkEnd w:id="15"/>
    </w:p>
    <w:p w14:paraId="3FC7FD6C" w14:textId="371360F0" w:rsidR="00D234B2" w:rsidRPr="00D234B2" w:rsidRDefault="00C21436" w:rsidP="00D234B2">
      <w:pPr>
        <w:numPr>
          <w:ilvl w:val="0"/>
          <w:numId w:val="2"/>
        </w:numPr>
        <w:spacing w:before="100" w:beforeAutospacing="1" w:after="100" w:afterAutospacing="1"/>
      </w:pPr>
      <w:bookmarkStart w:id="16" w:name="_Ref481855712"/>
      <w:r w:rsidRPr="006164DD">
        <w:t>R1-1612078, “UL processing time consideration”, Qualcomm Incorporated, RAN1 #87, Reno, USA</w:t>
      </w:r>
      <w:bookmarkEnd w:id="16"/>
    </w:p>
    <w:p w14:paraId="16E34FA1" w14:textId="1F4242E8" w:rsidR="00D234B2" w:rsidRDefault="00D234B2" w:rsidP="00D234B2">
      <w:pPr>
        <w:numPr>
          <w:ilvl w:val="0"/>
          <w:numId w:val="2"/>
        </w:numPr>
        <w:spacing w:before="100" w:beforeAutospacing="1" w:after="100" w:afterAutospacing="1"/>
      </w:pPr>
      <w:r w:rsidRPr="00D234B2">
        <w:t>3GPP TR 38.912</w:t>
      </w:r>
      <w:r>
        <w:t>, “</w:t>
      </w:r>
      <w:r w:rsidRPr="00D234B2">
        <w:t>Study on New Radio (NR) access technology</w:t>
      </w:r>
      <w:r>
        <w:t>”</w:t>
      </w:r>
    </w:p>
    <w:p w14:paraId="4C0D8B88" w14:textId="59B3E2B2" w:rsidR="00C86345" w:rsidRPr="006164DD" w:rsidRDefault="00C86345" w:rsidP="00D234B2">
      <w:pPr>
        <w:numPr>
          <w:ilvl w:val="0"/>
          <w:numId w:val="2"/>
        </w:numPr>
        <w:spacing w:before="100" w:beforeAutospacing="1" w:after="100" w:afterAutospacing="1"/>
      </w:pPr>
      <w:bookmarkStart w:id="17" w:name="_Ref481857960"/>
      <w:r w:rsidRPr="00C86345">
        <w:t xml:space="preserve">3GPP TR 38.913: "Study on Scenarios and Requirements for Next </w:t>
      </w:r>
      <w:r>
        <w:t>Generation Access Technologies"</w:t>
      </w:r>
      <w:bookmarkEnd w:id="17"/>
    </w:p>
    <w:p w14:paraId="52C34DF7" w14:textId="77777777" w:rsidR="00035A4E" w:rsidRDefault="00035A4E" w:rsidP="00035A4E">
      <w:pPr>
        <w:numPr>
          <w:ilvl w:val="0"/>
          <w:numId w:val="2"/>
        </w:numPr>
        <w:spacing w:before="100" w:beforeAutospacing="1" w:after="100" w:afterAutospacing="1"/>
        <w:ind w:left="562" w:hanging="562"/>
      </w:pPr>
      <w:bookmarkStart w:id="18" w:name="_Ref481859758"/>
      <w:r w:rsidRPr="00F66554">
        <w:t>R1-1702648</w:t>
      </w:r>
      <w:r w:rsidRPr="003E629C">
        <w:t>, “</w:t>
      </w:r>
      <w:r w:rsidRPr="006F269B">
        <w:t>Dynamic TDD performance evaluation</w:t>
      </w:r>
      <w:r>
        <w:t>”, Qualcomm Incorporated</w:t>
      </w:r>
      <w:r w:rsidRPr="006164DD">
        <w:t>, RAN1 #88, Athens, Greece</w:t>
      </w:r>
      <w:bookmarkEnd w:id="18"/>
    </w:p>
    <w:p w14:paraId="4E9AA74A" w14:textId="63EE1763" w:rsidR="00035A4E" w:rsidRDefault="00035A4E" w:rsidP="00035A4E">
      <w:pPr>
        <w:numPr>
          <w:ilvl w:val="0"/>
          <w:numId w:val="2"/>
        </w:numPr>
        <w:spacing w:before="100" w:beforeAutospacing="1" w:after="100" w:afterAutospacing="1"/>
      </w:pPr>
      <w:bookmarkStart w:id="19" w:name="_Ref481859760"/>
      <w:r w:rsidRPr="00F66554">
        <w:t>R1-170264</w:t>
      </w:r>
      <w:r>
        <w:t>9</w:t>
      </w:r>
      <w:r w:rsidRPr="003E629C">
        <w:t>, “</w:t>
      </w:r>
      <w:r w:rsidRPr="00353A5A">
        <w:t>Dynamic TDD interference management considerations</w:t>
      </w:r>
      <w:r>
        <w:t>”, Qualcomm Incorporated</w:t>
      </w:r>
      <w:r w:rsidRPr="006164DD">
        <w:t>, RAN1 #88, Athens, Greece</w:t>
      </w:r>
      <w:bookmarkEnd w:id="19"/>
    </w:p>
    <w:p w14:paraId="40042567" w14:textId="698F94DA" w:rsidR="00F8212C" w:rsidRDefault="00F8212C" w:rsidP="00035A4E">
      <w:pPr>
        <w:numPr>
          <w:ilvl w:val="0"/>
          <w:numId w:val="2"/>
        </w:numPr>
        <w:spacing w:before="100" w:beforeAutospacing="1" w:after="100" w:afterAutospacing="1"/>
      </w:pPr>
      <w:bookmarkStart w:id="20" w:name="_Ref481864320"/>
      <w:r>
        <w:t>R1-1705621, “Slot aggregation”, RAN1 #88bis, Spokane, USA</w:t>
      </w:r>
      <w:bookmarkEnd w:id="20"/>
    </w:p>
    <w:p w14:paraId="155A289B" w14:textId="5C6903E2" w:rsidR="004336D8" w:rsidRPr="006164DD" w:rsidRDefault="004A08C9" w:rsidP="002D4591">
      <w:pPr>
        <w:numPr>
          <w:ilvl w:val="0"/>
          <w:numId w:val="2"/>
        </w:numPr>
        <w:spacing w:before="100" w:beforeAutospacing="1" w:after="100" w:afterAutospacing="1"/>
      </w:pPr>
      <w:bookmarkStart w:id="21" w:name="_Ref481862942"/>
      <w:r w:rsidRPr="004A08C9">
        <w:t>R1-1708627</w:t>
      </w:r>
      <w:r>
        <w:t>, “</w:t>
      </w:r>
      <w:r w:rsidRPr="004A08C9">
        <w:t>Mixed HARQ Processing Time Support</w:t>
      </w:r>
      <w:r>
        <w:t>”, RAN1 #89, Hangzhou, China</w:t>
      </w:r>
      <w:bookmarkEnd w:id="21"/>
    </w:p>
    <w:sectPr w:rsidR="004336D8" w:rsidRPr="006164DD"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4B2ED" w14:textId="77777777" w:rsidR="006136A9" w:rsidRDefault="006136A9">
      <w:r>
        <w:separator/>
      </w:r>
    </w:p>
  </w:endnote>
  <w:endnote w:type="continuationSeparator" w:id="0">
    <w:p w14:paraId="2311BEA7" w14:textId="77777777" w:rsidR="006136A9" w:rsidRDefault="006136A9">
      <w:r>
        <w:continuationSeparator/>
      </w:r>
    </w:p>
  </w:endnote>
  <w:endnote w:type="continuationNotice" w:id="1">
    <w:p w14:paraId="77B9448A" w14:textId="77777777" w:rsidR="006136A9" w:rsidRDefault="00613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7E58B9" w:rsidRDefault="007E58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E58B9" w:rsidRDefault="007E58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0F547CA9" w:rsidR="007E58B9" w:rsidRDefault="007E58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1A7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1A7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C71ED" w14:textId="77777777" w:rsidR="006136A9" w:rsidRDefault="006136A9">
      <w:r>
        <w:separator/>
      </w:r>
    </w:p>
  </w:footnote>
  <w:footnote w:type="continuationSeparator" w:id="0">
    <w:p w14:paraId="3AE7CA49" w14:textId="77777777" w:rsidR="006136A9" w:rsidRDefault="006136A9">
      <w:r>
        <w:continuationSeparator/>
      </w:r>
    </w:p>
  </w:footnote>
  <w:footnote w:type="continuationNotice" w:id="1">
    <w:p w14:paraId="1161B105" w14:textId="77777777" w:rsidR="006136A9" w:rsidRDefault="00613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7E58B9" w:rsidRDefault="007E58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7A17AA"/>
    <w:multiLevelType w:val="hybridMultilevel"/>
    <w:tmpl w:val="F8BE2412"/>
    <w:lvl w:ilvl="0" w:tplc="1730F088">
      <w:start w:val="1"/>
      <w:numFmt w:val="bullet"/>
      <w:lvlText w:val=""/>
      <w:lvlJc w:val="left"/>
      <w:pPr>
        <w:tabs>
          <w:tab w:val="num" w:pos="720"/>
        </w:tabs>
        <w:ind w:left="720" w:hanging="360"/>
      </w:pPr>
      <w:rPr>
        <w:rFonts w:ascii="Symbol" w:hAnsi="Symbol" w:hint="default"/>
      </w:rPr>
    </w:lvl>
    <w:lvl w:ilvl="1" w:tplc="58F66DC4" w:tentative="1">
      <w:start w:val="1"/>
      <w:numFmt w:val="bullet"/>
      <w:lvlText w:val=""/>
      <w:lvlJc w:val="left"/>
      <w:pPr>
        <w:tabs>
          <w:tab w:val="num" w:pos="1440"/>
        </w:tabs>
        <w:ind w:left="1440" w:hanging="360"/>
      </w:pPr>
      <w:rPr>
        <w:rFonts w:ascii="Symbol" w:hAnsi="Symbol" w:hint="default"/>
      </w:rPr>
    </w:lvl>
    <w:lvl w:ilvl="2" w:tplc="6D4A43CC" w:tentative="1">
      <w:start w:val="1"/>
      <w:numFmt w:val="bullet"/>
      <w:lvlText w:val=""/>
      <w:lvlJc w:val="left"/>
      <w:pPr>
        <w:tabs>
          <w:tab w:val="num" w:pos="2160"/>
        </w:tabs>
        <w:ind w:left="2160" w:hanging="360"/>
      </w:pPr>
      <w:rPr>
        <w:rFonts w:ascii="Symbol" w:hAnsi="Symbol" w:hint="default"/>
      </w:rPr>
    </w:lvl>
    <w:lvl w:ilvl="3" w:tplc="5152385E" w:tentative="1">
      <w:start w:val="1"/>
      <w:numFmt w:val="bullet"/>
      <w:lvlText w:val=""/>
      <w:lvlJc w:val="left"/>
      <w:pPr>
        <w:tabs>
          <w:tab w:val="num" w:pos="2880"/>
        </w:tabs>
        <w:ind w:left="2880" w:hanging="360"/>
      </w:pPr>
      <w:rPr>
        <w:rFonts w:ascii="Symbol" w:hAnsi="Symbol" w:hint="default"/>
      </w:rPr>
    </w:lvl>
    <w:lvl w:ilvl="4" w:tplc="B7E2F542" w:tentative="1">
      <w:start w:val="1"/>
      <w:numFmt w:val="bullet"/>
      <w:lvlText w:val=""/>
      <w:lvlJc w:val="left"/>
      <w:pPr>
        <w:tabs>
          <w:tab w:val="num" w:pos="3600"/>
        </w:tabs>
        <w:ind w:left="3600" w:hanging="360"/>
      </w:pPr>
      <w:rPr>
        <w:rFonts w:ascii="Symbol" w:hAnsi="Symbol" w:hint="default"/>
      </w:rPr>
    </w:lvl>
    <w:lvl w:ilvl="5" w:tplc="8F5C44A0" w:tentative="1">
      <w:start w:val="1"/>
      <w:numFmt w:val="bullet"/>
      <w:lvlText w:val=""/>
      <w:lvlJc w:val="left"/>
      <w:pPr>
        <w:tabs>
          <w:tab w:val="num" w:pos="4320"/>
        </w:tabs>
        <w:ind w:left="4320" w:hanging="360"/>
      </w:pPr>
      <w:rPr>
        <w:rFonts w:ascii="Symbol" w:hAnsi="Symbol" w:hint="default"/>
      </w:rPr>
    </w:lvl>
    <w:lvl w:ilvl="6" w:tplc="04F47F28" w:tentative="1">
      <w:start w:val="1"/>
      <w:numFmt w:val="bullet"/>
      <w:lvlText w:val=""/>
      <w:lvlJc w:val="left"/>
      <w:pPr>
        <w:tabs>
          <w:tab w:val="num" w:pos="5040"/>
        </w:tabs>
        <w:ind w:left="5040" w:hanging="360"/>
      </w:pPr>
      <w:rPr>
        <w:rFonts w:ascii="Symbol" w:hAnsi="Symbol" w:hint="default"/>
      </w:rPr>
    </w:lvl>
    <w:lvl w:ilvl="7" w:tplc="A4AE572E" w:tentative="1">
      <w:start w:val="1"/>
      <w:numFmt w:val="bullet"/>
      <w:lvlText w:val=""/>
      <w:lvlJc w:val="left"/>
      <w:pPr>
        <w:tabs>
          <w:tab w:val="num" w:pos="5760"/>
        </w:tabs>
        <w:ind w:left="5760" w:hanging="360"/>
      </w:pPr>
      <w:rPr>
        <w:rFonts w:ascii="Symbol" w:hAnsi="Symbol" w:hint="default"/>
      </w:rPr>
    </w:lvl>
    <w:lvl w:ilvl="8" w:tplc="07EE98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24C6CAB"/>
    <w:multiLevelType w:val="hybridMultilevel"/>
    <w:tmpl w:val="CD0AAD64"/>
    <w:lvl w:ilvl="0" w:tplc="7C3A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702945"/>
    <w:multiLevelType w:val="hybridMultilevel"/>
    <w:tmpl w:val="E5EAE3E4"/>
    <w:lvl w:ilvl="0" w:tplc="4C806328">
      <w:start w:val="1"/>
      <w:numFmt w:val="bullet"/>
      <w:lvlText w:val=""/>
      <w:lvlJc w:val="left"/>
      <w:pPr>
        <w:tabs>
          <w:tab w:val="num" w:pos="720"/>
        </w:tabs>
        <w:ind w:left="720" w:hanging="360"/>
      </w:pPr>
      <w:rPr>
        <w:rFonts w:ascii="Symbol" w:hAnsi="Symbol" w:hint="default"/>
      </w:rPr>
    </w:lvl>
    <w:lvl w:ilvl="1" w:tplc="6A887AB4">
      <w:numFmt w:val="bullet"/>
      <w:lvlText w:val="−"/>
      <w:lvlJc w:val="left"/>
      <w:pPr>
        <w:tabs>
          <w:tab w:val="num" w:pos="1440"/>
        </w:tabs>
        <w:ind w:left="1440" w:hanging="360"/>
      </w:pPr>
      <w:rPr>
        <w:rFonts w:ascii="Calibre Regular" w:hAnsi="Calibre Regular" w:hint="default"/>
      </w:rPr>
    </w:lvl>
    <w:lvl w:ilvl="2" w:tplc="ACB04E22" w:tentative="1">
      <w:start w:val="1"/>
      <w:numFmt w:val="bullet"/>
      <w:lvlText w:val=""/>
      <w:lvlJc w:val="left"/>
      <w:pPr>
        <w:tabs>
          <w:tab w:val="num" w:pos="2160"/>
        </w:tabs>
        <w:ind w:left="2160" w:hanging="360"/>
      </w:pPr>
      <w:rPr>
        <w:rFonts w:ascii="Symbol" w:hAnsi="Symbol" w:hint="default"/>
      </w:rPr>
    </w:lvl>
    <w:lvl w:ilvl="3" w:tplc="F970DAF8" w:tentative="1">
      <w:start w:val="1"/>
      <w:numFmt w:val="bullet"/>
      <w:lvlText w:val=""/>
      <w:lvlJc w:val="left"/>
      <w:pPr>
        <w:tabs>
          <w:tab w:val="num" w:pos="2880"/>
        </w:tabs>
        <w:ind w:left="2880" w:hanging="360"/>
      </w:pPr>
      <w:rPr>
        <w:rFonts w:ascii="Symbol" w:hAnsi="Symbol" w:hint="default"/>
      </w:rPr>
    </w:lvl>
    <w:lvl w:ilvl="4" w:tplc="08504070" w:tentative="1">
      <w:start w:val="1"/>
      <w:numFmt w:val="bullet"/>
      <w:lvlText w:val=""/>
      <w:lvlJc w:val="left"/>
      <w:pPr>
        <w:tabs>
          <w:tab w:val="num" w:pos="3600"/>
        </w:tabs>
        <w:ind w:left="3600" w:hanging="360"/>
      </w:pPr>
      <w:rPr>
        <w:rFonts w:ascii="Symbol" w:hAnsi="Symbol" w:hint="default"/>
      </w:rPr>
    </w:lvl>
    <w:lvl w:ilvl="5" w:tplc="74988EEE" w:tentative="1">
      <w:start w:val="1"/>
      <w:numFmt w:val="bullet"/>
      <w:lvlText w:val=""/>
      <w:lvlJc w:val="left"/>
      <w:pPr>
        <w:tabs>
          <w:tab w:val="num" w:pos="4320"/>
        </w:tabs>
        <w:ind w:left="4320" w:hanging="360"/>
      </w:pPr>
      <w:rPr>
        <w:rFonts w:ascii="Symbol" w:hAnsi="Symbol" w:hint="default"/>
      </w:rPr>
    </w:lvl>
    <w:lvl w:ilvl="6" w:tplc="A40033B0" w:tentative="1">
      <w:start w:val="1"/>
      <w:numFmt w:val="bullet"/>
      <w:lvlText w:val=""/>
      <w:lvlJc w:val="left"/>
      <w:pPr>
        <w:tabs>
          <w:tab w:val="num" w:pos="5040"/>
        </w:tabs>
        <w:ind w:left="5040" w:hanging="360"/>
      </w:pPr>
      <w:rPr>
        <w:rFonts w:ascii="Symbol" w:hAnsi="Symbol" w:hint="default"/>
      </w:rPr>
    </w:lvl>
    <w:lvl w:ilvl="7" w:tplc="67BE821E" w:tentative="1">
      <w:start w:val="1"/>
      <w:numFmt w:val="bullet"/>
      <w:lvlText w:val=""/>
      <w:lvlJc w:val="left"/>
      <w:pPr>
        <w:tabs>
          <w:tab w:val="num" w:pos="5760"/>
        </w:tabs>
        <w:ind w:left="5760" w:hanging="360"/>
      </w:pPr>
      <w:rPr>
        <w:rFonts w:ascii="Symbol" w:hAnsi="Symbol" w:hint="default"/>
      </w:rPr>
    </w:lvl>
    <w:lvl w:ilvl="8" w:tplc="499EA9C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242029"/>
    <w:multiLevelType w:val="hybridMultilevel"/>
    <w:tmpl w:val="07D03770"/>
    <w:lvl w:ilvl="0" w:tplc="2D06B544">
      <w:start w:val="1"/>
      <w:numFmt w:val="bullet"/>
      <w:lvlText w:val=""/>
      <w:lvlJc w:val="left"/>
      <w:pPr>
        <w:tabs>
          <w:tab w:val="num" w:pos="720"/>
        </w:tabs>
        <w:ind w:left="720" w:hanging="360"/>
      </w:pPr>
      <w:rPr>
        <w:rFonts w:ascii="Symbol" w:hAnsi="Symbol" w:hint="default"/>
      </w:rPr>
    </w:lvl>
    <w:lvl w:ilvl="1" w:tplc="7BE47EC0">
      <w:numFmt w:val="bullet"/>
      <w:lvlText w:val="−"/>
      <w:lvlJc w:val="left"/>
      <w:pPr>
        <w:tabs>
          <w:tab w:val="num" w:pos="1440"/>
        </w:tabs>
        <w:ind w:left="1440" w:hanging="360"/>
      </w:pPr>
      <w:rPr>
        <w:rFonts w:ascii="Calibre Regular" w:hAnsi="Calibre Regular" w:hint="default"/>
      </w:rPr>
    </w:lvl>
    <w:lvl w:ilvl="2" w:tplc="0D340A7C" w:tentative="1">
      <w:start w:val="1"/>
      <w:numFmt w:val="bullet"/>
      <w:lvlText w:val=""/>
      <w:lvlJc w:val="left"/>
      <w:pPr>
        <w:tabs>
          <w:tab w:val="num" w:pos="2160"/>
        </w:tabs>
        <w:ind w:left="2160" w:hanging="360"/>
      </w:pPr>
      <w:rPr>
        <w:rFonts w:ascii="Symbol" w:hAnsi="Symbol" w:hint="default"/>
      </w:rPr>
    </w:lvl>
    <w:lvl w:ilvl="3" w:tplc="73143020" w:tentative="1">
      <w:start w:val="1"/>
      <w:numFmt w:val="bullet"/>
      <w:lvlText w:val=""/>
      <w:lvlJc w:val="left"/>
      <w:pPr>
        <w:tabs>
          <w:tab w:val="num" w:pos="2880"/>
        </w:tabs>
        <w:ind w:left="2880" w:hanging="360"/>
      </w:pPr>
      <w:rPr>
        <w:rFonts w:ascii="Symbol" w:hAnsi="Symbol" w:hint="default"/>
      </w:rPr>
    </w:lvl>
    <w:lvl w:ilvl="4" w:tplc="A4F8702C" w:tentative="1">
      <w:start w:val="1"/>
      <w:numFmt w:val="bullet"/>
      <w:lvlText w:val=""/>
      <w:lvlJc w:val="left"/>
      <w:pPr>
        <w:tabs>
          <w:tab w:val="num" w:pos="3600"/>
        </w:tabs>
        <w:ind w:left="3600" w:hanging="360"/>
      </w:pPr>
      <w:rPr>
        <w:rFonts w:ascii="Symbol" w:hAnsi="Symbol" w:hint="default"/>
      </w:rPr>
    </w:lvl>
    <w:lvl w:ilvl="5" w:tplc="CC603418" w:tentative="1">
      <w:start w:val="1"/>
      <w:numFmt w:val="bullet"/>
      <w:lvlText w:val=""/>
      <w:lvlJc w:val="left"/>
      <w:pPr>
        <w:tabs>
          <w:tab w:val="num" w:pos="4320"/>
        </w:tabs>
        <w:ind w:left="4320" w:hanging="360"/>
      </w:pPr>
      <w:rPr>
        <w:rFonts w:ascii="Symbol" w:hAnsi="Symbol" w:hint="default"/>
      </w:rPr>
    </w:lvl>
    <w:lvl w:ilvl="6" w:tplc="CA28D378" w:tentative="1">
      <w:start w:val="1"/>
      <w:numFmt w:val="bullet"/>
      <w:lvlText w:val=""/>
      <w:lvlJc w:val="left"/>
      <w:pPr>
        <w:tabs>
          <w:tab w:val="num" w:pos="5040"/>
        </w:tabs>
        <w:ind w:left="5040" w:hanging="360"/>
      </w:pPr>
      <w:rPr>
        <w:rFonts w:ascii="Symbol" w:hAnsi="Symbol" w:hint="default"/>
      </w:rPr>
    </w:lvl>
    <w:lvl w:ilvl="7" w:tplc="34783060" w:tentative="1">
      <w:start w:val="1"/>
      <w:numFmt w:val="bullet"/>
      <w:lvlText w:val=""/>
      <w:lvlJc w:val="left"/>
      <w:pPr>
        <w:tabs>
          <w:tab w:val="num" w:pos="5760"/>
        </w:tabs>
        <w:ind w:left="5760" w:hanging="360"/>
      </w:pPr>
      <w:rPr>
        <w:rFonts w:ascii="Symbol" w:hAnsi="Symbol" w:hint="default"/>
      </w:rPr>
    </w:lvl>
    <w:lvl w:ilvl="8" w:tplc="555C068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F18133D"/>
    <w:multiLevelType w:val="hybridMultilevel"/>
    <w:tmpl w:val="70A6E854"/>
    <w:lvl w:ilvl="0" w:tplc="5A62DC7E">
      <w:start w:val="1"/>
      <w:numFmt w:val="bullet"/>
      <w:lvlText w:val=""/>
      <w:lvlJc w:val="left"/>
      <w:pPr>
        <w:tabs>
          <w:tab w:val="num" w:pos="720"/>
        </w:tabs>
        <w:ind w:left="720" w:hanging="360"/>
      </w:pPr>
      <w:rPr>
        <w:rFonts w:ascii="Symbol" w:hAnsi="Symbol" w:hint="default"/>
      </w:rPr>
    </w:lvl>
    <w:lvl w:ilvl="1" w:tplc="5E346F42" w:tentative="1">
      <w:start w:val="1"/>
      <w:numFmt w:val="bullet"/>
      <w:lvlText w:val=""/>
      <w:lvlJc w:val="left"/>
      <w:pPr>
        <w:tabs>
          <w:tab w:val="num" w:pos="1440"/>
        </w:tabs>
        <w:ind w:left="1440" w:hanging="360"/>
      </w:pPr>
      <w:rPr>
        <w:rFonts w:ascii="Symbol" w:hAnsi="Symbol" w:hint="default"/>
      </w:rPr>
    </w:lvl>
    <w:lvl w:ilvl="2" w:tplc="D8CEEB80" w:tentative="1">
      <w:start w:val="1"/>
      <w:numFmt w:val="bullet"/>
      <w:lvlText w:val=""/>
      <w:lvlJc w:val="left"/>
      <w:pPr>
        <w:tabs>
          <w:tab w:val="num" w:pos="2160"/>
        </w:tabs>
        <w:ind w:left="2160" w:hanging="360"/>
      </w:pPr>
      <w:rPr>
        <w:rFonts w:ascii="Symbol" w:hAnsi="Symbol" w:hint="default"/>
      </w:rPr>
    </w:lvl>
    <w:lvl w:ilvl="3" w:tplc="5260BF56" w:tentative="1">
      <w:start w:val="1"/>
      <w:numFmt w:val="bullet"/>
      <w:lvlText w:val=""/>
      <w:lvlJc w:val="left"/>
      <w:pPr>
        <w:tabs>
          <w:tab w:val="num" w:pos="2880"/>
        </w:tabs>
        <w:ind w:left="2880" w:hanging="360"/>
      </w:pPr>
      <w:rPr>
        <w:rFonts w:ascii="Symbol" w:hAnsi="Symbol" w:hint="default"/>
      </w:rPr>
    </w:lvl>
    <w:lvl w:ilvl="4" w:tplc="0060A67C" w:tentative="1">
      <w:start w:val="1"/>
      <w:numFmt w:val="bullet"/>
      <w:lvlText w:val=""/>
      <w:lvlJc w:val="left"/>
      <w:pPr>
        <w:tabs>
          <w:tab w:val="num" w:pos="3600"/>
        </w:tabs>
        <w:ind w:left="3600" w:hanging="360"/>
      </w:pPr>
      <w:rPr>
        <w:rFonts w:ascii="Symbol" w:hAnsi="Symbol" w:hint="default"/>
      </w:rPr>
    </w:lvl>
    <w:lvl w:ilvl="5" w:tplc="5B5C51D6" w:tentative="1">
      <w:start w:val="1"/>
      <w:numFmt w:val="bullet"/>
      <w:lvlText w:val=""/>
      <w:lvlJc w:val="left"/>
      <w:pPr>
        <w:tabs>
          <w:tab w:val="num" w:pos="4320"/>
        </w:tabs>
        <w:ind w:left="4320" w:hanging="360"/>
      </w:pPr>
      <w:rPr>
        <w:rFonts w:ascii="Symbol" w:hAnsi="Symbol" w:hint="default"/>
      </w:rPr>
    </w:lvl>
    <w:lvl w:ilvl="6" w:tplc="FF3664E2" w:tentative="1">
      <w:start w:val="1"/>
      <w:numFmt w:val="bullet"/>
      <w:lvlText w:val=""/>
      <w:lvlJc w:val="left"/>
      <w:pPr>
        <w:tabs>
          <w:tab w:val="num" w:pos="5040"/>
        </w:tabs>
        <w:ind w:left="5040" w:hanging="360"/>
      </w:pPr>
      <w:rPr>
        <w:rFonts w:ascii="Symbol" w:hAnsi="Symbol" w:hint="default"/>
      </w:rPr>
    </w:lvl>
    <w:lvl w:ilvl="7" w:tplc="982A162C" w:tentative="1">
      <w:start w:val="1"/>
      <w:numFmt w:val="bullet"/>
      <w:lvlText w:val=""/>
      <w:lvlJc w:val="left"/>
      <w:pPr>
        <w:tabs>
          <w:tab w:val="num" w:pos="5760"/>
        </w:tabs>
        <w:ind w:left="5760" w:hanging="360"/>
      </w:pPr>
      <w:rPr>
        <w:rFonts w:ascii="Symbol" w:hAnsi="Symbol" w:hint="default"/>
      </w:rPr>
    </w:lvl>
    <w:lvl w:ilvl="8" w:tplc="FD28821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781E74FC"/>
    <w:multiLevelType w:val="hybridMultilevel"/>
    <w:tmpl w:val="5E58DCC6"/>
    <w:lvl w:ilvl="0" w:tplc="2B407E52">
      <w:start w:val="1"/>
      <w:numFmt w:val="bullet"/>
      <w:lvlText w:val="•"/>
      <w:lvlJc w:val="left"/>
      <w:pPr>
        <w:tabs>
          <w:tab w:val="num" w:pos="720"/>
        </w:tabs>
        <w:ind w:left="720" w:hanging="360"/>
      </w:pPr>
      <w:rPr>
        <w:rFonts w:ascii="Arial" w:hAnsi="Arial" w:hint="default"/>
      </w:rPr>
    </w:lvl>
    <w:lvl w:ilvl="1" w:tplc="6CD2331A" w:tentative="1">
      <w:start w:val="1"/>
      <w:numFmt w:val="bullet"/>
      <w:lvlText w:val="•"/>
      <w:lvlJc w:val="left"/>
      <w:pPr>
        <w:tabs>
          <w:tab w:val="num" w:pos="1440"/>
        </w:tabs>
        <w:ind w:left="1440" w:hanging="360"/>
      </w:pPr>
      <w:rPr>
        <w:rFonts w:ascii="Arial" w:hAnsi="Arial" w:hint="default"/>
      </w:rPr>
    </w:lvl>
    <w:lvl w:ilvl="2" w:tplc="ECC292E0" w:tentative="1">
      <w:start w:val="1"/>
      <w:numFmt w:val="bullet"/>
      <w:lvlText w:val="•"/>
      <w:lvlJc w:val="left"/>
      <w:pPr>
        <w:tabs>
          <w:tab w:val="num" w:pos="2160"/>
        </w:tabs>
        <w:ind w:left="2160" w:hanging="360"/>
      </w:pPr>
      <w:rPr>
        <w:rFonts w:ascii="Arial" w:hAnsi="Arial" w:hint="default"/>
      </w:rPr>
    </w:lvl>
    <w:lvl w:ilvl="3" w:tplc="48F0AD48" w:tentative="1">
      <w:start w:val="1"/>
      <w:numFmt w:val="bullet"/>
      <w:lvlText w:val="•"/>
      <w:lvlJc w:val="left"/>
      <w:pPr>
        <w:tabs>
          <w:tab w:val="num" w:pos="2880"/>
        </w:tabs>
        <w:ind w:left="2880" w:hanging="360"/>
      </w:pPr>
      <w:rPr>
        <w:rFonts w:ascii="Arial" w:hAnsi="Arial" w:hint="default"/>
      </w:rPr>
    </w:lvl>
    <w:lvl w:ilvl="4" w:tplc="47A62418" w:tentative="1">
      <w:start w:val="1"/>
      <w:numFmt w:val="bullet"/>
      <w:lvlText w:val="•"/>
      <w:lvlJc w:val="left"/>
      <w:pPr>
        <w:tabs>
          <w:tab w:val="num" w:pos="3600"/>
        </w:tabs>
        <w:ind w:left="3600" w:hanging="360"/>
      </w:pPr>
      <w:rPr>
        <w:rFonts w:ascii="Arial" w:hAnsi="Arial" w:hint="default"/>
      </w:rPr>
    </w:lvl>
    <w:lvl w:ilvl="5" w:tplc="0CEC384E" w:tentative="1">
      <w:start w:val="1"/>
      <w:numFmt w:val="bullet"/>
      <w:lvlText w:val="•"/>
      <w:lvlJc w:val="left"/>
      <w:pPr>
        <w:tabs>
          <w:tab w:val="num" w:pos="4320"/>
        </w:tabs>
        <w:ind w:left="4320" w:hanging="360"/>
      </w:pPr>
      <w:rPr>
        <w:rFonts w:ascii="Arial" w:hAnsi="Arial" w:hint="default"/>
      </w:rPr>
    </w:lvl>
    <w:lvl w:ilvl="6" w:tplc="9258E480" w:tentative="1">
      <w:start w:val="1"/>
      <w:numFmt w:val="bullet"/>
      <w:lvlText w:val="•"/>
      <w:lvlJc w:val="left"/>
      <w:pPr>
        <w:tabs>
          <w:tab w:val="num" w:pos="5040"/>
        </w:tabs>
        <w:ind w:left="5040" w:hanging="360"/>
      </w:pPr>
      <w:rPr>
        <w:rFonts w:ascii="Arial" w:hAnsi="Arial" w:hint="default"/>
      </w:rPr>
    </w:lvl>
    <w:lvl w:ilvl="7" w:tplc="8974B64A" w:tentative="1">
      <w:start w:val="1"/>
      <w:numFmt w:val="bullet"/>
      <w:lvlText w:val="•"/>
      <w:lvlJc w:val="left"/>
      <w:pPr>
        <w:tabs>
          <w:tab w:val="num" w:pos="5760"/>
        </w:tabs>
        <w:ind w:left="5760" w:hanging="360"/>
      </w:pPr>
      <w:rPr>
        <w:rFonts w:ascii="Arial" w:hAnsi="Arial" w:hint="default"/>
      </w:rPr>
    </w:lvl>
    <w:lvl w:ilvl="8" w:tplc="CD84C3E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1"/>
  </w:num>
  <w:num w:numId="4">
    <w:abstractNumId w:val="6"/>
  </w:num>
  <w:num w:numId="5">
    <w:abstractNumId w:val="7"/>
  </w:num>
  <w:num w:numId="6">
    <w:abstractNumId w:val="10"/>
  </w:num>
  <w:num w:numId="7">
    <w:abstractNumId w:val="3"/>
  </w:num>
  <w:num w:numId="8">
    <w:abstractNumId w:val="11"/>
  </w:num>
  <w:num w:numId="9">
    <w:abstractNumId w:val="2"/>
  </w:num>
  <w:num w:numId="10">
    <w:abstractNumId w:val="9"/>
  </w:num>
  <w:num w:numId="11">
    <w:abstractNumId w:val="5"/>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A7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8E"/>
    <w:rsid w:val="001050B7"/>
    <w:rsid w:val="001050F9"/>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7A"/>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6740"/>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8C1"/>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11"/>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6DC"/>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3A5A"/>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D9D"/>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1A0B"/>
    <w:rsid w:val="004021B5"/>
    <w:rsid w:val="004024AB"/>
    <w:rsid w:val="00402DC4"/>
    <w:rsid w:val="00402F2C"/>
    <w:rsid w:val="0040303D"/>
    <w:rsid w:val="004034E6"/>
    <w:rsid w:val="0040379F"/>
    <w:rsid w:val="00403805"/>
    <w:rsid w:val="00403DC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F81"/>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6A9"/>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E8"/>
    <w:rsid w:val="006217B4"/>
    <w:rsid w:val="00621B6A"/>
    <w:rsid w:val="00621C0B"/>
    <w:rsid w:val="00621C72"/>
    <w:rsid w:val="00621CAD"/>
    <w:rsid w:val="00623427"/>
    <w:rsid w:val="00623AEB"/>
    <w:rsid w:val="00623E4E"/>
    <w:rsid w:val="00624334"/>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9AC"/>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7FD"/>
    <w:rsid w:val="006D4894"/>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A77"/>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A0"/>
    <w:rsid w:val="007D6CE5"/>
    <w:rsid w:val="007D6E8A"/>
    <w:rsid w:val="007D6EF0"/>
    <w:rsid w:val="007D7042"/>
    <w:rsid w:val="007D7059"/>
    <w:rsid w:val="007D7522"/>
    <w:rsid w:val="007D76BE"/>
    <w:rsid w:val="007D782F"/>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D28"/>
    <w:rsid w:val="00807D5E"/>
    <w:rsid w:val="00807E1B"/>
    <w:rsid w:val="008100D3"/>
    <w:rsid w:val="0081012C"/>
    <w:rsid w:val="0081036B"/>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A7"/>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4ED"/>
    <w:rsid w:val="00940A5D"/>
    <w:rsid w:val="00940BCB"/>
    <w:rsid w:val="00940BD7"/>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FB0"/>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D8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25"/>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5C"/>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1B6"/>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0CE5"/>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5D51"/>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927"/>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307"/>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2A1"/>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4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492"/>
    <w:rsid w:val="00F5765A"/>
    <w:rsid w:val="00F57C72"/>
    <w:rsid w:val="00F57E51"/>
    <w:rsid w:val="00F6021A"/>
    <w:rsid w:val="00F6021F"/>
    <w:rsid w:val="00F6036A"/>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12C"/>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2BE"/>
    <w:rsid w:val="00FE65DB"/>
    <w:rsid w:val="00FE6755"/>
    <w:rsid w:val="00FE69BC"/>
    <w:rsid w:val="00FE6DEC"/>
    <w:rsid w:val="00FE6F99"/>
    <w:rsid w:val="00FE74E2"/>
    <w:rsid w:val="00FE74FC"/>
    <w:rsid w:val="00FE761D"/>
    <w:rsid w:val="00FE76FA"/>
    <w:rsid w:val="00FE7A09"/>
    <w:rsid w:val="00FE7D2A"/>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HR33RHYHUWRF-4-2763</_dlc_DocId>
    <_dlc_DocIdUrl xmlns="c06861ca-3f08-4d07-bff7-bb15bac121f4">
      <Url>https://projects.qualcomm.com/sites/pentari/_layouts/15/DocIdRedir.aspx?ID=HR33RHYHUWRF-4-2763</Url>
      <Description>HR33RHYHUWRF-4-2763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74AF66-6D31-4EDF-903C-989F4A80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9</Pages>
  <Words>2658</Words>
  <Characters>15153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223</cp:revision>
  <cp:lastPrinted>2017-03-25T00:57:00Z</cp:lastPrinted>
  <dcterms:created xsi:type="dcterms:W3CDTF">2017-03-24T00:10:00Z</dcterms:created>
  <dcterms:modified xsi:type="dcterms:W3CDTF">2017-05-07T04:18:00Z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50a51b6b-ad5c-449c-8610-dbac205864dd</vt:lpwstr>
  </property>
  <property fmtid="{D5CDD505-2E9C-101B-9397-08002B2CF9AE}" pid="9" name="ContentTypeId">
    <vt:lpwstr>0x010100BC29BFD66497B943AA3B102F0C7B1355</vt:lpwstr>
  </property>
  <property fmtid="{D5CDD505-2E9C-101B-9397-08002B2CF9AE}" pid="10" name="_ReviewingToolsShownOnce">
    <vt:lpwstr/>
  </property>
</Properties>
</file>