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42055" w14:textId="29716BB0" w:rsidR="00833824" w:rsidRPr="000A64D8" w:rsidRDefault="00833824" w:rsidP="00833824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Source"/>
      <w:bookmarkEnd w:id="0"/>
      <w:r>
        <w:rPr>
          <w:rFonts w:ascii="Arial" w:hAnsi="Arial" w:cs="Arial"/>
          <w:b/>
          <w:bCs/>
          <w:sz w:val="24"/>
          <w:szCs w:val="24"/>
        </w:rPr>
        <w:t>3GPP TSG RAN WG1 #8</w:t>
      </w:r>
      <w:r w:rsidR="00143C8C">
        <w:rPr>
          <w:rFonts w:ascii="Arial" w:hAnsi="Arial" w:cs="Arial"/>
          <w:b/>
          <w:bCs/>
          <w:sz w:val="24"/>
          <w:szCs w:val="24"/>
        </w:rPr>
        <w:t>9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CC1A10" w:rsidRPr="00CC1A10">
        <w:rPr>
          <w:rFonts w:ascii="Arial" w:hAnsi="Arial" w:cs="Arial"/>
          <w:b/>
          <w:sz w:val="24"/>
          <w:szCs w:val="24"/>
        </w:rPr>
        <w:t>R1-1708582</w:t>
      </w:r>
    </w:p>
    <w:p w14:paraId="12E54DF3" w14:textId="77777777" w:rsidR="00143C8C" w:rsidRPr="008D4186" w:rsidRDefault="00143C8C" w:rsidP="00143C8C">
      <w:pPr>
        <w:spacing w:after="0"/>
        <w:rPr>
          <w:rFonts w:ascii="Arial" w:hAnsi="Arial" w:cs="Arial"/>
          <w:b/>
          <w:sz w:val="22"/>
          <w:szCs w:val="24"/>
        </w:rPr>
      </w:pPr>
      <w:r>
        <w:rPr>
          <w:rFonts w:ascii="Arial" w:hAnsi="Arial" w:cs="Arial"/>
          <w:b/>
          <w:bCs/>
          <w:sz w:val="24"/>
        </w:rPr>
        <w:t>May 15</w:t>
      </w:r>
      <w:r w:rsidRPr="00063C16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-19</w:t>
      </w:r>
      <w:r w:rsidRPr="00063C16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, </w:t>
      </w:r>
      <w:r w:rsidRPr="008D4186">
        <w:rPr>
          <w:rFonts w:ascii="Arial" w:hAnsi="Arial" w:cs="Arial"/>
          <w:b/>
          <w:bCs/>
          <w:sz w:val="24"/>
        </w:rPr>
        <w:t>201</w:t>
      </w:r>
      <w:r w:rsidRPr="008D4186">
        <w:rPr>
          <w:rFonts w:ascii="Arial" w:eastAsia="MS Mincho" w:hAnsi="Arial" w:cs="Arial" w:hint="eastAsia"/>
          <w:b/>
          <w:bCs/>
          <w:sz w:val="24"/>
        </w:rPr>
        <w:t>7</w:t>
      </w:r>
    </w:p>
    <w:p w14:paraId="01EC0FB7" w14:textId="77777777" w:rsidR="00143C8C" w:rsidRPr="008D4186" w:rsidRDefault="00143C8C" w:rsidP="00143C8C">
      <w:pPr>
        <w:spacing w:after="0"/>
        <w:rPr>
          <w:rFonts w:ascii="Arial" w:hAnsi="Arial" w:cs="Arial"/>
          <w:b/>
          <w:sz w:val="22"/>
          <w:szCs w:val="24"/>
        </w:rPr>
      </w:pPr>
      <w:r>
        <w:rPr>
          <w:rFonts w:ascii="Arial" w:hAnsi="Arial" w:cs="Arial"/>
          <w:b/>
          <w:sz w:val="22"/>
          <w:szCs w:val="24"/>
        </w:rPr>
        <w:t>Hangzhou, China</w:t>
      </w:r>
    </w:p>
    <w:p w14:paraId="650540AF" w14:textId="77777777" w:rsidR="00833824" w:rsidRPr="000A64D8" w:rsidRDefault="00833824" w:rsidP="00833824">
      <w:pPr>
        <w:pStyle w:val="Footer"/>
        <w:jc w:val="both"/>
        <w:rPr>
          <w:noProof w:val="0"/>
        </w:rPr>
      </w:pPr>
    </w:p>
    <w:p w14:paraId="158F6566" w14:textId="3073CF2B" w:rsidR="00833824" w:rsidRPr="000A64D8" w:rsidRDefault="00833824" w:rsidP="0083382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143C8C">
        <w:rPr>
          <w:rFonts w:ascii="Arial" w:hAnsi="Arial"/>
          <w:sz w:val="24"/>
        </w:rPr>
        <w:t>7</w:t>
      </w:r>
      <w:r w:rsidR="00E371FD">
        <w:rPr>
          <w:rFonts w:ascii="Arial" w:hAnsi="Arial"/>
          <w:sz w:val="24"/>
        </w:rPr>
        <w:t>.1.2.1.4</w:t>
      </w:r>
    </w:p>
    <w:p w14:paraId="3931BC24" w14:textId="77777777" w:rsidR="00833824" w:rsidRPr="000A64D8" w:rsidRDefault="00833824" w:rsidP="0083382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40B92DC" w14:textId="77777777" w:rsidR="00833824" w:rsidRPr="000A64D8" w:rsidRDefault="00833824" w:rsidP="00833824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Non-codebook based UL transmission</w:t>
      </w:r>
    </w:p>
    <w:p w14:paraId="0B0DDD57" w14:textId="77777777" w:rsidR="00833824" w:rsidRDefault="00833824" w:rsidP="00833824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Discussion/Decision</w:t>
      </w:r>
    </w:p>
    <w:p w14:paraId="2DF0F6CC" w14:textId="77777777" w:rsidR="00833824" w:rsidRPr="00183CB7" w:rsidRDefault="00833824" w:rsidP="00833824">
      <w:pPr>
        <w:pStyle w:val="Heading1"/>
      </w:pPr>
      <w:r w:rsidRPr="00183CB7">
        <w:t>Introduction</w:t>
      </w:r>
    </w:p>
    <w:p w14:paraId="1038BFB0" w14:textId="00F48633" w:rsidR="00833824" w:rsidRDefault="00833824" w:rsidP="00833824">
      <w:pPr>
        <w:jc w:val="both"/>
        <w:rPr>
          <w:szCs w:val="22"/>
        </w:rPr>
      </w:pPr>
      <w:r>
        <w:rPr>
          <w:szCs w:val="22"/>
        </w:rPr>
        <w:t>In RAN1 #</w:t>
      </w:r>
      <w:r w:rsidR="00CF7823">
        <w:rPr>
          <w:szCs w:val="22"/>
        </w:rPr>
        <w:t>88</w:t>
      </w:r>
      <w:r>
        <w:rPr>
          <w:szCs w:val="22"/>
        </w:rPr>
        <w:t xml:space="preserve">, </w:t>
      </w:r>
      <w:r w:rsidR="00817C3D">
        <w:rPr>
          <w:szCs w:val="22"/>
        </w:rPr>
        <w:t>the following agreements were made regarding</w:t>
      </w:r>
      <w:r>
        <w:rPr>
          <w:szCs w:val="22"/>
        </w:rPr>
        <w:t xml:space="preserve"> UL MIMO transmission</w:t>
      </w:r>
      <w:r w:rsidR="00817C3D">
        <w:rPr>
          <w:szCs w:val="22"/>
        </w:rPr>
        <w:t>:</w:t>
      </w:r>
    </w:p>
    <w:p w14:paraId="4D5CD8EA" w14:textId="77777777" w:rsidR="00817C3D" w:rsidRPr="00817C3D" w:rsidRDefault="00817C3D" w:rsidP="00817C3D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817C3D">
        <w:rPr>
          <w:rFonts w:eastAsia="MS Mincho"/>
          <w:i/>
          <w:lang w:eastAsia="ja-JP"/>
        </w:rPr>
        <w:t>Scheme A: Codebook based UL transmission</w:t>
      </w:r>
    </w:p>
    <w:p w14:paraId="7DFA793F" w14:textId="77777777" w:rsidR="00817C3D" w:rsidRPr="00817C3D" w:rsidRDefault="00817C3D" w:rsidP="00817C3D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817C3D">
        <w:rPr>
          <w:rFonts w:eastAsia="MS Mincho"/>
          <w:i/>
          <w:lang w:eastAsia="ja-JP"/>
        </w:rPr>
        <w:t>For the previous agreement “Support frequency selective precoding for CP-OFDM when the number of transmission port(s) is equal to or greater than X (FFS: Value of X).”, FFS the value X and the interpretation of transmission port(s)</w:t>
      </w:r>
    </w:p>
    <w:p w14:paraId="0D0A69D7" w14:textId="77777777" w:rsidR="00817C3D" w:rsidRPr="00817C3D" w:rsidRDefault="00817C3D" w:rsidP="00817C3D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817C3D">
        <w:rPr>
          <w:rFonts w:eastAsia="MS Mincho"/>
          <w:i/>
          <w:lang w:eastAsia="ja-JP"/>
        </w:rPr>
        <w:t>Scheme B: Non-codebook based UL transmission</w:t>
      </w:r>
    </w:p>
    <w:p w14:paraId="638B0BA2" w14:textId="77777777" w:rsidR="00817C3D" w:rsidRPr="00817C3D" w:rsidRDefault="00817C3D" w:rsidP="00817C3D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817C3D">
        <w:rPr>
          <w:rFonts w:eastAsia="MS Mincho"/>
          <w:i/>
          <w:lang w:eastAsia="ja-JP"/>
        </w:rPr>
        <w:t>For the previous agreement “Support frequency selective precoding for CP-OFDM when the number of transmission port(s) is equal to or greater than Y (FFS: Value of Y).”, FFS the value Y and the interpretation of transmission port(s)</w:t>
      </w:r>
    </w:p>
    <w:p w14:paraId="3E61D786" w14:textId="175103DC" w:rsidR="00833824" w:rsidRPr="003E3A04" w:rsidRDefault="00656A8B" w:rsidP="00D6141A">
      <w:pPr>
        <w:spacing w:before="120"/>
        <w:jc w:val="both"/>
        <w:rPr>
          <w:lang w:val="en-GB"/>
        </w:rPr>
      </w:pPr>
      <w:r w:rsidRPr="00D6141A">
        <w:rPr>
          <w:rFonts w:eastAsia="MS Mincho"/>
        </w:rPr>
        <w:t xml:space="preserve">In </w:t>
      </w:r>
      <w:r w:rsidR="00833824" w:rsidRPr="00656A8B">
        <w:rPr>
          <w:lang w:val="en-GB"/>
        </w:rPr>
        <w:t>t</w:t>
      </w:r>
      <w:r w:rsidR="00833824">
        <w:rPr>
          <w:lang w:val="en-GB"/>
        </w:rPr>
        <w:t xml:space="preserve">his contribution, we discuss </w:t>
      </w:r>
      <w:r w:rsidR="00833824">
        <w:rPr>
          <w:rFonts w:hint="eastAsia"/>
          <w:lang w:val="en-GB" w:eastAsia="zh-CN"/>
        </w:rPr>
        <w:t>open</w:t>
      </w:r>
      <w:r w:rsidR="00833824">
        <w:rPr>
          <w:lang w:eastAsia="zh-CN"/>
        </w:rPr>
        <w:t xml:space="preserve"> issues </w:t>
      </w:r>
      <w:r w:rsidR="00817C3D">
        <w:rPr>
          <w:lang w:eastAsia="zh-CN"/>
        </w:rPr>
        <w:t xml:space="preserve">related to </w:t>
      </w:r>
      <w:r w:rsidR="00833824">
        <w:rPr>
          <w:lang w:eastAsia="zh-CN"/>
        </w:rPr>
        <w:t xml:space="preserve">non-codebook based </w:t>
      </w:r>
      <w:r w:rsidR="00833824">
        <w:rPr>
          <w:lang w:val="en-GB"/>
        </w:rPr>
        <w:t>UL transmission scheme.</w:t>
      </w:r>
      <w:r w:rsidR="00817C3D">
        <w:rPr>
          <w:lang w:val="en-GB"/>
        </w:rPr>
        <w:t xml:space="preserve"> </w:t>
      </w:r>
      <w:r>
        <w:rPr>
          <w:lang w:val="en-GB"/>
        </w:rPr>
        <w:t>W</w:t>
      </w:r>
      <w:r w:rsidR="00E67B7F">
        <w:rPr>
          <w:lang w:val="en-GB"/>
        </w:rPr>
        <w:t xml:space="preserve">e provide </w:t>
      </w:r>
      <w:r>
        <w:rPr>
          <w:lang w:val="en-GB"/>
        </w:rPr>
        <w:t xml:space="preserve">more </w:t>
      </w:r>
      <w:r w:rsidR="00E67B7F">
        <w:rPr>
          <w:lang w:val="en-GB"/>
        </w:rPr>
        <w:t xml:space="preserve">system-level simulation results </w:t>
      </w:r>
      <w:r w:rsidR="00817C3D">
        <w:rPr>
          <w:lang w:val="en-GB"/>
        </w:rPr>
        <w:t xml:space="preserve">for different granularity of the </w:t>
      </w:r>
      <w:r w:rsidR="00E67B7F">
        <w:rPr>
          <w:lang w:val="en-GB"/>
        </w:rPr>
        <w:t>sub-band used for frequency selective precoding, for different number of transmission ports at the UE.</w:t>
      </w:r>
      <w:r w:rsidR="000F1D5B">
        <w:rPr>
          <w:lang w:val="en-GB"/>
        </w:rPr>
        <w:t xml:space="preserve"> </w:t>
      </w:r>
      <w:r>
        <w:rPr>
          <w:lang w:val="en-GB"/>
        </w:rPr>
        <w:t xml:space="preserve"> </w:t>
      </w:r>
      <w:r w:rsidR="000F1D5B">
        <w:rPr>
          <w:lang w:val="en-GB"/>
        </w:rPr>
        <w:t xml:space="preserve">The impact of wideband vs. sub-band scheduling </w:t>
      </w:r>
      <w:r w:rsidR="00C11B8D">
        <w:rPr>
          <w:lang w:val="en-GB"/>
        </w:rPr>
        <w:t xml:space="preserve">on the frequency selective precoding gains </w:t>
      </w:r>
      <w:r w:rsidR="0002079D">
        <w:rPr>
          <w:lang w:val="en-GB"/>
        </w:rPr>
        <w:t xml:space="preserve">is </w:t>
      </w:r>
      <w:r w:rsidR="000F1D5B">
        <w:rPr>
          <w:lang w:val="en-GB"/>
        </w:rPr>
        <w:t xml:space="preserve">also considered. </w:t>
      </w:r>
    </w:p>
    <w:p w14:paraId="4A95FC8E" w14:textId="77777777" w:rsidR="00833824" w:rsidRDefault="00833824" w:rsidP="00833824">
      <w:pPr>
        <w:pStyle w:val="Heading1"/>
        <w:jc w:val="both"/>
      </w:pPr>
      <w:r>
        <w:t>Discussion</w:t>
      </w:r>
    </w:p>
    <w:p w14:paraId="7706BB5C" w14:textId="77777777" w:rsidR="00833824" w:rsidRDefault="00833824" w:rsidP="00833824">
      <w:pPr>
        <w:pStyle w:val="Heading2"/>
        <w:jc w:val="both"/>
      </w:pPr>
      <w:r>
        <w:t>Frequency selective precoding</w:t>
      </w:r>
    </w:p>
    <w:p w14:paraId="484E3C09" w14:textId="52F7754C" w:rsidR="00656A8B" w:rsidRDefault="00656A8B" w:rsidP="00D6141A">
      <w:pPr>
        <w:spacing w:after="120"/>
        <w:jc w:val="both"/>
        <w:rPr>
          <w:lang w:val="en-GB"/>
        </w:rPr>
      </w:pPr>
      <w:r>
        <w:rPr>
          <w:lang w:val="en-GB"/>
        </w:rPr>
        <w:t xml:space="preserve">In [2], </w:t>
      </w:r>
      <w:r w:rsidRPr="007D7930">
        <w:rPr>
          <w:lang w:val="en-GB"/>
        </w:rPr>
        <w:t>we present</w:t>
      </w:r>
      <w:r w:rsidR="00B06054">
        <w:rPr>
          <w:lang w:val="en-GB"/>
        </w:rPr>
        <w:t>ed</w:t>
      </w:r>
      <w:r w:rsidRPr="007D7930">
        <w:rPr>
          <w:lang w:val="en-GB"/>
        </w:rPr>
        <w:t xml:space="preserve"> link-level simulation results which show that</w:t>
      </w:r>
      <w:r>
        <w:rPr>
          <w:lang w:val="en-GB"/>
        </w:rPr>
        <w:t>,</w:t>
      </w:r>
      <w:r w:rsidRPr="007D7930">
        <w:rPr>
          <w:lang w:val="en-GB"/>
        </w:rPr>
        <w:t xml:space="preserve"> </w:t>
      </w:r>
      <w:r>
        <w:rPr>
          <w:lang w:val="en-GB"/>
        </w:rPr>
        <w:t>compare</w:t>
      </w:r>
      <w:r w:rsidR="002232D8">
        <w:rPr>
          <w:lang w:val="en-GB"/>
        </w:rPr>
        <w:t>d</w:t>
      </w:r>
      <w:r>
        <w:rPr>
          <w:lang w:val="en-GB"/>
        </w:rPr>
        <w:t xml:space="preserve"> to wideband precoding, </w:t>
      </w:r>
      <w:r>
        <w:rPr>
          <w:rFonts w:eastAsia="MS Mincho"/>
          <w:lang w:eastAsia="ja-JP"/>
        </w:rPr>
        <w:t>f</w:t>
      </w:r>
      <w:r w:rsidRPr="00DE2462">
        <w:rPr>
          <w:rFonts w:eastAsia="MS Mincho"/>
          <w:lang w:eastAsia="ja-JP"/>
        </w:rPr>
        <w:t>requency selective precoding</w:t>
      </w:r>
      <w:r>
        <w:rPr>
          <w:rFonts w:eastAsia="MS Mincho"/>
          <w:lang w:eastAsia="ja-JP"/>
        </w:rPr>
        <w:t xml:space="preserve"> provides</w:t>
      </w:r>
    </w:p>
    <w:p w14:paraId="7C61F8BC" w14:textId="77777777" w:rsidR="00656A8B" w:rsidRDefault="00656A8B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No gain</w:t>
      </w:r>
      <w:r w:rsidRPr="00DE2462">
        <w:rPr>
          <w:rFonts w:eastAsia="MS Mincho"/>
          <w:lang w:eastAsia="ja-JP"/>
        </w:rPr>
        <w:t xml:space="preserve"> when the </w:t>
      </w:r>
      <w:r>
        <w:rPr>
          <w:rFonts w:eastAsia="MS Mincho"/>
          <w:lang w:eastAsia="ja-JP"/>
        </w:rPr>
        <w:t xml:space="preserve">number of </w:t>
      </w:r>
      <w:r w:rsidRPr="00DE2462">
        <w:rPr>
          <w:rFonts w:eastAsia="MS Mincho"/>
          <w:lang w:eastAsia="ja-JP"/>
        </w:rPr>
        <w:t xml:space="preserve">UL transmission ports is 2.  </w:t>
      </w:r>
    </w:p>
    <w:p w14:paraId="559051D6" w14:textId="77777777" w:rsidR="00656A8B" w:rsidRDefault="00656A8B" w:rsidP="00D6141A">
      <w:pPr>
        <w:numPr>
          <w:ilvl w:val="0"/>
          <w:numId w:val="5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No gain when the number of UL transmission ports is 4 and the MSE of UL channel estimation is not high enough.</w:t>
      </w:r>
    </w:p>
    <w:p w14:paraId="3267A084" w14:textId="3EF92EA7" w:rsidR="00B97CD8" w:rsidRPr="00D6141A" w:rsidRDefault="00B06054" w:rsidP="00D6141A">
      <w:pPr>
        <w:spacing w:after="120"/>
        <w:jc w:val="both"/>
        <w:rPr>
          <w:lang w:val="en-GB"/>
        </w:rPr>
      </w:pPr>
      <w:r>
        <w:rPr>
          <w:lang w:val="en-GB"/>
        </w:rPr>
        <w:t xml:space="preserve">In [3], we </w:t>
      </w:r>
      <w:r w:rsidR="00F45A74">
        <w:rPr>
          <w:lang w:val="en-GB"/>
        </w:rPr>
        <w:t>studied the potential benefit of subband precoding with wideband scheduling</w:t>
      </w:r>
      <w:r w:rsidR="00B97CD8">
        <w:rPr>
          <w:lang w:val="en-GB"/>
        </w:rPr>
        <w:t xml:space="preserve"> based on the proportional fair metric.  We showed </w:t>
      </w:r>
      <w:r w:rsidR="00B97CD8" w:rsidRPr="00D6141A">
        <w:rPr>
          <w:lang w:val="en-GB"/>
        </w:rPr>
        <w:t xml:space="preserve">the mean cell-spectral efficiency and 5th percentile UE-spectral efficiency for </w:t>
      </w:r>
      <w:r w:rsidR="00C06615" w:rsidRPr="00D6141A">
        <w:rPr>
          <w:lang w:val="en-GB"/>
        </w:rPr>
        <w:t>following two</w:t>
      </w:r>
      <w:r w:rsidR="00B97CD8" w:rsidRPr="00D6141A">
        <w:rPr>
          <w:lang w:val="en-GB"/>
        </w:rPr>
        <w:t xml:space="preserve"> cases:</w:t>
      </w:r>
    </w:p>
    <w:p w14:paraId="4C85ACA9" w14:textId="77777777" w:rsidR="00B97CD8" w:rsidRDefault="00B97CD8" w:rsidP="00D6141A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 w:rsidRPr="00A46D1A">
        <w:rPr>
          <w:rFonts w:ascii="Times New Roman" w:hAnsi="Times New Roman"/>
          <w:sz w:val="20"/>
          <w:szCs w:val="20"/>
        </w:rPr>
        <w:t>deal channel estimation for demodulation</w:t>
      </w:r>
      <w:r>
        <w:rPr>
          <w:rFonts w:ascii="Times New Roman" w:hAnsi="Times New Roman"/>
          <w:sz w:val="20"/>
          <w:szCs w:val="20"/>
        </w:rPr>
        <w:t>, wideband scheduling (SU and MU-MIMO)</w:t>
      </w:r>
    </w:p>
    <w:p w14:paraId="3F3DBEE3" w14:textId="77777777" w:rsidR="00B97CD8" w:rsidRDefault="00B97CD8" w:rsidP="00D6141A">
      <w:pPr>
        <w:pStyle w:val="ListParagraph"/>
        <w:numPr>
          <w:ilvl w:val="0"/>
          <w:numId w:val="18"/>
        </w:numPr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Realistic c</w:t>
      </w:r>
      <w:r w:rsidRPr="00A46D1A">
        <w:rPr>
          <w:rFonts w:ascii="Times New Roman" w:hAnsi="Times New Roman"/>
          <w:sz w:val="20"/>
          <w:szCs w:val="20"/>
        </w:rPr>
        <w:t>hannel estimation for demodulation</w:t>
      </w:r>
      <w:r>
        <w:rPr>
          <w:rFonts w:ascii="Times New Roman" w:hAnsi="Times New Roman"/>
          <w:sz w:val="20"/>
          <w:szCs w:val="20"/>
        </w:rPr>
        <w:t>, wideband scheduling (SU and MU-MIMO)</w:t>
      </w:r>
    </w:p>
    <w:p w14:paraId="5FBE6E44" w14:textId="77777777" w:rsidR="00C06615" w:rsidRPr="00D6141A" w:rsidRDefault="00C06615" w:rsidP="00D6141A">
      <w:pPr>
        <w:spacing w:after="120"/>
        <w:jc w:val="both"/>
        <w:rPr>
          <w:lang w:val="en-GB"/>
        </w:rPr>
      </w:pPr>
      <w:r w:rsidRPr="00D6141A">
        <w:rPr>
          <w:lang w:val="en-GB"/>
        </w:rPr>
        <w:t xml:space="preserve">We observe that </w:t>
      </w:r>
    </w:p>
    <w:p w14:paraId="4C87AC3C" w14:textId="1D6FAA91" w:rsidR="00B97CD8" w:rsidRPr="00D6141A" w:rsidRDefault="00C06615" w:rsidP="00D6141A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b/>
          <w:lang w:eastAsia="ja-JP"/>
        </w:rPr>
      </w:pPr>
      <w:r w:rsidRPr="00D6141A">
        <w:rPr>
          <w:rFonts w:eastAsia="MS Mincho"/>
          <w:lang w:eastAsia="ja-JP"/>
        </w:rPr>
        <w:t xml:space="preserve">With ideal channel estimation, subband precoding provides no gain for 2 TX ports, negligible </w:t>
      </w:r>
      <w:bookmarkStart w:id="1" w:name="_GoBack"/>
      <w:bookmarkEnd w:id="1"/>
      <w:r w:rsidRPr="00D6141A">
        <w:rPr>
          <w:rFonts w:eastAsia="MS Mincho"/>
          <w:lang w:eastAsia="ja-JP"/>
        </w:rPr>
        <w:t>gain for 4 TX ports, and some gain for 8 TX.</w:t>
      </w:r>
    </w:p>
    <w:p w14:paraId="32D46DE7" w14:textId="609CAA16" w:rsidR="00C06615" w:rsidRPr="00D6141A" w:rsidRDefault="00C06615" w:rsidP="00D6141A">
      <w:pPr>
        <w:numPr>
          <w:ilvl w:val="0"/>
          <w:numId w:val="5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MS Mincho"/>
          <w:lang w:eastAsia="ja-JP"/>
        </w:rPr>
      </w:pPr>
      <w:r w:rsidRPr="00D6141A">
        <w:rPr>
          <w:rFonts w:eastAsia="MS Mincho"/>
          <w:lang w:eastAsia="ja-JP"/>
        </w:rPr>
        <w:t xml:space="preserve">With realistic channel estimation and demodulation, subband precoding does not provide any performance improvement when the number of transmission ports at the UE is 4 or lower. </w:t>
      </w:r>
    </w:p>
    <w:p w14:paraId="7F7F11A9" w14:textId="6E299B7C" w:rsidR="002D1F5B" w:rsidRDefault="002D1F5B" w:rsidP="00D6141A">
      <w:pPr>
        <w:spacing w:after="120"/>
        <w:jc w:val="both"/>
        <w:rPr>
          <w:lang w:val="en-GB"/>
        </w:rPr>
      </w:pPr>
      <w:r>
        <w:rPr>
          <w:lang w:val="en-GB"/>
        </w:rPr>
        <w:t>In this contribution, we show results with subband scheduling based on the proportional fair metric.  We show results for following case:</w:t>
      </w:r>
    </w:p>
    <w:p w14:paraId="01DC63D3" w14:textId="1A0DDF9F" w:rsidR="002D1F5B" w:rsidRDefault="002D1F5B" w:rsidP="00D6141A">
      <w:pPr>
        <w:pStyle w:val="ListParagraph"/>
        <w:numPr>
          <w:ilvl w:val="0"/>
          <w:numId w:val="18"/>
        </w:numPr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Realistic c</w:t>
      </w:r>
      <w:r w:rsidRPr="00A46D1A">
        <w:rPr>
          <w:rFonts w:ascii="Times New Roman" w:hAnsi="Times New Roman"/>
          <w:sz w:val="20"/>
          <w:szCs w:val="20"/>
        </w:rPr>
        <w:t xml:space="preserve">hannel estimation </w:t>
      </w:r>
      <w:r>
        <w:rPr>
          <w:rFonts w:ascii="Times New Roman" w:hAnsi="Times New Roman"/>
          <w:sz w:val="20"/>
          <w:szCs w:val="20"/>
        </w:rPr>
        <w:t xml:space="preserve">for </w:t>
      </w:r>
      <w:r w:rsidRPr="00A46D1A">
        <w:rPr>
          <w:rFonts w:ascii="Times New Roman" w:hAnsi="Times New Roman"/>
          <w:sz w:val="20"/>
          <w:szCs w:val="20"/>
        </w:rPr>
        <w:t>demodulation</w:t>
      </w:r>
      <w:r>
        <w:rPr>
          <w:rFonts w:ascii="Times New Roman" w:hAnsi="Times New Roman"/>
          <w:sz w:val="20"/>
          <w:szCs w:val="20"/>
        </w:rPr>
        <w:t>, sub-band scheduling (SU-MIMO)</w:t>
      </w:r>
    </w:p>
    <w:p w14:paraId="3A1AC6A2" w14:textId="6A61C27E" w:rsidR="00BC4960" w:rsidRDefault="00167869" w:rsidP="00D6141A">
      <w:pPr>
        <w:spacing w:after="120"/>
        <w:jc w:val="both"/>
      </w:pPr>
      <w:r>
        <w:lastRenderedPageBreak/>
        <w:t xml:space="preserve">The simulation assumptions are same as those in [2].  </w:t>
      </w:r>
      <w:r w:rsidR="00B97CD8">
        <w:t xml:space="preserve">The simulation assumes that the 20 MHz simulation bandwidth is divided into 52 RBs, after excluding the guard band. </w:t>
      </w:r>
      <w:r w:rsidR="00E15343">
        <w:t>Various subband precoding granularities were considered from 4</w:t>
      </w:r>
      <w:r w:rsidR="00B97CD8">
        <w:t xml:space="preserve"> RB</w:t>
      </w:r>
      <w:r w:rsidR="00E15343">
        <w:t>s</w:t>
      </w:r>
      <w:r w:rsidR="00B97CD8">
        <w:t xml:space="preserve"> (13 subbands) and 52 RB (wideband). </w:t>
      </w:r>
      <w:r w:rsidR="00B97CD8" w:rsidDel="00B06054">
        <w:rPr>
          <w:b/>
        </w:rPr>
        <w:t xml:space="preserve"> </w:t>
      </w:r>
      <w:r w:rsidR="00B97CD8">
        <w:rPr>
          <w:b/>
        </w:rPr>
        <w:t xml:space="preserve"> </w:t>
      </w:r>
      <w:r w:rsidR="00B06054" w:rsidRPr="00D6141A">
        <w:t xml:space="preserve">The detailed </w:t>
      </w:r>
      <w:r w:rsidR="00B06054" w:rsidRPr="00B97CD8">
        <w:t>simulation assumptions</w:t>
      </w:r>
      <w:r w:rsidR="00B06054" w:rsidRPr="00D6141A">
        <w:t xml:space="preserve"> are summarized in the Appendix</w:t>
      </w:r>
      <w:r w:rsidR="00B06054" w:rsidRPr="00B97CD8">
        <w:t>.</w:t>
      </w:r>
    </w:p>
    <w:p w14:paraId="43396B17" w14:textId="1156D4F0" w:rsidR="00E12E41" w:rsidRDefault="00727071" w:rsidP="00D6141A">
      <w:pPr>
        <w:spacing w:after="120"/>
        <w:jc w:val="both"/>
      </w:pPr>
      <w:r>
        <w:t xml:space="preserve">The procedure used for determining the UL precoder is as described in </w:t>
      </w:r>
      <w:r w:rsidR="00B97CD8">
        <w:t>[2]</w:t>
      </w:r>
      <w:r>
        <w:t xml:space="preserve"> – the UE</w:t>
      </w:r>
      <w:r w:rsidR="003077E5">
        <w:t xml:space="preserve"> estimates the downlink channel, </w:t>
      </w:r>
      <w:r>
        <w:t>selects uplink precoding</w:t>
      </w:r>
      <w:r w:rsidR="003077E5">
        <w:t xml:space="preserve"> along the singular vectors and signals them using precoded SRS. The gNB estimates the proposed precoders and performs scheduling to down</w:t>
      </w:r>
      <w:r w:rsidR="00B97CD8">
        <w:t>-</w:t>
      </w:r>
      <w:r w:rsidR="003077E5">
        <w:t>select the ports and compute MCS.</w:t>
      </w:r>
      <w:r w:rsidR="000C7CCC" w:rsidRPr="000C7CCC">
        <w:t xml:space="preserve"> </w:t>
      </w:r>
      <w:r w:rsidR="000C7CCC">
        <w:t>T</w:t>
      </w:r>
      <w:r w:rsidR="00A46D1A">
        <w:t xml:space="preserve">he scheduling is performed </w:t>
      </w:r>
      <w:r w:rsidR="000C7CCC">
        <w:t>based on the proportional fair metric.</w:t>
      </w:r>
      <w:r w:rsidR="00A46D1A">
        <w:t xml:space="preserve"> </w:t>
      </w:r>
    </w:p>
    <w:p w14:paraId="7B3D5725" w14:textId="48045889" w:rsidR="00336611" w:rsidRDefault="00336611" w:rsidP="00D6141A">
      <w:pPr>
        <w:spacing w:after="120"/>
        <w:jc w:val="both"/>
      </w:pPr>
      <w:r>
        <w:fldChar w:fldCharType="begin"/>
      </w:r>
      <w:r>
        <w:instrText xml:space="preserve"> REF _Ref481663647 \h </w:instrText>
      </w:r>
      <w:r w:rsidR="00BC4960">
        <w:instrText xml:space="preserve"> \* MERGEFORMAT </w:instrText>
      </w:r>
      <w:r>
        <w:fldChar w:fldCharType="end"/>
      </w:r>
      <w:r w:rsidR="002232D8">
        <w:fldChar w:fldCharType="begin"/>
      </w:r>
      <w:r w:rsidR="002232D8">
        <w:instrText xml:space="preserve"> REF _Ref481738869 \h </w:instrText>
      </w:r>
      <w:r w:rsidR="002232D8">
        <w:fldChar w:fldCharType="separate"/>
      </w:r>
      <w:r w:rsidR="002232D8">
        <w:t xml:space="preserve">Figure </w:t>
      </w:r>
      <w:r w:rsidR="002232D8">
        <w:rPr>
          <w:noProof/>
        </w:rPr>
        <w:t>1</w:t>
      </w:r>
      <w:r w:rsidR="002232D8">
        <w:fldChar w:fldCharType="end"/>
      </w:r>
      <w:r w:rsidR="002232D8">
        <w:t xml:space="preserve"> </w:t>
      </w:r>
      <w:r>
        <w:t>shows results for SU-MIMO for sub-band scheduling with realistic demod</w:t>
      </w:r>
      <w:r w:rsidR="00BC4960">
        <w:t>ulation</w:t>
      </w:r>
      <w:r>
        <w:t xml:space="preserve"> channel estimation error.  </w:t>
      </w:r>
      <w:r w:rsidR="00BC4960" w:rsidRPr="00A46D1A">
        <w:t xml:space="preserve">In the plots, the X-axis shows the number of ports at the </w:t>
      </w:r>
      <w:r w:rsidR="00BC4960">
        <w:t>gNB</w:t>
      </w:r>
      <w:r w:rsidR="00BC4960" w:rsidRPr="00A46D1A">
        <w:t xml:space="preserve"> and the UE respectively. </w:t>
      </w:r>
      <w:r w:rsidR="00BC4960">
        <w:t xml:space="preserve"> </w:t>
      </w:r>
      <w:r w:rsidR="005F367D" w:rsidRPr="00A46D1A">
        <w:t>For each case, two bars are shown – one corresponding to subband precoding with 4</w:t>
      </w:r>
      <w:r w:rsidR="005F367D">
        <w:t>-</w:t>
      </w:r>
      <w:r w:rsidR="005F367D" w:rsidRPr="00A46D1A">
        <w:t>RB granularity (marked as “SB”) and the other corresponding to 52</w:t>
      </w:r>
      <w:r w:rsidR="005F367D">
        <w:t>-</w:t>
      </w:r>
      <w:r w:rsidR="005F367D" w:rsidRPr="00A46D1A">
        <w:t xml:space="preserve">RB granularity, i.e., wideband precoding (marked as “WB”). </w:t>
      </w:r>
      <w:r w:rsidR="005F367D">
        <w:t xml:space="preserve"> </w:t>
      </w:r>
      <w:r w:rsidR="005F367D" w:rsidRPr="00A46D1A">
        <w:t>The percentage change in the performance metric for subband precoding relative to wideband precoding is also shown.</w:t>
      </w:r>
      <w:r w:rsidR="005F367D"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2"/>
      </w:tblGrid>
      <w:tr w:rsidR="00336611" w14:paraId="5744C550" w14:textId="77777777" w:rsidTr="003A5615">
        <w:tc>
          <w:tcPr>
            <w:tcW w:w="9962" w:type="dxa"/>
          </w:tcPr>
          <w:p w14:paraId="62439F57" w14:textId="77777777" w:rsidR="00336611" w:rsidRDefault="00336611" w:rsidP="003A5615">
            <w:pPr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F634004" wp14:editId="40A3BB68">
                  <wp:extent cx="6217920" cy="2766689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7920" cy="27666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6611" w14:paraId="6BFDD155" w14:textId="77777777" w:rsidTr="003A5615">
        <w:tc>
          <w:tcPr>
            <w:tcW w:w="9962" w:type="dxa"/>
          </w:tcPr>
          <w:p w14:paraId="04527FCF" w14:textId="77777777" w:rsidR="00336611" w:rsidRDefault="00336611" w:rsidP="003A5615">
            <w:pPr>
              <w:keepNext/>
              <w:rPr>
                <w:lang w:val="en-GB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C3C7342" wp14:editId="161E8C9C">
                  <wp:extent cx="6217920" cy="2776033"/>
                  <wp:effectExtent l="0" t="0" r="0" b="57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7920" cy="27760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549F5F" w14:textId="3C7E462E" w:rsidR="00336611" w:rsidRPr="004517C7" w:rsidRDefault="00336611" w:rsidP="00336611">
      <w:pPr>
        <w:pStyle w:val="Caption"/>
        <w:jc w:val="center"/>
        <w:rPr>
          <w:lang w:val="en-GB"/>
        </w:rPr>
      </w:pPr>
      <w:bookmarkStart w:id="2" w:name="_Ref481738869"/>
      <w:r>
        <w:t xml:space="preserve">Figure </w:t>
      </w:r>
      <w:r w:rsidR="00854689">
        <w:fldChar w:fldCharType="begin"/>
      </w:r>
      <w:r w:rsidR="00854689">
        <w:instrText xml:space="preserve"> SEQ Figure \* ARABIC </w:instrText>
      </w:r>
      <w:r w:rsidR="00854689">
        <w:fldChar w:fldCharType="separate"/>
      </w:r>
      <w:r w:rsidR="002232D8">
        <w:rPr>
          <w:noProof/>
        </w:rPr>
        <w:t>1</w:t>
      </w:r>
      <w:r w:rsidR="00854689">
        <w:rPr>
          <w:noProof/>
        </w:rPr>
        <w:fldChar w:fldCharType="end"/>
      </w:r>
      <w:bookmarkEnd w:id="2"/>
      <w:r>
        <w:t>: SU-MIMO (Realistic Channel Estimation for Demod), sub-band scheduling</w:t>
      </w:r>
      <w:r>
        <w:br/>
        <w:t>Mean cell spectral efficiency and 5</w:t>
      </w:r>
      <w:r w:rsidRPr="00A6603D">
        <w:rPr>
          <w:vertAlign w:val="superscript"/>
        </w:rPr>
        <w:t>th</w:t>
      </w:r>
      <w:r>
        <w:t xml:space="preserve"> %ile UE spectral efficiency</w:t>
      </w:r>
    </w:p>
    <w:p w14:paraId="4C1BE22B" w14:textId="2D55B73D" w:rsidR="00E15343" w:rsidRDefault="005F367D" w:rsidP="00D6141A">
      <w:pPr>
        <w:spacing w:after="120"/>
        <w:jc w:val="both"/>
      </w:pPr>
      <w:r>
        <w:t xml:space="preserve">In terms of the impact of subband precoding, both for the mean and the tail spectral efficiency, 4-RB subband precoding does not provide much benefit over wideband precoding when the number of ports at the UE is 2 or 4. </w:t>
      </w:r>
      <w:r w:rsidR="00F76C4D">
        <w:t xml:space="preserve"> </w:t>
      </w:r>
      <w:r>
        <w:t>In fact, the performance is worse than wideband precoding in many cases. Subband precoding provides some benefit only with 8 ports at the UE.</w:t>
      </w:r>
      <w:r w:rsidR="007A54B9">
        <w:t xml:space="preserve">  </w:t>
      </w:r>
      <w:r w:rsidR="00E15343">
        <w:t>In</w:t>
      </w:r>
      <w:r w:rsidR="00DA1568">
        <w:t xml:space="preserve"> </w:t>
      </w:r>
      <w:r w:rsidR="00DA1568">
        <w:fldChar w:fldCharType="begin"/>
      </w:r>
      <w:r w:rsidR="00DA1568">
        <w:instrText xml:space="preserve"> REF _Ref481739057 \h </w:instrText>
      </w:r>
      <w:r w:rsidR="00DA1568">
        <w:fldChar w:fldCharType="separate"/>
      </w:r>
      <w:r w:rsidR="00DA1568">
        <w:t xml:space="preserve">Figure </w:t>
      </w:r>
      <w:r w:rsidR="00DA1568">
        <w:rPr>
          <w:noProof/>
        </w:rPr>
        <w:t>2</w:t>
      </w:r>
      <w:r w:rsidR="00DA1568">
        <w:fldChar w:fldCharType="end"/>
      </w:r>
      <w:r w:rsidR="00E15343">
        <w:t xml:space="preserve">, we </w:t>
      </w:r>
      <w:r w:rsidR="007A54B9">
        <w:t xml:space="preserve">provide a full picture of </w:t>
      </w:r>
      <w:r w:rsidR="00C34459">
        <w:t xml:space="preserve">spectral efficiency versus various subband precoding granularities.  </w:t>
      </w:r>
    </w:p>
    <w:p w14:paraId="51EDAE0E" w14:textId="706F4C66" w:rsidR="00C34459" w:rsidRDefault="00C34459" w:rsidP="00D6141A">
      <w:pPr>
        <w:tabs>
          <w:tab w:val="center" w:pos="2250"/>
          <w:tab w:val="center" w:pos="5040"/>
          <w:tab w:val="center" w:pos="7650"/>
        </w:tabs>
        <w:spacing w:after="120"/>
        <w:jc w:val="center"/>
        <w:rPr>
          <w:b/>
          <w:i/>
        </w:rPr>
      </w:pPr>
      <w:r>
        <w:rPr>
          <w:b/>
          <w:i/>
        </w:rPr>
        <w:tab/>
      </w:r>
      <w:r>
        <w:rPr>
          <w:noProof/>
          <w:lang w:eastAsia="zh-CN"/>
        </w:rPr>
        <w:drawing>
          <wp:inline distT="0" distB="0" distL="0" distR="0" wp14:anchorId="09E0CF8C" wp14:editId="4A0B05C5">
            <wp:extent cx="2971800" cy="2377440"/>
            <wp:effectExtent l="0" t="0" r="0" b="381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SU_SB_Sched_cell_avg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b/>
          <w:i/>
        </w:rPr>
        <w:tab/>
      </w:r>
      <w:r>
        <w:rPr>
          <w:noProof/>
          <w:lang w:eastAsia="zh-CN"/>
        </w:rPr>
        <w:drawing>
          <wp:inline distT="0" distB="0" distL="0" distR="0" wp14:anchorId="4A712835" wp14:editId="736B7A2F">
            <wp:extent cx="2971800" cy="2377440"/>
            <wp:effectExtent l="0" t="0" r="0" b="381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SU_SB_Sched_cell_edge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2CD0D" w14:textId="42FFF375" w:rsidR="00C34459" w:rsidRDefault="00C34459" w:rsidP="00D6141A">
      <w:pPr>
        <w:tabs>
          <w:tab w:val="center" w:pos="2250"/>
          <w:tab w:val="center" w:pos="5040"/>
          <w:tab w:val="center" w:pos="7650"/>
        </w:tabs>
        <w:spacing w:after="120"/>
        <w:jc w:val="center"/>
        <w:rPr>
          <w:b/>
          <w:i/>
        </w:rPr>
      </w:pPr>
      <w:r>
        <w:rPr>
          <w:noProof/>
          <w:lang w:eastAsia="zh-CN"/>
        </w:rPr>
        <w:drawing>
          <wp:inline distT="0" distB="0" distL="0" distR="0" wp14:anchorId="436A6038" wp14:editId="5CCF1739">
            <wp:extent cx="2971800" cy="2377440"/>
            <wp:effectExtent l="0" t="0" r="0" b="381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MU_WB_Sched_cell_avg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i/>
        </w:rPr>
        <w:tab/>
      </w:r>
      <w:r>
        <w:rPr>
          <w:b/>
          <w:i/>
        </w:rPr>
        <w:tab/>
      </w:r>
      <w:r>
        <w:rPr>
          <w:noProof/>
          <w:lang w:eastAsia="zh-CN"/>
        </w:rPr>
        <w:drawing>
          <wp:inline distT="0" distB="0" distL="0" distR="0" wp14:anchorId="2BD62520" wp14:editId="040FC466">
            <wp:extent cx="2971800" cy="2377440"/>
            <wp:effectExtent l="0" t="0" r="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MU_WB_Sched_cell_edge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BAAFD" w14:textId="2DF472DF" w:rsidR="007A54B9" w:rsidRDefault="007A54B9" w:rsidP="00D6141A">
      <w:pPr>
        <w:pStyle w:val="Caption"/>
        <w:jc w:val="center"/>
      </w:pPr>
      <w:bookmarkStart w:id="3" w:name="_Ref481739057"/>
      <w:r>
        <w:t xml:space="preserve">Figure </w:t>
      </w:r>
      <w:r w:rsidR="00854689">
        <w:fldChar w:fldCharType="begin"/>
      </w:r>
      <w:r w:rsidR="00854689">
        <w:instrText xml:space="preserve"> SEQ Figure \* ARABIC </w:instrText>
      </w:r>
      <w:r w:rsidR="00854689">
        <w:fldChar w:fldCharType="separate"/>
      </w:r>
      <w:r w:rsidR="00DA1568">
        <w:rPr>
          <w:noProof/>
        </w:rPr>
        <w:t>2</w:t>
      </w:r>
      <w:r w:rsidR="00854689">
        <w:rPr>
          <w:noProof/>
        </w:rPr>
        <w:fldChar w:fldCharType="end"/>
      </w:r>
      <w:bookmarkEnd w:id="3"/>
      <w:r>
        <w:t>: Spectral efficiency versus various subband precoding granularities</w:t>
      </w:r>
    </w:p>
    <w:p w14:paraId="2A357200" w14:textId="410B62A3" w:rsidR="00336611" w:rsidRDefault="00336611" w:rsidP="00D6141A">
      <w:pPr>
        <w:spacing w:after="120"/>
        <w:ind w:left="1170" w:hanging="1170"/>
        <w:jc w:val="both"/>
        <w:rPr>
          <w:b/>
          <w:i/>
        </w:rPr>
      </w:pPr>
      <w:r>
        <w:rPr>
          <w:b/>
          <w:i/>
        </w:rPr>
        <w:t>Observation:</w:t>
      </w:r>
      <w:r w:rsidR="007A54B9" w:rsidRPr="007A54B9">
        <w:rPr>
          <w:b/>
          <w:i/>
        </w:rPr>
        <w:t xml:space="preserve"> </w:t>
      </w:r>
      <w:r w:rsidR="007A54B9">
        <w:rPr>
          <w:b/>
          <w:i/>
        </w:rPr>
        <w:tab/>
      </w:r>
      <w:r>
        <w:rPr>
          <w:b/>
          <w:i/>
        </w:rPr>
        <w:t xml:space="preserve">UL frequency selective precoding does not provide any significant performance improvement when the number of transmission ports at the UE is 4 or lower. </w:t>
      </w:r>
    </w:p>
    <w:p w14:paraId="30D309C3" w14:textId="2C3E0814" w:rsidR="00530A75" w:rsidRPr="00C37823" w:rsidRDefault="00C37823" w:rsidP="00D6141A">
      <w:pPr>
        <w:spacing w:after="120"/>
        <w:ind w:left="1080" w:hanging="1080"/>
        <w:jc w:val="both"/>
        <w:rPr>
          <w:b/>
          <w:i/>
        </w:rPr>
      </w:pPr>
      <w:r>
        <w:rPr>
          <w:b/>
          <w:i/>
        </w:rPr>
        <w:t xml:space="preserve">Proposal: </w:t>
      </w:r>
      <w:r w:rsidR="00530A75">
        <w:rPr>
          <w:b/>
          <w:i/>
        </w:rPr>
        <w:tab/>
      </w:r>
      <w:r w:rsidR="00530A75">
        <w:rPr>
          <w:rFonts w:eastAsia="MS Mincho"/>
          <w:b/>
          <w:i/>
          <w:lang w:eastAsia="ja-JP"/>
        </w:rPr>
        <w:t>F</w:t>
      </w:r>
      <w:r w:rsidR="00530A75" w:rsidRPr="006708CA">
        <w:rPr>
          <w:rFonts w:eastAsia="MS Mincho"/>
          <w:b/>
          <w:i/>
          <w:lang w:eastAsia="ja-JP"/>
        </w:rPr>
        <w:t xml:space="preserve">requency selective precoding for CP-OFDM </w:t>
      </w:r>
      <w:r w:rsidR="00530A75">
        <w:rPr>
          <w:rFonts w:eastAsia="MS Mincho"/>
          <w:b/>
          <w:i/>
          <w:lang w:eastAsia="ja-JP"/>
        </w:rPr>
        <w:t xml:space="preserve">is not supported </w:t>
      </w:r>
      <w:r w:rsidR="00530A75" w:rsidRPr="006708CA">
        <w:rPr>
          <w:rFonts w:eastAsia="MS Mincho"/>
          <w:b/>
          <w:i/>
          <w:lang w:eastAsia="ja-JP"/>
        </w:rPr>
        <w:t xml:space="preserve">when the number of transmission port(s) is </w:t>
      </w:r>
      <w:r w:rsidR="00530A75">
        <w:rPr>
          <w:rFonts w:eastAsia="MS Mincho"/>
          <w:b/>
          <w:i/>
          <w:lang w:eastAsia="ja-JP"/>
        </w:rPr>
        <w:t xml:space="preserve">less than or </w:t>
      </w:r>
      <w:r w:rsidR="00530A75" w:rsidRPr="006708CA">
        <w:rPr>
          <w:rFonts w:eastAsia="MS Mincho"/>
          <w:b/>
          <w:i/>
          <w:lang w:eastAsia="ja-JP"/>
        </w:rPr>
        <w:t xml:space="preserve">equal to </w:t>
      </w:r>
      <w:r w:rsidR="00530A75">
        <w:rPr>
          <w:rFonts w:eastAsia="MS Mincho"/>
          <w:b/>
          <w:i/>
          <w:lang w:eastAsia="ja-JP"/>
        </w:rPr>
        <w:t>4</w:t>
      </w:r>
      <w:r w:rsidR="00530A75" w:rsidRPr="006708CA">
        <w:rPr>
          <w:rFonts w:eastAsia="MS Mincho"/>
          <w:b/>
          <w:i/>
          <w:lang w:eastAsia="ja-JP"/>
        </w:rPr>
        <w:t>.</w:t>
      </w:r>
    </w:p>
    <w:p w14:paraId="7E89C27E" w14:textId="74610614" w:rsidR="00833824" w:rsidRDefault="00833824" w:rsidP="00833824">
      <w:pPr>
        <w:pStyle w:val="Heading1"/>
        <w:jc w:val="both"/>
      </w:pPr>
      <w:r w:rsidRPr="00E05A22">
        <w:t xml:space="preserve">Conclusions </w:t>
      </w:r>
    </w:p>
    <w:p w14:paraId="05F763D9" w14:textId="3BFE6319" w:rsidR="00833824" w:rsidRDefault="00833824" w:rsidP="00833824">
      <w:pPr>
        <w:jc w:val="both"/>
        <w:rPr>
          <w:lang w:val="en-GB"/>
        </w:rPr>
      </w:pPr>
      <w:r>
        <w:rPr>
          <w:lang w:val="en-GB"/>
        </w:rPr>
        <w:t xml:space="preserve">To summarize, we </w:t>
      </w:r>
      <w:r w:rsidR="007A54B9">
        <w:rPr>
          <w:lang w:val="en-GB"/>
        </w:rPr>
        <w:t xml:space="preserve">present system-level simulation results for </w:t>
      </w:r>
      <w:r w:rsidR="0002079D">
        <w:rPr>
          <w:lang w:val="en-GB"/>
        </w:rPr>
        <w:t>SU-MIMO with sub-band scheduling</w:t>
      </w:r>
      <w:r w:rsidR="007A54B9">
        <w:rPr>
          <w:lang w:val="en-GB"/>
        </w:rPr>
        <w:t xml:space="preserve"> with various UL subband precoding granularity</w:t>
      </w:r>
      <w:r>
        <w:rPr>
          <w:lang w:val="en-GB"/>
        </w:rPr>
        <w:t xml:space="preserve">.  We </w:t>
      </w:r>
      <w:r w:rsidR="00247A0A">
        <w:rPr>
          <w:lang w:val="en-GB"/>
        </w:rPr>
        <w:t>observe</w:t>
      </w:r>
      <w:r w:rsidR="0070160E">
        <w:rPr>
          <w:lang w:val="en-GB"/>
        </w:rPr>
        <w:t>:</w:t>
      </w:r>
    </w:p>
    <w:p w14:paraId="333FFEB8" w14:textId="77777777" w:rsidR="00247A0A" w:rsidRDefault="00247A0A" w:rsidP="00247A0A">
      <w:pPr>
        <w:spacing w:after="120"/>
        <w:ind w:left="1170" w:hanging="1170"/>
        <w:jc w:val="both"/>
        <w:rPr>
          <w:b/>
          <w:i/>
        </w:rPr>
      </w:pPr>
      <w:r>
        <w:rPr>
          <w:b/>
          <w:i/>
        </w:rPr>
        <w:t>Observation:</w:t>
      </w:r>
      <w:r w:rsidRPr="007A54B9">
        <w:rPr>
          <w:b/>
          <w:i/>
        </w:rPr>
        <w:t xml:space="preserve"> </w:t>
      </w:r>
      <w:r>
        <w:rPr>
          <w:b/>
          <w:i/>
        </w:rPr>
        <w:tab/>
        <w:t xml:space="preserve">UL frequency selective precoding does not provide any significant performance improvement when the number of transmission ports at the UE is 4 or lower. </w:t>
      </w:r>
    </w:p>
    <w:p w14:paraId="15383CED" w14:textId="38AC47C4" w:rsidR="00833824" w:rsidRDefault="00212A20" w:rsidP="00833824">
      <w:pPr>
        <w:jc w:val="both"/>
        <w:rPr>
          <w:lang w:val="en-GB"/>
        </w:rPr>
      </w:pPr>
      <w:r>
        <w:rPr>
          <w:lang w:val="en-GB"/>
        </w:rPr>
        <w:t>We propose:</w:t>
      </w:r>
      <w:r w:rsidDel="00212A20">
        <w:rPr>
          <w:lang w:val="en-GB"/>
        </w:rPr>
        <w:t xml:space="preserve"> </w:t>
      </w:r>
    </w:p>
    <w:p w14:paraId="323ED7D0" w14:textId="77777777" w:rsidR="00212A20" w:rsidRPr="00C37823" w:rsidRDefault="00212A20" w:rsidP="00212A20">
      <w:pPr>
        <w:spacing w:after="120"/>
        <w:ind w:left="1080" w:hanging="1080"/>
        <w:jc w:val="both"/>
        <w:rPr>
          <w:b/>
          <w:i/>
        </w:rPr>
      </w:pPr>
      <w:r>
        <w:rPr>
          <w:b/>
          <w:i/>
        </w:rPr>
        <w:t xml:space="preserve">Proposal: </w:t>
      </w:r>
      <w:r>
        <w:rPr>
          <w:b/>
          <w:i/>
        </w:rPr>
        <w:tab/>
      </w:r>
      <w:r>
        <w:rPr>
          <w:rFonts w:eastAsia="MS Mincho"/>
          <w:b/>
          <w:i/>
          <w:lang w:eastAsia="ja-JP"/>
        </w:rPr>
        <w:t>F</w:t>
      </w:r>
      <w:r w:rsidRPr="006708CA">
        <w:rPr>
          <w:rFonts w:eastAsia="MS Mincho"/>
          <w:b/>
          <w:i/>
          <w:lang w:eastAsia="ja-JP"/>
        </w:rPr>
        <w:t xml:space="preserve">requency selective precoding for CP-OFDM </w:t>
      </w:r>
      <w:r>
        <w:rPr>
          <w:rFonts w:eastAsia="MS Mincho"/>
          <w:b/>
          <w:i/>
          <w:lang w:eastAsia="ja-JP"/>
        </w:rPr>
        <w:t xml:space="preserve">is not supported </w:t>
      </w:r>
      <w:r w:rsidRPr="006708CA">
        <w:rPr>
          <w:rFonts w:eastAsia="MS Mincho"/>
          <w:b/>
          <w:i/>
          <w:lang w:eastAsia="ja-JP"/>
        </w:rPr>
        <w:t xml:space="preserve">when the number of transmission port(s) is </w:t>
      </w:r>
      <w:r>
        <w:rPr>
          <w:rFonts w:eastAsia="MS Mincho"/>
          <w:b/>
          <w:i/>
          <w:lang w:eastAsia="ja-JP"/>
        </w:rPr>
        <w:t xml:space="preserve">less than or </w:t>
      </w:r>
      <w:r w:rsidRPr="006708CA">
        <w:rPr>
          <w:rFonts w:eastAsia="MS Mincho"/>
          <w:b/>
          <w:i/>
          <w:lang w:eastAsia="ja-JP"/>
        </w:rPr>
        <w:t xml:space="preserve">equal to </w:t>
      </w:r>
      <w:r>
        <w:rPr>
          <w:rFonts w:eastAsia="MS Mincho"/>
          <w:b/>
          <w:i/>
          <w:lang w:eastAsia="ja-JP"/>
        </w:rPr>
        <w:t>4</w:t>
      </w:r>
      <w:r w:rsidRPr="006708CA">
        <w:rPr>
          <w:rFonts w:eastAsia="MS Mincho"/>
          <w:b/>
          <w:i/>
          <w:lang w:eastAsia="ja-JP"/>
        </w:rPr>
        <w:t>.</w:t>
      </w:r>
    </w:p>
    <w:p w14:paraId="4E937E7D" w14:textId="77777777" w:rsidR="00B93344" w:rsidRPr="00D6141A" w:rsidRDefault="00B93344" w:rsidP="00D6141A">
      <w:pPr>
        <w:pStyle w:val="Heading1"/>
        <w:textAlignment w:val="auto"/>
        <w:rPr>
          <w:lang w:val="en-US"/>
        </w:rPr>
      </w:pPr>
      <w:r w:rsidRPr="00D6141A">
        <w:rPr>
          <w:lang w:val="en-US"/>
        </w:rPr>
        <w:t>Appendix</w:t>
      </w:r>
    </w:p>
    <w:p w14:paraId="23AF8B7D" w14:textId="77777777" w:rsidR="00B93344" w:rsidRDefault="00B93344" w:rsidP="00B93344">
      <w:pPr>
        <w:pStyle w:val="Caption"/>
        <w:keepNext/>
        <w:jc w:val="center"/>
      </w:pPr>
      <w:r>
        <w:t xml:space="preserve">Table </w:t>
      </w:r>
      <w:r w:rsidR="00854689">
        <w:fldChar w:fldCharType="begin"/>
      </w:r>
      <w:r w:rsidR="00854689">
        <w:instrText xml:space="preserve"> SEQ Table \* ARABIC </w:instrText>
      </w:r>
      <w:r w:rsidR="00854689">
        <w:fldChar w:fldCharType="separate"/>
      </w:r>
      <w:r>
        <w:rPr>
          <w:noProof/>
        </w:rPr>
        <w:t>1</w:t>
      </w:r>
      <w:r w:rsidR="00854689">
        <w:rPr>
          <w:noProof/>
        </w:rPr>
        <w:fldChar w:fldCharType="end"/>
      </w:r>
      <w:r>
        <w:t>: System simulation assumptions.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853"/>
        <w:gridCol w:w="6132"/>
      </w:tblGrid>
      <w:tr w:rsidR="00B93344" w:rsidRPr="008F5B65" w14:paraId="0FE4C259" w14:textId="77777777" w:rsidTr="003A5615">
        <w:tc>
          <w:tcPr>
            <w:tcW w:w="3853" w:type="dxa"/>
            <w:vAlign w:val="center"/>
            <w:hideMark/>
          </w:tcPr>
          <w:p w14:paraId="2086F801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Parameters</w:t>
            </w:r>
          </w:p>
        </w:tc>
        <w:tc>
          <w:tcPr>
            <w:tcW w:w="6132" w:type="dxa"/>
            <w:vAlign w:val="center"/>
            <w:hideMark/>
          </w:tcPr>
          <w:p w14:paraId="74E4FDAD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Dense urban</w:t>
            </w:r>
          </w:p>
        </w:tc>
      </w:tr>
      <w:tr w:rsidR="00B93344" w:rsidRPr="008F5B65" w14:paraId="12302C88" w14:textId="77777777" w:rsidTr="003A5615">
        <w:tc>
          <w:tcPr>
            <w:tcW w:w="3853" w:type="dxa"/>
            <w:vAlign w:val="center"/>
            <w:hideMark/>
          </w:tcPr>
          <w:p w14:paraId="56008468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Layout</w:t>
            </w:r>
          </w:p>
        </w:tc>
        <w:tc>
          <w:tcPr>
            <w:tcW w:w="6132" w:type="dxa"/>
            <w:vAlign w:val="center"/>
            <w:hideMark/>
          </w:tcPr>
          <w:p w14:paraId="6CE46CD6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>Single layer - Macro layer: Hex. Grid</w:t>
            </w:r>
          </w:p>
        </w:tc>
      </w:tr>
      <w:tr w:rsidR="00B93344" w:rsidRPr="008F5B65" w14:paraId="33CC80C9" w14:textId="77777777" w:rsidTr="003A5615">
        <w:tc>
          <w:tcPr>
            <w:tcW w:w="3853" w:type="dxa"/>
            <w:vAlign w:val="center"/>
            <w:hideMark/>
          </w:tcPr>
          <w:p w14:paraId="5D290857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 xml:space="preserve">Inter-BS distance </w:t>
            </w:r>
          </w:p>
        </w:tc>
        <w:tc>
          <w:tcPr>
            <w:tcW w:w="6132" w:type="dxa"/>
            <w:vAlign w:val="center"/>
            <w:hideMark/>
          </w:tcPr>
          <w:p w14:paraId="0A31CE85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>Macro layer: 200m</w:t>
            </w:r>
          </w:p>
        </w:tc>
      </w:tr>
      <w:tr w:rsidR="00B93344" w:rsidRPr="008F5B65" w14:paraId="62D8C2E5" w14:textId="77777777" w:rsidTr="003A5615">
        <w:tc>
          <w:tcPr>
            <w:tcW w:w="3853" w:type="dxa"/>
            <w:vAlign w:val="center"/>
            <w:hideMark/>
          </w:tcPr>
          <w:p w14:paraId="477568E6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 xml:space="preserve">Carrier frequency </w:t>
            </w:r>
          </w:p>
        </w:tc>
        <w:tc>
          <w:tcPr>
            <w:tcW w:w="6132" w:type="dxa"/>
            <w:vAlign w:val="center"/>
            <w:hideMark/>
          </w:tcPr>
          <w:p w14:paraId="7E461D23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 xml:space="preserve">Macro layer: 4 GHz </w:t>
            </w:r>
          </w:p>
        </w:tc>
      </w:tr>
      <w:tr w:rsidR="00B93344" w:rsidRPr="008F5B65" w14:paraId="0E50BD9C" w14:textId="77777777" w:rsidTr="003A5615">
        <w:tc>
          <w:tcPr>
            <w:tcW w:w="3853" w:type="dxa"/>
            <w:vAlign w:val="center"/>
            <w:hideMark/>
          </w:tcPr>
          <w:p w14:paraId="30B9BCB6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Aggregated system bandwidth</w:t>
            </w:r>
          </w:p>
        </w:tc>
        <w:tc>
          <w:tcPr>
            <w:tcW w:w="6132" w:type="dxa"/>
            <w:vAlign w:val="center"/>
            <w:hideMark/>
          </w:tcPr>
          <w:p w14:paraId="60894CB6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 xml:space="preserve">80MHz (DL+UL) </w:t>
            </w:r>
          </w:p>
        </w:tc>
      </w:tr>
      <w:tr w:rsidR="00B93344" w:rsidRPr="008F5B65" w14:paraId="601633D8" w14:textId="77777777" w:rsidTr="003A5615">
        <w:tc>
          <w:tcPr>
            <w:tcW w:w="3853" w:type="dxa"/>
            <w:vAlign w:val="center"/>
            <w:hideMark/>
          </w:tcPr>
          <w:p w14:paraId="4A86B4D5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Simulation bandwidth</w:t>
            </w:r>
          </w:p>
        </w:tc>
        <w:tc>
          <w:tcPr>
            <w:tcW w:w="6132" w:type="dxa"/>
            <w:vAlign w:val="center"/>
            <w:hideMark/>
          </w:tcPr>
          <w:p w14:paraId="2CD41AD5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>20MHz per CC</w:t>
            </w:r>
          </w:p>
        </w:tc>
      </w:tr>
      <w:tr w:rsidR="00B93344" w:rsidRPr="008F5B65" w14:paraId="207DF692" w14:textId="77777777" w:rsidTr="003A5615">
        <w:tc>
          <w:tcPr>
            <w:tcW w:w="3853" w:type="dxa"/>
            <w:vAlign w:val="center"/>
            <w:hideMark/>
          </w:tcPr>
          <w:p w14:paraId="4ECFD6D6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Channel model</w:t>
            </w:r>
          </w:p>
        </w:tc>
        <w:tc>
          <w:tcPr>
            <w:tcW w:w="6132" w:type="dxa"/>
            <w:vAlign w:val="center"/>
            <w:hideMark/>
          </w:tcPr>
          <w:p w14:paraId="1671A2C4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>3D UMa</w:t>
            </w:r>
          </w:p>
        </w:tc>
      </w:tr>
      <w:tr w:rsidR="00B93344" w:rsidRPr="008F5B65" w14:paraId="484E25C3" w14:textId="77777777" w:rsidTr="003A5615">
        <w:tc>
          <w:tcPr>
            <w:tcW w:w="3853" w:type="dxa"/>
            <w:vAlign w:val="center"/>
            <w:hideMark/>
          </w:tcPr>
          <w:p w14:paraId="1B690FD0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 xml:space="preserve">Tx power </w:t>
            </w:r>
          </w:p>
        </w:tc>
        <w:tc>
          <w:tcPr>
            <w:tcW w:w="6132" w:type="dxa"/>
            <w:vAlign w:val="center"/>
            <w:hideMark/>
          </w:tcPr>
          <w:p w14:paraId="2890710F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>BS: 44 dBm PA scaled with simulation BW</w:t>
            </w:r>
            <w:r w:rsidRPr="008F5B65">
              <w:rPr>
                <w:rFonts w:eastAsia="Times New Roman"/>
                <w:lang w:eastAsia="zh-CN"/>
              </w:rPr>
              <w:br/>
              <w:t>UE: 23dBm</w:t>
            </w:r>
          </w:p>
        </w:tc>
      </w:tr>
      <w:tr w:rsidR="00B93344" w:rsidRPr="008F5B65" w14:paraId="3D8599C7" w14:textId="77777777" w:rsidTr="003A5615">
        <w:tc>
          <w:tcPr>
            <w:tcW w:w="3853" w:type="dxa"/>
            <w:vAlign w:val="center"/>
            <w:hideMark/>
          </w:tcPr>
          <w:p w14:paraId="790B9775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UE power control</w:t>
            </w:r>
          </w:p>
        </w:tc>
        <w:tc>
          <w:tcPr>
            <w:tcW w:w="6132" w:type="dxa"/>
            <w:vAlign w:val="center"/>
            <w:hideMark/>
          </w:tcPr>
          <w:p w14:paraId="4CBE59BE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>Open loop, P0 = 20 dB above thermal, α = 0.8</w:t>
            </w:r>
          </w:p>
        </w:tc>
      </w:tr>
      <w:tr w:rsidR="00B93344" w:rsidRPr="008F5B65" w14:paraId="400A44CC" w14:textId="77777777" w:rsidTr="003A5615">
        <w:tc>
          <w:tcPr>
            <w:tcW w:w="3853" w:type="dxa"/>
            <w:vAlign w:val="center"/>
            <w:hideMark/>
          </w:tcPr>
          <w:p w14:paraId="49693345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BS antenna configuration</w:t>
            </w:r>
          </w:p>
        </w:tc>
        <w:tc>
          <w:tcPr>
            <w:tcW w:w="6132" w:type="dxa"/>
            <w:vAlign w:val="center"/>
            <w:hideMark/>
          </w:tcPr>
          <w:p w14:paraId="63E0BEF2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>{64, 128} Tx /Rx antenna elements (</w:t>
            </w:r>
            <w:r w:rsidRPr="008F5B65">
              <w:rPr>
                <w:rFonts w:eastAsia="Times New Roman"/>
                <w:bCs/>
                <w:lang w:eastAsia="zh-CN"/>
              </w:rPr>
              <w:t>X-pol</w:t>
            </w:r>
            <w:r w:rsidRPr="008F5B65">
              <w:rPr>
                <w:rFonts w:eastAsia="Times New Roman"/>
                <w:lang w:eastAsia="zh-CN"/>
              </w:rPr>
              <w:t>)</w:t>
            </w:r>
            <w:r w:rsidRPr="008F5B65">
              <w:rPr>
                <w:rFonts w:eastAsia="Times New Roman"/>
                <w:lang w:eastAsia="zh-CN"/>
              </w:rPr>
              <w:br/>
              <w:t>{(8,</w:t>
            </w:r>
            <w:r>
              <w:rPr>
                <w:rFonts w:eastAsia="Times New Roman"/>
                <w:lang w:eastAsia="zh-CN"/>
              </w:rPr>
              <w:t xml:space="preserve"> </w:t>
            </w:r>
            <w:r w:rsidRPr="008F5B65">
              <w:rPr>
                <w:rFonts w:eastAsia="Times New Roman"/>
                <w:lang w:eastAsia="zh-CN"/>
              </w:rPr>
              <w:t>4,</w:t>
            </w:r>
            <w:r>
              <w:rPr>
                <w:rFonts w:eastAsia="Times New Roman"/>
                <w:lang w:eastAsia="zh-CN"/>
              </w:rPr>
              <w:t xml:space="preserve"> </w:t>
            </w:r>
            <w:r w:rsidRPr="008F5B65">
              <w:rPr>
                <w:rFonts w:eastAsia="Times New Roman"/>
                <w:lang w:eastAsia="zh-CN"/>
              </w:rPr>
              <w:t>2), (8,</w:t>
            </w:r>
            <w:r>
              <w:rPr>
                <w:rFonts w:eastAsia="Times New Roman"/>
                <w:lang w:eastAsia="zh-CN"/>
              </w:rPr>
              <w:t xml:space="preserve"> </w:t>
            </w:r>
            <w:r w:rsidRPr="008F5B65">
              <w:rPr>
                <w:rFonts w:eastAsia="Times New Roman"/>
                <w:lang w:eastAsia="zh-CN"/>
              </w:rPr>
              <w:t>8,</w:t>
            </w:r>
            <w:r>
              <w:rPr>
                <w:rFonts w:eastAsia="Times New Roman"/>
                <w:lang w:eastAsia="zh-CN"/>
              </w:rPr>
              <w:t xml:space="preserve"> </w:t>
            </w:r>
            <w:r w:rsidRPr="008F5B65">
              <w:rPr>
                <w:rFonts w:eastAsia="Times New Roman"/>
                <w:lang w:eastAsia="zh-CN"/>
              </w:rPr>
              <w:t>2)}</w:t>
            </w:r>
          </w:p>
        </w:tc>
      </w:tr>
      <w:tr w:rsidR="00B93344" w:rsidRPr="008F5B65" w14:paraId="34D7DFCA" w14:textId="77777777" w:rsidTr="003A5615">
        <w:tc>
          <w:tcPr>
            <w:tcW w:w="3853" w:type="dxa"/>
            <w:vAlign w:val="center"/>
            <w:hideMark/>
          </w:tcPr>
          <w:p w14:paraId="64FE1BC0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BS antenna pattern</w:t>
            </w:r>
          </w:p>
        </w:tc>
        <w:tc>
          <w:tcPr>
            <w:tcW w:w="6132" w:type="dxa"/>
            <w:vAlign w:val="center"/>
            <w:hideMark/>
          </w:tcPr>
          <w:p w14:paraId="037B8632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>Follow the modeling of TR36.873</w:t>
            </w:r>
          </w:p>
        </w:tc>
      </w:tr>
      <w:tr w:rsidR="00B93344" w:rsidRPr="008F5B65" w14:paraId="0FE15A36" w14:textId="77777777" w:rsidTr="003A5615">
        <w:tc>
          <w:tcPr>
            <w:tcW w:w="3853" w:type="dxa"/>
            <w:vAlign w:val="center"/>
            <w:hideMark/>
          </w:tcPr>
          <w:p w14:paraId="58B127FD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 xml:space="preserve">BS antenna height </w:t>
            </w:r>
          </w:p>
        </w:tc>
        <w:tc>
          <w:tcPr>
            <w:tcW w:w="6132" w:type="dxa"/>
            <w:vAlign w:val="center"/>
            <w:hideMark/>
          </w:tcPr>
          <w:p w14:paraId="1F580C6C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 xml:space="preserve">25 m </w:t>
            </w:r>
          </w:p>
        </w:tc>
      </w:tr>
      <w:tr w:rsidR="00B93344" w:rsidRPr="008F5B65" w14:paraId="10FA9F93" w14:textId="77777777" w:rsidTr="003A5615">
        <w:tc>
          <w:tcPr>
            <w:tcW w:w="3853" w:type="dxa"/>
            <w:vAlign w:val="center"/>
            <w:hideMark/>
          </w:tcPr>
          <w:p w14:paraId="534E8E53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BS antenna element gain + connector loss</w:t>
            </w:r>
          </w:p>
        </w:tc>
        <w:tc>
          <w:tcPr>
            <w:tcW w:w="6132" w:type="dxa"/>
            <w:vAlign w:val="center"/>
            <w:hideMark/>
          </w:tcPr>
          <w:p w14:paraId="07B6F5A6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>8 dBi</w:t>
            </w:r>
          </w:p>
        </w:tc>
      </w:tr>
      <w:tr w:rsidR="00B93344" w:rsidRPr="008F5B65" w14:paraId="4B1380C8" w14:textId="77777777" w:rsidTr="003A5615">
        <w:tc>
          <w:tcPr>
            <w:tcW w:w="3853" w:type="dxa"/>
            <w:vAlign w:val="center"/>
            <w:hideMark/>
          </w:tcPr>
          <w:p w14:paraId="79C87BB4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BS receiver noise figure</w:t>
            </w:r>
          </w:p>
        </w:tc>
        <w:tc>
          <w:tcPr>
            <w:tcW w:w="6132" w:type="dxa"/>
            <w:vAlign w:val="center"/>
            <w:hideMark/>
          </w:tcPr>
          <w:p w14:paraId="1B3E962A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>5 dB</w:t>
            </w:r>
          </w:p>
        </w:tc>
      </w:tr>
      <w:tr w:rsidR="00B93344" w:rsidRPr="008F5B65" w14:paraId="580E7638" w14:textId="77777777" w:rsidTr="003A5615">
        <w:tc>
          <w:tcPr>
            <w:tcW w:w="3853" w:type="dxa"/>
            <w:vAlign w:val="center"/>
            <w:hideMark/>
          </w:tcPr>
          <w:p w14:paraId="464042FC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UE antenna elements</w:t>
            </w:r>
          </w:p>
        </w:tc>
        <w:tc>
          <w:tcPr>
            <w:tcW w:w="6132" w:type="dxa"/>
            <w:vAlign w:val="center"/>
            <w:hideMark/>
          </w:tcPr>
          <w:p w14:paraId="2A569E95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 xml:space="preserve">{2, 4, 8} Tx /Rx antenna elements </w:t>
            </w:r>
          </w:p>
        </w:tc>
      </w:tr>
      <w:tr w:rsidR="00B93344" w:rsidRPr="008F5B65" w14:paraId="6A1F7EF2" w14:textId="77777777" w:rsidTr="003A5615">
        <w:tc>
          <w:tcPr>
            <w:tcW w:w="3853" w:type="dxa"/>
            <w:vAlign w:val="center"/>
            <w:hideMark/>
          </w:tcPr>
          <w:p w14:paraId="3DDA361C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UE antenna height</w:t>
            </w:r>
          </w:p>
        </w:tc>
        <w:tc>
          <w:tcPr>
            <w:tcW w:w="6132" w:type="dxa"/>
            <w:vAlign w:val="center"/>
            <w:hideMark/>
          </w:tcPr>
          <w:p w14:paraId="775A9BFF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 xml:space="preserve">Follow TR36.873 </w:t>
            </w:r>
          </w:p>
        </w:tc>
      </w:tr>
      <w:tr w:rsidR="00B93344" w:rsidRPr="008F5B65" w14:paraId="2C696809" w14:textId="77777777" w:rsidTr="003A5615">
        <w:tc>
          <w:tcPr>
            <w:tcW w:w="3853" w:type="dxa"/>
            <w:vAlign w:val="center"/>
            <w:hideMark/>
          </w:tcPr>
          <w:p w14:paraId="5555E6C0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UE antenna gain</w:t>
            </w:r>
          </w:p>
        </w:tc>
        <w:tc>
          <w:tcPr>
            <w:tcW w:w="6132" w:type="dxa"/>
            <w:vAlign w:val="center"/>
            <w:hideMark/>
          </w:tcPr>
          <w:p w14:paraId="5B822F9C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>Follow TR36.873</w:t>
            </w:r>
          </w:p>
        </w:tc>
      </w:tr>
      <w:tr w:rsidR="00B93344" w:rsidRPr="008F5B65" w14:paraId="0F49FEF1" w14:textId="77777777" w:rsidTr="003A5615">
        <w:tc>
          <w:tcPr>
            <w:tcW w:w="3853" w:type="dxa"/>
            <w:vAlign w:val="center"/>
            <w:hideMark/>
          </w:tcPr>
          <w:p w14:paraId="62C8FE7B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UE receiver noise figure</w:t>
            </w:r>
          </w:p>
        </w:tc>
        <w:tc>
          <w:tcPr>
            <w:tcW w:w="6132" w:type="dxa"/>
            <w:vAlign w:val="center"/>
            <w:hideMark/>
          </w:tcPr>
          <w:p w14:paraId="53D78D06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>9 dB</w:t>
            </w:r>
          </w:p>
        </w:tc>
      </w:tr>
      <w:tr w:rsidR="00B93344" w:rsidRPr="008F5B65" w14:paraId="6CD6C0B7" w14:textId="77777777" w:rsidTr="003A5615">
        <w:tc>
          <w:tcPr>
            <w:tcW w:w="3853" w:type="dxa"/>
            <w:vAlign w:val="center"/>
            <w:hideMark/>
          </w:tcPr>
          <w:p w14:paraId="24C61C46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Traffic model</w:t>
            </w:r>
          </w:p>
        </w:tc>
        <w:tc>
          <w:tcPr>
            <w:tcW w:w="6132" w:type="dxa"/>
            <w:vAlign w:val="center"/>
            <w:hideMark/>
          </w:tcPr>
          <w:p w14:paraId="5F377029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>Full buffer</w:t>
            </w:r>
          </w:p>
        </w:tc>
      </w:tr>
      <w:tr w:rsidR="00B93344" w:rsidRPr="008F5B65" w14:paraId="1B6675AE" w14:textId="77777777" w:rsidTr="003A5615">
        <w:tc>
          <w:tcPr>
            <w:tcW w:w="3853" w:type="dxa"/>
            <w:vAlign w:val="center"/>
            <w:hideMark/>
          </w:tcPr>
          <w:p w14:paraId="05AC14EF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Traffic load (Resource utilization)</w:t>
            </w:r>
          </w:p>
        </w:tc>
        <w:tc>
          <w:tcPr>
            <w:tcW w:w="6132" w:type="dxa"/>
            <w:vAlign w:val="center"/>
            <w:hideMark/>
          </w:tcPr>
          <w:p w14:paraId="35ABD065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>100%</w:t>
            </w:r>
          </w:p>
        </w:tc>
      </w:tr>
      <w:tr w:rsidR="00B93344" w:rsidRPr="008F5B65" w14:paraId="4324AC6A" w14:textId="77777777" w:rsidTr="003A5615">
        <w:tc>
          <w:tcPr>
            <w:tcW w:w="3853" w:type="dxa"/>
            <w:vAlign w:val="center"/>
            <w:hideMark/>
          </w:tcPr>
          <w:p w14:paraId="44BD5686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UE distribution</w:t>
            </w:r>
          </w:p>
        </w:tc>
        <w:tc>
          <w:tcPr>
            <w:tcW w:w="6132" w:type="dxa"/>
            <w:vAlign w:val="center"/>
            <w:hideMark/>
          </w:tcPr>
          <w:p w14:paraId="2EAD2301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>80% indoor (3km/h), 20% outdoor (30km/h)</w:t>
            </w:r>
            <w:r w:rsidRPr="008F5B65">
              <w:rPr>
                <w:rFonts w:eastAsia="Times New Roman"/>
                <w:lang w:eastAsia="zh-CN"/>
              </w:rPr>
              <w:br/>
              <w:t>Uniform/macro TRP (10 users per TRP for full buffer traffic)</w:t>
            </w:r>
          </w:p>
        </w:tc>
      </w:tr>
      <w:tr w:rsidR="00B93344" w:rsidRPr="008F5B65" w14:paraId="69F4527D" w14:textId="77777777" w:rsidTr="003A5615">
        <w:tc>
          <w:tcPr>
            <w:tcW w:w="3853" w:type="dxa"/>
            <w:vAlign w:val="center"/>
            <w:hideMark/>
          </w:tcPr>
          <w:p w14:paraId="70F72A2F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UE receiver</w:t>
            </w:r>
          </w:p>
        </w:tc>
        <w:tc>
          <w:tcPr>
            <w:tcW w:w="6132" w:type="dxa"/>
            <w:vAlign w:val="center"/>
            <w:hideMark/>
          </w:tcPr>
          <w:p w14:paraId="551A3872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>MMSE-IRC as the baseline receiver</w:t>
            </w:r>
          </w:p>
        </w:tc>
      </w:tr>
      <w:tr w:rsidR="00B93344" w:rsidRPr="008F5B65" w14:paraId="74E76648" w14:textId="77777777" w:rsidTr="003A5615">
        <w:tc>
          <w:tcPr>
            <w:tcW w:w="3853" w:type="dxa"/>
            <w:vAlign w:val="center"/>
            <w:hideMark/>
          </w:tcPr>
          <w:p w14:paraId="5D0D86E3" w14:textId="77777777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F5B65">
              <w:rPr>
                <w:rFonts w:eastAsia="Times New Roman"/>
                <w:b/>
                <w:bCs/>
                <w:lang w:eastAsia="zh-CN"/>
              </w:rPr>
              <w:t>Channel estimation</w:t>
            </w:r>
          </w:p>
        </w:tc>
        <w:tc>
          <w:tcPr>
            <w:tcW w:w="6132" w:type="dxa"/>
            <w:vAlign w:val="center"/>
            <w:hideMark/>
          </w:tcPr>
          <w:p w14:paraId="6AFC8782" w14:textId="5694884E" w:rsidR="00B93344" w:rsidRPr="008F5B65" w:rsidRDefault="00B93344" w:rsidP="003A5615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8F5B65">
              <w:rPr>
                <w:rFonts w:eastAsia="Times New Roman"/>
                <w:lang w:eastAsia="zh-CN"/>
              </w:rPr>
              <w:t xml:space="preserve">Ideal for scheduling, beam selection; </w:t>
            </w:r>
            <w:r w:rsidRPr="008F5B65">
              <w:rPr>
                <w:rFonts w:eastAsia="Times New Roman"/>
                <w:lang w:eastAsia="zh-CN"/>
              </w:rPr>
              <w:br/>
              <w:t>Realistic at demod</w:t>
            </w:r>
            <w:r>
              <w:rPr>
                <w:rFonts w:eastAsia="Times New Roman"/>
                <w:lang w:eastAsia="zh-CN"/>
              </w:rPr>
              <w:t>ulation</w:t>
            </w:r>
          </w:p>
        </w:tc>
      </w:tr>
    </w:tbl>
    <w:p w14:paraId="762CFCE8" w14:textId="77777777" w:rsidR="00B06054" w:rsidRDefault="00B06054">
      <w:pPr>
        <w:jc w:val="both"/>
        <w:rPr>
          <w:lang w:val="en-GB"/>
        </w:rPr>
      </w:pPr>
    </w:p>
    <w:p w14:paraId="59E71F76" w14:textId="77777777" w:rsidR="00B06054" w:rsidRDefault="00B06054" w:rsidP="00B06054">
      <w:pPr>
        <w:pStyle w:val="Heading1"/>
        <w:textAlignment w:val="auto"/>
        <w:rPr>
          <w:lang w:val="en-US"/>
        </w:rPr>
      </w:pPr>
      <w:r>
        <w:rPr>
          <w:lang w:val="en-US"/>
        </w:rPr>
        <w:t>References</w:t>
      </w:r>
    </w:p>
    <w:p w14:paraId="12AECEDB" w14:textId="77777777" w:rsidR="00B06054" w:rsidRDefault="00B06054" w:rsidP="00B06054">
      <w:pPr>
        <w:pStyle w:val="References"/>
        <w:numPr>
          <w:ilvl w:val="0"/>
          <w:numId w:val="4"/>
        </w:numPr>
        <w:snapToGrid/>
        <w:spacing w:after="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RAN1 Chairman’s notes, 3GPP TSG RAN WG1 Meeting #88, February 2017.</w:t>
      </w:r>
    </w:p>
    <w:p w14:paraId="57426AFE" w14:textId="77777777" w:rsidR="00B06054" w:rsidRDefault="00B06054" w:rsidP="00B06054">
      <w:pPr>
        <w:pStyle w:val="References"/>
        <w:numPr>
          <w:ilvl w:val="0"/>
          <w:numId w:val="4"/>
        </w:numPr>
        <w:snapToGrid/>
        <w:spacing w:after="80"/>
        <w:rPr>
          <w:rFonts w:ascii="Times New Roman" w:hAnsi="Times New Roman"/>
          <w:sz w:val="20"/>
          <w:szCs w:val="20"/>
          <w:lang w:val="en-GB"/>
        </w:rPr>
      </w:pPr>
      <w:r w:rsidRPr="003A5615">
        <w:rPr>
          <w:rFonts w:ascii="Times New Roman" w:hAnsi="Times New Roman"/>
          <w:sz w:val="20"/>
          <w:szCs w:val="20"/>
          <w:lang w:val="en-GB"/>
        </w:rPr>
        <w:t>R1-1702600, “Non-codebook based UL transmission,” Qualcomm Incorporated.</w:t>
      </w:r>
    </w:p>
    <w:p w14:paraId="2A0F7E66" w14:textId="77777777" w:rsidR="00B06054" w:rsidRPr="003A5615" w:rsidRDefault="00B06054" w:rsidP="00B06054">
      <w:pPr>
        <w:pStyle w:val="References"/>
        <w:numPr>
          <w:ilvl w:val="0"/>
          <w:numId w:val="4"/>
        </w:numPr>
        <w:snapToGrid/>
        <w:spacing w:after="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R1-1705577, “Non-codebook based UL transmission,” </w:t>
      </w:r>
      <w:r w:rsidRPr="00656A8B">
        <w:rPr>
          <w:rFonts w:ascii="Times New Roman" w:hAnsi="Times New Roman"/>
          <w:sz w:val="20"/>
          <w:szCs w:val="20"/>
          <w:lang w:val="en-GB"/>
        </w:rPr>
        <w:t>Qualcomm Incorporated</w:t>
      </w:r>
      <w:r>
        <w:rPr>
          <w:rFonts w:ascii="Times New Roman" w:hAnsi="Times New Roman"/>
          <w:sz w:val="20"/>
          <w:szCs w:val="20"/>
          <w:lang w:val="en-GB"/>
        </w:rPr>
        <w:t>.</w:t>
      </w:r>
    </w:p>
    <w:p w14:paraId="2F70C6A7" w14:textId="77777777" w:rsidR="00B06054" w:rsidRDefault="00B06054" w:rsidP="00B06054">
      <w:pPr>
        <w:jc w:val="both"/>
        <w:rPr>
          <w:lang w:val="en-GB"/>
        </w:rPr>
      </w:pPr>
    </w:p>
    <w:p w14:paraId="19BD9193" w14:textId="5619A56B" w:rsidR="0011034F" w:rsidRPr="00B24305" w:rsidRDefault="0011034F">
      <w:pPr>
        <w:jc w:val="both"/>
        <w:rPr>
          <w:lang w:val="en-GB"/>
        </w:rPr>
      </w:pPr>
      <w:bookmarkStart w:id="4" w:name="_Ref450583331"/>
      <w:bookmarkEnd w:id="4"/>
    </w:p>
    <w:sectPr w:rsidR="0011034F" w:rsidRPr="00B24305" w:rsidSect="00671B4F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BE70E1" w14:textId="77777777" w:rsidR="00536ACE" w:rsidRDefault="00536ACE">
      <w:r>
        <w:separator/>
      </w:r>
    </w:p>
  </w:endnote>
  <w:endnote w:type="continuationSeparator" w:id="0">
    <w:p w14:paraId="2C109FA8" w14:textId="77777777" w:rsidR="00536ACE" w:rsidRDefault="00536ACE">
      <w:r>
        <w:continuationSeparator/>
      </w:r>
    </w:p>
  </w:endnote>
  <w:endnote w:type="continuationNotice" w:id="1">
    <w:p w14:paraId="197262CB" w14:textId="77777777" w:rsidR="00536ACE" w:rsidRDefault="00536A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050BB" w14:textId="77777777" w:rsidR="009B0EA8" w:rsidRDefault="009B0E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9B0EA8" w:rsidRDefault="009B0E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210E00" w14:textId="3194E029" w:rsidR="009B0EA8" w:rsidRDefault="009B0E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5468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54689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0180B" w14:textId="77777777" w:rsidR="00536ACE" w:rsidRDefault="00536ACE">
      <w:r>
        <w:separator/>
      </w:r>
    </w:p>
  </w:footnote>
  <w:footnote w:type="continuationSeparator" w:id="0">
    <w:p w14:paraId="5E76D72C" w14:textId="77777777" w:rsidR="00536ACE" w:rsidRDefault="00536ACE">
      <w:r>
        <w:continuationSeparator/>
      </w:r>
    </w:p>
  </w:footnote>
  <w:footnote w:type="continuationNotice" w:id="1">
    <w:p w14:paraId="24E40E23" w14:textId="77777777" w:rsidR="00536ACE" w:rsidRDefault="00536A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67E5C" w14:textId="77777777" w:rsidR="009B0EA8" w:rsidRDefault="009B0E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4C453B"/>
    <w:multiLevelType w:val="hybridMultilevel"/>
    <w:tmpl w:val="7FF07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D2F23"/>
    <w:multiLevelType w:val="hybridMultilevel"/>
    <w:tmpl w:val="FD52E946"/>
    <w:lvl w:ilvl="0" w:tplc="E3C801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0FC0118">
      <w:start w:val="302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914D7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5A6C4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A6C8D9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DEE95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D7E2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B5AA3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312844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953C45"/>
    <w:multiLevelType w:val="hybridMultilevel"/>
    <w:tmpl w:val="664A9D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06DEE"/>
    <w:multiLevelType w:val="hybridMultilevel"/>
    <w:tmpl w:val="664A9D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C2D3D"/>
    <w:multiLevelType w:val="hybridMultilevel"/>
    <w:tmpl w:val="E0FE057E"/>
    <w:lvl w:ilvl="0" w:tplc="6192791E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2B14C79"/>
    <w:multiLevelType w:val="hybridMultilevel"/>
    <w:tmpl w:val="950EB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086981"/>
    <w:multiLevelType w:val="hybridMultilevel"/>
    <w:tmpl w:val="29505210"/>
    <w:lvl w:ilvl="0" w:tplc="6192791E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7B0AFC"/>
    <w:multiLevelType w:val="hybridMultilevel"/>
    <w:tmpl w:val="E0FE057E"/>
    <w:lvl w:ilvl="0" w:tplc="6192791E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F1D6A21"/>
    <w:multiLevelType w:val="singleLevel"/>
    <w:tmpl w:val="DA08DD5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8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2"/>
    <w:lvlOverride w:ilvl="0">
      <w:startOverride w:val="1"/>
    </w:lvlOverride>
  </w:num>
  <w:num w:numId="4">
    <w:abstractNumId w:val="17"/>
    <w:lvlOverride w:ilvl="0">
      <w:startOverride w:val="1"/>
    </w:lvlOverride>
  </w:num>
  <w:num w:numId="5">
    <w:abstractNumId w:val="6"/>
  </w:num>
  <w:num w:numId="6">
    <w:abstractNumId w:val="0"/>
  </w:num>
  <w:num w:numId="7">
    <w:abstractNumId w:val="18"/>
  </w:num>
  <w:num w:numId="8">
    <w:abstractNumId w:val="1"/>
  </w:num>
  <w:num w:numId="9">
    <w:abstractNumId w:val="3"/>
  </w:num>
  <w:num w:numId="10">
    <w:abstractNumId w:val="8"/>
  </w:num>
  <w:num w:numId="11">
    <w:abstractNumId w:val="5"/>
  </w:num>
  <w:num w:numId="12">
    <w:abstractNumId w:val="7"/>
  </w:num>
  <w:num w:numId="13">
    <w:abstractNumId w:val="16"/>
  </w:num>
  <w:num w:numId="14">
    <w:abstractNumId w:val="2"/>
  </w:num>
  <w:num w:numId="15">
    <w:abstractNumId w:val="13"/>
  </w:num>
  <w:num w:numId="16">
    <w:abstractNumId w:val="9"/>
  </w:num>
  <w:num w:numId="17">
    <w:abstractNumId w:val="4"/>
  </w:num>
  <w:num w:numId="18">
    <w:abstractNumId w:val="14"/>
  </w:num>
  <w:num w:numId="19">
    <w:abstractNumId w:val="11"/>
  </w:num>
  <w:num w:numId="20">
    <w:abstractNumId w:val="2"/>
  </w:num>
  <w:num w:numId="21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5A65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79D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1A9"/>
    <w:rsid w:val="0003723F"/>
    <w:rsid w:val="000377E3"/>
    <w:rsid w:val="00037A21"/>
    <w:rsid w:val="00037C2D"/>
    <w:rsid w:val="000402B6"/>
    <w:rsid w:val="000404F2"/>
    <w:rsid w:val="00040AAD"/>
    <w:rsid w:val="00040C15"/>
    <w:rsid w:val="00040D59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1FE"/>
    <w:rsid w:val="000472F3"/>
    <w:rsid w:val="000477BB"/>
    <w:rsid w:val="0004784D"/>
    <w:rsid w:val="00047A82"/>
    <w:rsid w:val="00047B11"/>
    <w:rsid w:val="00050335"/>
    <w:rsid w:val="0005055B"/>
    <w:rsid w:val="000505E0"/>
    <w:rsid w:val="00051135"/>
    <w:rsid w:val="000515F7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BDC"/>
    <w:rsid w:val="00061CE9"/>
    <w:rsid w:val="00061D2A"/>
    <w:rsid w:val="000621A9"/>
    <w:rsid w:val="000623BC"/>
    <w:rsid w:val="0006263A"/>
    <w:rsid w:val="00062D9A"/>
    <w:rsid w:val="000631CE"/>
    <w:rsid w:val="00063485"/>
    <w:rsid w:val="00063F57"/>
    <w:rsid w:val="000647B1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10F"/>
    <w:rsid w:val="000752CD"/>
    <w:rsid w:val="00075680"/>
    <w:rsid w:val="00075999"/>
    <w:rsid w:val="00075AB6"/>
    <w:rsid w:val="00076408"/>
    <w:rsid w:val="00076608"/>
    <w:rsid w:val="00076B97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3C81"/>
    <w:rsid w:val="00084255"/>
    <w:rsid w:val="00084D3C"/>
    <w:rsid w:val="00085239"/>
    <w:rsid w:val="0008599C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853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E8"/>
    <w:rsid w:val="000A0CA1"/>
    <w:rsid w:val="000A0E99"/>
    <w:rsid w:val="000A10A3"/>
    <w:rsid w:val="000A1AD3"/>
    <w:rsid w:val="000A1D49"/>
    <w:rsid w:val="000A23E5"/>
    <w:rsid w:val="000A26E4"/>
    <w:rsid w:val="000A2D70"/>
    <w:rsid w:val="000A31F7"/>
    <w:rsid w:val="000A3ACB"/>
    <w:rsid w:val="000A43AB"/>
    <w:rsid w:val="000A49DE"/>
    <w:rsid w:val="000A4B74"/>
    <w:rsid w:val="000A4FEA"/>
    <w:rsid w:val="000A52F5"/>
    <w:rsid w:val="000A54DF"/>
    <w:rsid w:val="000A5AD4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28"/>
    <w:rsid w:val="000B3F37"/>
    <w:rsid w:val="000B4788"/>
    <w:rsid w:val="000B49D7"/>
    <w:rsid w:val="000B546F"/>
    <w:rsid w:val="000B6030"/>
    <w:rsid w:val="000B65BE"/>
    <w:rsid w:val="000B6BDF"/>
    <w:rsid w:val="000B6CCE"/>
    <w:rsid w:val="000B71B6"/>
    <w:rsid w:val="000B78D1"/>
    <w:rsid w:val="000B7B2B"/>
    <w:rsid w:val="000B7D5E"/>
    <w:rsid w:val="000C0B7B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086"/>
    <w:rsid w:val="000C5759"/>
    <w:rsid w:val="000C5C2C"/>
    <w:rsid w:val="000C5E7D"/>
    <w:rsid w:val="000C673C"/>
    <w:rsid w:val="000C69F8"/>
    <w:rsid w:val="000C6A01"/>
    <w:rsid w:val="000C71D9"/>
    <w:rsid w:val="000C7CCC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D40"/>
    <w:rsid w:val="000E011D"/>
    <w:rsid w:val="000E03CF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6CE"/>
    <w:rsid w:val="000E7F51"/>
    <w:rsid w:val="000F00D8"/>
    <w:rsid w:val="000F095B"/>
    <w:rsid w:val="000F13C4"/>
    <w:rsid w:val="000F13D7"/>
    <w:rsid w:val="000F17E4"/>
    <w:rsid w:val="000F1878"/>
    <w:rsid w:val="000F1CF3"/>
    <w:rsid w:val="000F1D5B"/>
    <w:rsid w:val="000F1F98"/>
    <w:rsid w:val="000F20CD"/>
    <w:rsid w:val="000F25B8"/>
    <w:rsid w:val="000F2965"/>
    <w:rsid w:val="000F2D09"/>
    <w:rsid w:val="000F3123"/>
    <w:rsid w:val="000F34C7"/>
    <w:rsid w:val="000F3B40"/>
    <w:rsid w:val="000F3F2F"/>
    <w:rsid w:val="000F42EA"/>
    <w:rsid w:val="000F4CAF"/>
    <w:rsid w:val="000F4D2F"/>
    <w:rsid w:val="000F4EE9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2A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468"/>
    <w:rsid w:val="00131683"/>
    <w:rsid w:val="00131AC6"/>
    <w:rsid w:val="001321CE"/>
    <w:rsid w:val="001322B0"/>
    <w:rsid w:val="001324CC"/>
    <w:rsid w:val="00132671"/>
    <w:rsid w:val="00132767"/>
    <w:rsid w:val="00132917"/>
    <w:rsid w:val="00132E89"/>
    <w:rsid w:val="0013334C"/>
    <w:rsid w:val="00133EBD"/>
    <w:rsid w:val="00135015"/>
    <w:rsid w:val="00135095"/>
    <w:rsid w:val="0013547B"/>
    <w:rsid w:val="00135517"/>
    <w:rsid w:val="00135829"/>
    <w:rsid w:val="00135884"/>
    <w:rsid w:val="001358A7"/>
    <w:rsid w:val="001358F4"/>
    <w:rsid w:val="0013612A"/>
    <w:rsid w:val="001361D8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C64"/>
    <w:rsid w:val="00143C8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345"/>
    <w:rsid w:val="00155615"/>
    <w:rsid w:val="00155D53"/>
    <w:rsid w:val="0015622B"/>
    <w:rsid w:val="00156260"/>
    <w:rsid w:val="00156502"/>
    <w:rsid w:val="00157BFC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6FBF"/>
    <w:rsid w:val="0016700E"/>
    <w:rsid w:val="00167125"/>
    <w:rsid w:val="0016733C"/>
    <w:rsid w:val="0016764C"/>
    <w:rsid w:val="00167869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1FA8"/>
    <w:rsid w:val="001729E1"/>
    <w:rsid w:val="00172B61"/>
    <w:rsid w:val="00172C20"/>
    <w:rsid w:val="001738A5"/>
    <w:rsid w:val="00173A00"/>
    <w:rsid w:val="00173C4A"/>
    <w:rsid w:val="00173D38"/>
    <w:rsid w:val="00174DDB"/>
    <w:rsid w:val="00175009"/>
    <w:rsid w:val="001752EC"/>
    <w:rsid w:val="00175A51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B7B"/>
    <w:rsid w:val="00182FBF"/>
    <w:rsid w:val="001836DF"/>
    <w:rsid w:val="00183808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856"/>
    <w:rsid w:val="001908C5"/>
    <w:rsid w:val="00190927"/>
    <w:rsid w:val="00190BD5"/>
    <w:rsid w:val="00190C5A"/>
    <w:rsid w:val="00191727"/>
    <w:rsid w:val="00191951"/>
    <w:rsid w:val="00191EBF"/>
    <w:rsid w:val="00192338"/>
    <w:rsid w:val="00192589"/>
    <w:rsid w:val="001925E5"/>
    <w:rsid w:val="001929F7"/>
    <w:rsid w:val="00193987"/>
    <w:rsid w:val="00194955"/>
    <w:rsid w:val="00195593"/>
    <w:rsid w:val="0019573B"/>
    <w:rsid w:val="0019592C"/>
    <w:rsid w:val="00196085"/>
    <w:rsid w:val="00196514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0ABD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132"/>
    <w:rsid w:val="001C16A9"/>
    <w:rsid w:val="001C19EB"/>
    <w:rsid w:val="001C1E53"/>
    <w:rsid w:val="001C211D"/>
    <w:rsid w:val="001C2A8B"/>
    <w:rsid w:val="001C3434"/>
    <w:rsid w:val="001C3474"/>
    <w:rsid w:val="001C38FE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5DC"/>
    <w:rsid w:val="001D43C0"/>
    <w:rsid w:val="001D448E"/>
    <w:rsid w:val="001D4969"/>
    <w:rsid w:val="001D4A3F"/>
    <w:rsid w:val="001D4AF0"/>
    <w:rsid w:val="001D4F24"/>
    <w:rsid w:val="001D506F"/>
    <w:rsid w:val="001D57BC"/>
    <w:rsid w:val="001D69ED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69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D7F"/>
    <w:rsid w:val="00210F42"/>
    <w:rsid w:val="00211042"/>
    <w:rsid w:val="00211345"/>
    <w:rsid w:val="002114FA"/>
    <w:rsid w:val="00211CD2"/>
    <w:rsid w:val="00211D31"/>
    <w:rsid w:val="00211DD9"/>
    <w:rsid w:val="00212816"/>
    <w:rsid w:val="00212A20"/>
    <w:rsid w:val="002130BD"/>
    <w:rsid w:val="00213851"/>
    <w:rsid w:val="00214E0D"/>
    <w:rsid w:val="0021512E"/>
    <w:rsid w:val="00215250"/>
    <w:rsid w:val="0021586D"/>
    <w:rsid w:val="002158D6"/>
    <w:rsid w:val="00215B81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2D8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6E25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5F4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A0A"/>
    <w:rsid w:val="00247C92"/>
    <w:rsid w:val="00247DD1"/>
    <w:rsid w:val="002506F5"/>
    <w:rsid w:val="00250D9C"/>
    <w:rsid w:val="00251117"/>
    <w:rsid w:val="00251236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AA2"/>
    <w:rsid w:val="00261D05"/>
    <w:rsid w:val="002623AC"/>
    <w:rsid w:val="00262979"/>
    <w:rsid w:val="00262CB1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DB"/>
    <w:rsid w:val="00267D1B"/>
    <w:rsid w:val="002706CC"/>
    <w:rsid w:val="002706D6"/>
    <w:rsid w:val="00270C63"/>
    <w:rsid w:val="00270C98"/>
    <w:rsid w:val="00270CF1"/>
    <w:rsid w:val="00270E57"/>
    <w:rsid w:val="002711C3"/>
    <w:rsid w:val="002713CE"/>
    <w:rsid w:val="0027193C"/>
    <w:rsid w:val="00271EEF"/>
    <w:rsid w:val="00271F29"/>
    <w:rsid w:val="0027242C"/>
    <w:rsid w:val="00272474"/>
    <w:rsid w:val="0027257A"/>
    <w:rsid w:val="00272D06"/>
    <w:rsid w:val="00272EE0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E66"/>
    <w:rsid w:val="002801E2"/>
    <w:rsid w:val="00280612"/>
    <w:rsid w:val="0028073A"/>
    <w:rsid w:val="00280960"/>
    <w:rsid w:val="0028168F"/>
    <w:rsid w:val="00282018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C72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17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365"/>
    <w:rsid w:val="00296758"/>
    <w:rsid w:val="0029696C"/>
    <w:rsid w:val="00296D93"/>
    <w:rsid w:val="00296FD8"/>
    <w:rsid w:val="00297256"/>
    <w:rsid w:val="0029743A"/>
    <w:rsid w:val="00297499"/>
    <w:rsid w:val="002974AA"/>
    <w:rsid w:val="002977A0"/>
    <w:rsid w:val="00297A89"/>
    <w:rsid w:val="00297F46"/>
    <w:rsid w:val="002A01F4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886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056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48"/>
    <w:rsid w:val="002C2FCD"/>
    <w:rsid w:val="002C3AE4"/>
    <w:rsid w:val="002C3E89"/>
    <w:rsid w:val="002C42AA"/>
    <w:rsid w:val="002C4447"/>
    <w:rsid w:val="002C4AF6"/>
    <w:rsid w:val="002C5533"/>
    <w:rsid w:val="002C560F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F5B"/>
    <w:rsid w:val="002D2B4E"/>
    <w:rsid w:val="002D2F9B"/>
    <w:rsid w:val="002D3968"/>
    <w:rsid w:val="002D425A"/>
    <w:rsid w:val="002D4314"/>
    <w:rsid w:val="002D4A54"/>
    <w:rsid w:val="002D4BC9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15B"/>
    <w:rsid w:val="002F0045"/>
    <w:rsid w:val="002F00F0"/>
    <w:rsid w:val="002F025B"/>
    <w:rsid w:val="002F0684"/>
    <w:rsid w:val="002F09C0"/>
    <w:rsid w:val="002F0ADB"/>
    <w:rsid w:val="002F0E34"/>
    <w:rsid w:val="002F2AE0"/>
    <w:rsid w:val="002F2CD3"/>
    <w:rsid w:val="002F2E1A"/>
    <w:rsid w:val="002F3157"/>
    <w:rsid w:val="002F31C4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277"/>
    <w:rsid w:val="00304556"/>
    <w:rsid w:val="00304AC5"/>
    <w:rsid w:val="00304C9E"/>
    <w:rsid w:val="003065FB"/>
    <w:rsid w:val="00306ED2"/>
    <w:rsid w:val="00306F89"/>
    <w:rsid w:val="0030749E"/>
    <w:rsid w:val="003077E5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89D"/>
    <w:rsid w:val="003249F8"/>
    <w:rsid w:val="00324E34"/>
    <w:rsid w:val="0032556B"/>
    <w:rsid w:val="0032651E"/>
    <w:rsid w:val="00326C67"/>
    <w:rsid w:val="0032712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C3"/>
    <w:rsid w:val="00332962"/>
    <w:rsid w:val="00333FDF"/>
    <w:rsid w:val="00334CE7"/>
    <w:rsid w:val="00335250"/>
    <w:rsid w:val="00335670"/>
    <w:rsid w:val="0033572D"/>
    <w:rsid w:val="0033592C"/>
    <w:rsid w:val="00335E2A"/>
    <w:rsid w:val="003365FB"/>
    <w:rsid w:val="00336611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46D"/>
    <w:rsid w:val="0034305B"/>
    <w:rsid w:val="00343C24"/>
    <w:rsid w:val="00343FA6"/>
    <w:rsid w:val="003441CF"/>
    <w:rsid w:val="00344725"/>
    <w:rsid w:val="003447DB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1FBA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C2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329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4C54"/>
    <w:rsid w:val="00365023"/>
    <w:rsid w:val="0036539D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73F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4E4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A13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972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C9D"/>
    <w:rsid w:val="003C2E72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23A4"/>
    <w:rsid w:val="003E27B0"/>
    <w:rsid w:val="003E2BF4"/>
    <w:rsid w:val="003E2FF1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904"/>
    <w:rsid w:val="003F2A56"/>
    <w:rsid w:val="003F2C24"/>
    <w:rsid w:val="003F32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61F"/>
    <w:rsid w:val="0040495B"/>
    <w:rsid w:val="00404BDD"/>
    <w:rsid w:val="00404D4D"/>
    <w:rsid w:val="00405898"/>
    <w:rsid w:val="00405A9F"/>
    <w:rsid w:val="00405C21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2800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C4C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973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18F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164"/>
    <w:rsid w:val="004478FA"/>
    <w:rsid w:val="00450778"/>
    <w:rsid w:val="00450D3B"/>
    <w:rsid w:val="00450EF4"/>
    <w:rsid w:val="0045169D"/>
    <w:rsid w:val="004517C7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AE4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1B0"/>
    <w:rsid w:val="00482389"/>
    <w:rsid w:val="00482943"/>
    <w:rsid w:val="00482ADC"/>
    <w:rsid w:val="00483D11"/>
    <w:rsid w:val="00483D20"/>
    <w:rsid w:val="0048406D"/>
    <w:rsid w:val="0048424B"/>
    <w:rsid w:val="00484C46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D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B2C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B71"/>
    <w:rsid w:val="004B4CD3"/>
    <w:rsid w:val="004B4F6B"/>
    <w:rsid w:val="004B50E0"/>
    <w:rsid w:val="004B55EC"/>
    <w:rsid w:val="004B5659"/>
    <w:rsid w:val="004B5914"/>
    <w:rsid w:val="004B6301"/>
    <w:rsid w:val="004B6FFB"/>
    <w:rsid w:val="004B7311"/>
    <w:rsid w:val="004B795F"/>
    <w:rsid w:val="004B7BA5"/>
    <w:rsid w:val="004C0346"/>
    <w:rsid w:val="004C06EA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2D8"/>
    <w:rsid w:val="004F6AFE"/>
    <w:rsid w:val="004F6F20"/>
    <w:rsid w:val="004F735F"/>
    <w:rsid w:val="004F7373"/>
    <w:rsid w:val="004F73A5"/>
    <w:rsid w:val="004F76A6"/>
    <w:rsid w:val="004F76AC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A2A"/>
    <w:rsid w:val="00505E06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8EC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314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D25"/>
    <w:rsid w:val="00524E6A"/>
    <w:rsid w:val="00525098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5BE"/>
    <w:rsid w:val="00527860"/>
    <w:rsid w:val="00527A58"/>
    <w:rsid w:val="0053012B"/>
    <w:rsid w:val="005304B1"/>
    <w:rsid w:val="0053066C"/>
    <w:rsid w:val="00530A75"/>
    <w:rsid w:val="00530AFD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6A0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432"/>
    <w:rsid w:val="00535A27"/>
    <w:rsid w:val="00535B60"/>
    <w:rsid w:val="00536ACE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B81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3D29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63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211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7E2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5C40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116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AF3"/>
    <w:rsid w:val="00583DEF"/>
    <w:rsid w:val="00583E78"/>
    <w:rsid w:val="00584496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2F01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70B"/>
    <w:rsid w:val="005A6A3A"/>
    <w:rsid w:val="005A6E87"/>
    <w:rsid w:val="005A7F72"/>
    <w:rsid w:val="005B0A7D"/>
    <w:rsid w:val="005B0F18"/>
    <w:rsid w:val="005B103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8D4"/>
    <w:rsid w:val="005C41BE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5BC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56D"/>
    <w:rsid w:val="005D5E46"/>
    <w:rsid w:val="005D604A"/>
    <w:rsid w:val="005D609E"/>
    <w:rsid w:val="005D64A5"/>
    <w:rsid w:val="005D68CA"/>
    <w:rsid w:val="005D6929"/>
    <w:rsid w:val="005D6B30"/>
    <w:rsid w:val="005D6E1C"/>
    <w:rsid w:val="005D7539"/>
    <w:rsid w:val="005D7E04"/>
    <w:rsid w:val="005E0082"/>
    <w:rsid w:val="005E06C4"/>
    <w:rsid w:val="005E06E1"/>
    <w:rsid w:val="005E0899"/>
    <w:rsid w:val="005E0E2A"/>
    <w:rsid w:val="005E1393"/>
    <w:rsid w:val="005E1411"/>
    <w:rsid w:val="005E3035"/>
    <w:rsid w:val="005E35FD"/>
    <w:rsid w:val="005E383F"/>
    <w:rsid w:val="005E39A1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6F9"/>
    <w:rsid w:val="005E7849"/>
    <w:rsid w:val="005E7A8C"/>
    <w:rsid w:val="005F06FA"/>
    <w:rsid w:val="005F06FD"/>
    <w:rsid w:val="005F0B4C"/>
    <w:rsid w:val="005F0B53"/>
    <w:rsid w:val="005F0C46"/>
    <w:rsid w:val="005F1FE4"/>
    <w:rsid w:val="005F367D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B6C"/>
    <w:rsid w:val="00601072"/>
    <w:rsid w:val="00601097"/>
    <w:rsid w:val="0060144E"/>
    <w:rsid w:val="00601FCD"/>
    <w:rsid w:val="00602354"/>
    <w:rsid w:val="0060254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66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DBF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BC1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28E"/>
    <w:rsid w:val="006434D7"/>
    <w:rsid w:val="00643769"/>
    <w:rsid w:val="00643857"/>
    <w:rsid w:val="00643891"/>
    <w:rsid w:val="00643DCD"/>
    <w:rsid w:val="00644200"/>
    <w:rsid w:val="0064428B"/>
    <w:rsid w:val="00644511"/>
    <w:rsid w:val="0064486C"/>
    <w:rsid w:val="006449EB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A8B"/>
    <w:rsid w:val="00656D6F"/>
    <w:rsid w:val="00657005"/>
    <w:rsid w:val="006572FB"/>
    <w:rsid w:val="006578D9"/>
    <w:rsid w:val="006579D4"/>
    <w:rsid w:val="00657F67"/>
    <w:rsid w:val="006605DC"/>
    <w:rsid w:val="006611DC"/>
    <w:rsid w:val="0066146F"/>
    <w:rsid w:val="00661636"/>
    <w:rsid w:val="00661CC2"/>
    <w:rsid w:val="00662166"/>
    <w:rsid w:val="00662FA2"/>
    <w:rsid w:val="0066310A"/>
    <w:rsid w:val="006635DC"/>
    <w:rsid w:val="00663908"/>
    <w:rsid w:val="00663B46"/>
    <w:rsid w:val="00663DAB"/>
    <w:rsid w:val="0066447D"/>
    <w:rsid w:val="00664678"/>
    <w:rsid w:val="006646F4"/>
    <w:rsid w:val="00665229"/>
    <w:rsid w:val="00665316"/>
    <w:rsid w:val="006654E8"/>
    <w:rsid w:val="0066568F"/>
    <w:rsid w:val="00665874"/>
    <w:rsid w:val="00665CCE"/>
    <w:rsid w:val="006672FC"/>
    <w:rsid w:val="00667378"/>
    <w:rsid w:val="0066745C"/>
    <w:rsid w:val="00667A27"/>
    <w:rsid w:val="00670290"/>
    <w:rsid w:val="006704BF"/>
    <w:rsid w:val="006708CA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58"/>
    <w:rsid w:val="00673FBF"/>
    <w:rsid w:val="0067439E"/>
    <w:rsid w:val="00674460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627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F6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73C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AF4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168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321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6E0D"/>
    <w:rsid w:val="006B725C"/>
    <w:rsid w:val="006B7864"/>
    <w:rsid w:val="006C03B2"/>
    <w:rsid w:val="006C09DD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9B9"/>
    <w:rsid w:val="006C6E92"/>
    <w:rsid w:val="006C75C9"/>
    <w:rsid w:val="006C7CAC"/>
    <w:rsid w:val="006C7FB9"/>
    <w:rsid w:val="006D0272"/>
    <w:rsid w:val="006D038E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329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8E7"/>
    <w:rsid w:val="006E0B16"/>
    <w:rsid w:val="006E1135"/>
    <w:rsid w:val="006E1469"/>
    <w:rsid w:val="006E176F"/>
    <w:rsid w:val="006E1C34"/>
    <w:rsid w:val="006E1E45"/>
    <w:rsid w:val="006E22CC"/>
    <w:rsid w:val="006E30AB"/>
    <w:rsid w:val="006E3D3A"/>
    <w:rsid w:val="006E3E68"/>
    <w:rsid w:val="006E4646"/>
    <w:rsid w:val="006E4875"/>
    <w:rsid w:val="006E512D"/>
    <w:rsid w:val="006E5477"/>
    <w:rsid w:val="006E554E"/>
    <w:rsid w:val="006E5AFE"/>
    <w:rsid w:val="006E6499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115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60E"/>
    <w:rsid w:val="007017EA"/>
    <w:rsid w:val="0070181F"/>
    <w:rsid w:val="0070193E"/>
    <w:rsid w:val="00701B27"/>
    <w:rsid w:val="00701F97"/>
    <w:rsid w:val="00703026"/>
    <w:rsid w:val="007032E6"/>
    <w:rsid w:val="007036E5"/>
    <w:rsid w:val="00703D8A"/>
    <w:rsid w:val="00704123"/>
    <w:rsid w:val="00704641"/>
    <w:rsid w:val="007047A7"/>
    <w:rsid w:val="007050A6"/>
    <w:rsid w:val="00705517"/>
    <w:rsid w:val="007056ED"/>
    <w:rsid w:val="00705D28"/>
    <w:rsid w:val="00706AC2"/>
    <w:rsid w:val="0070743B"/>
    <w:rsid w:val="00707CC2"/>
    <w:rsid w:val="007101EE"/>
    <w:rsid w:val="0071044F"/>
    <w:rsid w:val="00710450"/>
    <w:rsid w:val="00710994"/>
    <w:rsid w:val="007109CD"/>
    <w:rsid w:val="00710A3E"/>
    <w:rsid w:val="00710D33"/>
    <w:rsid w:val="00711760"/>
    <w:rsid w:val="007118B6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3F1"/>
    <w:rsid w:val="0072350B"/>
    <w:rsid w:val="007238F1"/>
    <w:rsid w:val="00724426"/>
    <w:rsid w:val="00724437"/>
    <w:rsid w:val="007244BA"/>
    <w:rsid w:val="0072461A"/>
    <w:rsid w:val="00724713"/>
    <w:rsid w:val="00725068"/>
    <w:rsid w:val="0072560E"/>
    <w:rsid w:val="00725CB6"/>
    <w:rsid w:val="00725CDC"/>
    <w:rsid w:val="00726281"/>
    <w:rsid w:val="0072650B"/>
    <w:rsid w:val="00726537"/>
    <w:rsid w:val="0072665F"/>
    <w:rsid w:val="00727071"/>
    <w:rsid w:val="007271FE"/>
    <w:rsid w:val="007273EC"/>
    <w:rsid w:val="007279F1"/>
    <w:rsid w:val="00727C7E"/>
    <w:rsid w:val="00727E9F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6115"/>
    <w:rsid w:val="0073637C"/>
    <w:rsid w:val="00736886"/>
    <w:rsid w:val="00736D7B"/>
    <w:rsid w:val="00737389"/>
    <w:rsid w:val="007377ED"/>
    <w:rsid w:val="007379C8"/>
    <w:rsid w:val="00737AF0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1F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936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1ACC"/>
    <w:rsid w:val="0076200C"/>
    <w:rsid w:val="00762924"/>
    <w:rsid w:val="0076295C"/>
    <w:rsid w:val="00762FA7"/>
    <w:rsid w:val="00763055"/>
    <w:rsid w:val="007632C1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C10"/>
    <w:rsid w:val="00776E9E"/>
    <w:rsid w:val="00776F98"/>
    <w:rsid w:val="00777053"/>
    <w:rsid w:val="0077736A"/>
    <w:rsid w:val="007775DE"/>
    <w:rsid w:val="00777B46"/>
    <w:rsid w:val="00777D7D"/>
    <w:rsid w:val="00777EE9"/>
    <w:rsid w:val="00780980"/>
    <w:rsid w:val="007809E1"/>
    <w:rsid w:val="00780A03"/>
    <w:rsid w:val="00780AF4"/>
    <w:rsid w:val="00780F3D"/>
    <w:rsid w:val="00780F6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9B6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F70"/>
    <w:rsid w:val="007947FB"/>
    <w:rsid w:val="00794DFE"/>
    <w:rsid w:val="007954AC"/>
    <w:rsid w:val="00795804"/>
    <w:rsid w:val="00795809"/>
    <w:rsid w:val="00795939"/>
    <w:rsid w:val="00795BA6"/>
    <w:rsid w:val="00795DC8"/>
    <w:rsid w:val="0079601B"/>
    <w:rsid w:val="007962E1"/>
    <w:rsid w:val="00796B15"/>
    <w:rsid w:val="007977E1"/>
    <w:rsid w:val="00797DAA"/>
    <w:rsid w:val="00797DEF"/>
    <w:rsid w:val="00797FCF"/>
    <w:rsid w:val="007A0616"/>
    <w:rsid w:val="007A0BDA"/>
    <w:rsid w:val="007A0CDD"/>
    <w:rsid w:val="007A0D0D"/>
    <w:rsid w:val="007A0DAC"/>
    <w:rsid w:val="007A1189"/>
    <w:rsid w:val="007A11A9"/>
    <w:rsid w:val="007A15BA"/>
    <w:rsid w:val="007A16E9"/>
    <w:rsid w:val="007A1B63"/>
    <w:rsid w:val="007A22D6"/>
    <w:rsid w:val="007A2BFF"/>
    <w:rsid w:val="007A2D56"/>
    <w:rsid w:val="007A31E6"/>
    <w:rsid w:val="007A320D"/>
    <w:rsid w:val="007A32B9"/>
    <w:rsid w:val="007A32E9"/>
    <w:rsid w:val="007A3395"/>
    <w:rsid w:val="007A3505"/>
    <w:rsid w:val="007A3BF2"/>
    <w:rsid w:val="007A408F"/>
    <w:rsid w:val="007A4338"/>
    <w:rsid w:val="007A4AF1"/>
    <w:rsid w:val="007A5288"/>
    <w:rsid w:val="007A54B9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482"/>
    <w:rsid w:val="007B1F9A"/>
    <w:rsid w:val="007B2074"/>
    <w:rsid w:val="007B258B"/>
    <w:rsid w:val="007B25C3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253"/>
    <w:rsid w:val="007C450E"/>
    <w:rsid w:val="007C4772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3ED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431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34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6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1D0"/>
    <w:rsid w:val="00803E2E"/>
    <w:rsid w:val="00803FD6"/>
    <w:rsid w:val="008041E1"/>
    <w:rsid w:val="00804867"/>
    <w:rsid w:val="00804B2F"/>
    <w:rsid w:val="008053AD"/>
    <w:rsid w:val="00805D11"/>
    <w:rsid w:val="0080656E"/>
    <w:rsid w:val="008065D3"/>
    <w:rsid w:val="00806979"/>
    <w:rsid w:val="0080699F"/>
    <w:rsid w:val="00806D29"/>
    <w:rsid w:val="00806F5E"/>
    <w:rsid w:val="00807365"/>
    <w:rsid w:val="0080770D"/>
    <w:rsid w:val="00807A6A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E49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6D6"/>
    <w:rsid w:val="0081787C"/>
    <w:rsid w:val="00817B8F"/>
    <w:rsid w:val="00817C3D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89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6C2"/>
    <w:rsid w:val="00827A41"/>
    <w:rsid w:val="00827AF3"/>
    <w:rsid w:val="00830D70"/>
    <w:rsid w:val="0083179C"/>
    <w:rsid w:val="00832142"/>
    <w:rsid w:val="00832C18"/>
    <w:rsid w:val="00832CAF"/>
    <w:rsid w:val="0083311A"/>
    <w:rsid w:val="008337E2"/>
    <w:rsid w:val="00833824"/>
    <w:rsid w:val="0083417A"/>
    <w:rsid w:val="00834512"/>
    <w:rsid w:val="008349E7"/>
    <w:rsid w:val="0083502E"/>
    <w:rsid w:val="008350E9"/>
    <w:rsid w:val="00835625"/>
    <w:rsid w:val="00835B82"/>
    <w:rsid w:val="00836133"/>
    <w:rsid w:val="0083657B"/>
    <w:rsid w:val="00836B5B"/>
    <w:rsid w:val="00837286"/>
    <w:rsid w:val="00837399"/>
    <w:rsid w:val="0083768C"/>
    <w:rsid w:val="00837E87"/>
    <w:rsid w:val="008401C3"/>
    <w:rsid w:val="008404D7"/>
    <w:rsid w:val="00840634"/>
    <w:rsid w:val="00840A68"/>
    <w:rsid w:val="00840A83"/>
    <w:rsid w:val="00840D46"/>
    <w:rsid w:val="00840F0C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1A0"/>
    <w:rsid w:val="00847991"/>
    <w:rsid w:val="00847C4E"/>
    <w:rsid w:val="00847F69"/>
    <w:rsid w:val="00850AE8"/>
    <w:rsid w:val="00850B13"/>
    <w:rsid w:val="00851B22"/>
    <w:rsid w:val="00852338"/>
    <w:rsid w:val="00852AA6"/>
    <w:rsid w:val="008532A6"/>
    <w:rsid w:val="00853C45"/>
    <w:rsid w:val="00854090"/>
    <w:rsid w:val="008540C8"/>
    <w:rsid w:val="00854689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77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F79"/>
    <w:rsid w:val="00875FBD"/>
    <w:rsid w:val="00876AC7"/>
    <w:rsid w:val="008773B5"/>
    <w:rsid w:val="0087763F"/>
    <w:rsid w:val="00877C45"/>
    <w:rsid w:val="00877C57"/>
    <w:rsid w:val="00877FA3"/>
    <w:rsid w:val="008804C9"/>
    <w:rsid w:val="00880783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5A5"/>
    <w:rsid w:val="008867FD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605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665"/>
    <w:rsid w:val="008B60ED"/>
    <w:rsid w:val="008B66CB"/>
    <w:rsid w:val="008B6D24"/>
    <w:rsid w:val="008B6E5C"/>
    <w:rsid w:val="008C1161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15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865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DB3"/>
    <w:rsid w:val="008E7F9D"/>
    <w:rsid w:val="008F0090"/>
    <w:rsid w:val="008F0196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44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07E2B"/>
    <w:rsid w:val="00910874"/>
    <w:rsid w:val="009108A7"/>
    <w:rsid w:val="009112DF"/>
    <w:rsid w:val="00911A5A"/>
    <w:rsid w:val="00911E1A"/>
    <w:rsid w:val="0091225D"/>
    <w:rsid w:val="009123B9"/>
    <w:rsid w:val="00912A63"/>
    <w:rsid w:val="00912A96"/>
    <w:rsid w:val="00912F6D"/>
    <w:rsid w:val="00913881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0D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5A0"/>
    <w:rsid w:val="009326B1"/>
    <w:rsid w:val="009327B5"/>
    <w:rsid w:val="00932A20"/>
    <w:rsid w:val="00933D61"/>
    <w:rsid w:val="00933DE4"/>
    <w:rsid w:val="00934044"/>
    <w:rsid w:val="00934736"/>
    <w:rsid w:val="00934FFD"/>
    <w:rsid w:val="009352CA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1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5F7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A2C"/>
    <w:rsid w:val="00972BB7"/>
    <w:rsid w:val="00972C06"/>
    <w:rsid w:val="00972F4C"/>
    <w:rsid w:val="00972FEB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5931"/>
    <w:rsid w:val="009765CF"/>
    <w:rsid w:val="009766CE"/>
    <w:rsid w:val="00976D1B"/>
    <w:rsid w:val="00976FFB"/>
    <w:rsid w:val="00977771"/>
    <w:rsid w:val="00977852"/>
    <w:rsid w:val="009778AB"/>
    <w:rsid w:val="00980403"/>
    <w:rsid w:val="009804CB"/>
    <w:rsid w:val="009809DD"/>
    <w:rsid w:val="00980ACA"/>
    <w:rsid w:val="00980F14"/>
    <w:rsid w:val="009813F1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5FAF"/>
    <w:rsid w:val="009A6127"/>
    <w:rsid w:val="009A62DC"/>
    <w:rsid w:val="009A637B"/>
    <w:rsid w:val="009A6456"/>
    <w:rsid w:val="009A64EE"/>
    <w:rsid w:val="009A6C74"/>
    <w:rsid w:val="009A6EE7"/>
    <w:rsid w:val="009A7154"/>
    <w:rsid w:val="009A78D1"/>
    <w:rsid w:val="009A7DFB"/>
    <w:rsid w:val="009A7E08"/>
    <w:rsid w:val="009B003C"/>
    <w:rsid w:val="009B0EA8"/>
    <w:rsid w:val="009B1823"/>
    <w:rsid w:val="009B2604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EB2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B76"/>
    <w:rsid w:val="009C520B"/>
    <w:rsid w:val="009C5221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0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A0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08E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DB"/>
    <w:rsid w:val="00A10663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48F3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29F"/>
    <w:rsid w:val="00A322D5"/>
    <w:rsid w:val="00A325C2"/>
    <w:rsid w:val="00A325CC"/>
    <w:rsid w:val="00A327AB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3F05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D1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DC6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466"/>
    <w:rsid w:val="00A606AC"/>
    <w:rsid w:val="00A6070B"/>
    <w:rsid w:val="00A609BC"/>
    <w:rsid w:val="00A60B4F"/>
    <w:rsid w:val="00A60EBB"/>
    <w:rsid w:val="00A615AF"/>
    <w:rsid w:val="00A61828"/>
    <w:rsid w:val="00A6189D"/>
    <w:rsid w:val="00A61919"/>
    <w:rsid w:val="00A6194B"/>
    <w:rsid w:val="00A61F65"/>
    <w:rsid w:val="00A6218C"/>
    <w:rsid w:val="00A621F3"/>
    <w:rsid w:val="00A623EF"/>
    <w:rsid w:val="00A62454"/>
    <w:rsid w:val="00A62788"/>
    <w:rsid w:val="00A627E0"/>
    <w:rsid w:val="00A62953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03D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4FB9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759"/>
    <w:rsid w:val="00A82C1E"/>
    <w:rsid w:val="00A831F0"/>
    <w:rsid w:val="00A835B2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A97"/>
    <w:rsid w:val="00A86F67"/>
    <w:rsid w:val="00A86FEF"/>
    <w:rsid w:val="00A8706A"/>
    <w:rsid w:val="00A87482"/>
    <w:rsid w:val="00A87564"/>
    <w:rsid w:val="00A87E67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13F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711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CD8"/>
    <w:rsid w:val="00AA30A2"/>
    <w:rsid w:val="00AA3644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443A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309"/>
    <w:rsid w:val="00AC0CC3"/>
    <w:rsid w:val="00AC1281"/>
    <w:rsid w:val="00AC1459"/>
    <w:rsid w:val="00AC21BA"/>
    <w:rsid w:val="00AC22C7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AAE"/>
    <w:rsid w:val="00AD7E17"/>
    <w:rsid w:val="00AE0160"/>
    <w:rsid w:val="00AE0D23"/>
    <w:rsid w:val="00AE0E9E"/>
    <w:rsid w:val="00AE14B7"/>
    <w:rsid w:val="00AE1803"/>
    <w:rsid w:val="00AE19D1"/>
    <w:rsid w:val="00AE2205"/>
    <w:rsid w:val="00AE232B"/>
    <w:rsid w:val="00AE26F5"/>
    <w:rsid w:val="00AE2968"/>
    <w:rsid w:val="00AE2CA5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25F3"/>
    <w:rsid w:val="00AF28B0"/>
    <w:rsid w:val="00AF2A13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2FF5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054"/>
    <w:rsid w:val="00B06771"/>
    <w:rsid w:val="00B06C77"/>
    <w:rsid w:val="00B07390"/>
    <w:rsid w:val="00B075EC"/>
    <w:rsid w:val="00B076A7"/>
    <w:rsid w:val="00B076C4"/>
    <w:rsid w:val="00B07CBE"/>
    <w:rsid w:val="00B10196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CD0"/>
    <w:rsid w:val="00B13F1F"/>
    <w:rsid w:val="00B14251"/>
    <w:rsid w:val="00B147CC"/>
    <w:rsid w:val="00B14A16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305"/>
    <w:rsid w:val="00B24F49"/>
    <w:rsid w:val="00B251C6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B87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39A"/>
    <w:rsid w:val="00B35CB3"/>
    <w:rsid w:val="00B35F8E"/>
    <w:rsid w:val="00B366F1"/>
    <w:rsid w:val="00B36D0F"/>
    <w:rsid w:val="00B4003E"/>
    <w:rsid w:val="00B40276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233"/>
    <w:rsid w:val="00B45A61"/>
    <w:rsid w:val="00B45AC0"/>
    <w:rsid w:val="00B46501"/>
    <w:rsid w:val="00B469D2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88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03"/>
    <w:rsid w:val="00B70A49"/>
    <w:rsid w:val="00B70EDB"/>
    <w:rsid w:val="00B71A5D"/>
    <w:rsid w:val="00B72531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699"/>
    <w:rsid w:val="00B77B57"/>
    <w:rsid w:val="00B77D8A"/>
    <w:rsid w:val="00B80132"/>
    <w:rsid w:val="00B8053A"/>
    <w:rsid w:val="00B80795"/>
    <w:rsid w:val="00B80F5B"/>
    <w:rsid w:val="00B81578"/>
    <w:rsid w:val="00B81684"/>
    <w:rsid w:val="00B817F4"/>
    <w:rsid w:val="00B820AE"/>
    <w:rsid w:val="00B821AB"/>
    <w:rsid w:val="00B8282F"/>
    <w:rsid w:val="00B8298D"/>
    <w:rsid w:val="00B82A8C"/>
    <w:rsid w:val="00B82E64"/>
    <w:rsid w:val="00B830F7"/>
    <w:rsid w:val="00B8321E"/>
    <w:rsid w:val="00B837F5"/>
    <w:rsid w:val="00B83AC3"/>
    <w:rsid w:val="00B83DAC"/>
    <w:rsid w:val="00B83DF6"/>
    <w:rsid w:val="00B841D6"/>
    <w:rsid w:val="00B84BE8"/>
    <w:rsid w:val="00B855A8"/>
    <w:rsid w:val="00B85837"/>
    <w:rsid w:val="00B85F67"/>
    <w:rsid w:val="00B8655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344"/>
    <w:rsid w:val="00B93639"/>
    <w:rsid w:val="00B93BA0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CD8"/>
    <w:rsid w:val="00BA067F"/>
    <w:rsid w:val="00BA13E0"/>
    <w:rsid w:val="00BA15F3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680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F14"/>
    <w:rsid w:val="00BB358E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7D5"/>
    <w:rsid w:val="00BB7DB1"/>
    <w:rsid w:val="00BC0AE6"/>
    <w:rsid w:val="00BC16BF"/>
    <w:rsid w:val="00BC1B4B"/>
    <w:rsid w:val="00BC1EA8"/>
    <w:rsid w:val="00BC201A"/>
    <w:rsid w:val="00BC2BC7"/>
    <w:rsid w:val="00BC2F45"/>
    <w:rsid w:val="00BC344E"/>
    <w:rsid w:val="00BC38B8"/>
    <w:rsid w:val="00BC3CF8"/>
    <w:rsid w:val="00BC3D8E"/>
    <w:rsid w:val="00BC4960"/>
    <w:rsid w:val="00BC4B9C"/>
    <w:rsid w:val="00BC5181"/>
    <w:rsid w:val="00BC56C1"/>
    <w:rsid w:val="00BC5CE2"/>
    <w:rsid w:val="00BC642E"/>
    <w:rsid w:val="00BC6742"/>
    <w:rsid w:val="00BC71C5"/>
    <w:rsid w:val="00BC7659"/>
    <w:rsid w:val="00BC76D2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429"/>
    <w:rsid w:val="00BD6509"/>
    <w:rsid w:val="00BD689C"/>
    <w:rsid w:val="00BD6A22"/>
    <w:rsid w:val="00BD78B8"/>
    <w:rsid w:val="00BD7A82"/>
    <w:rsid w:val="00BD7D36"/>
    <w:rsid w:val="00BD7F9E"/>
    <w:rsid w:val="00BE072F"/>
    <w:rsid w:val="00BE0C3B"/>
    <w:rsid w:val="00BE13B8"/>
    <w:rsid w:val="00BE1542"/>
    <w:rsid w:val="00BE197A"/>
    <w:rsid w:val="00BE1A06"/>
    <w:rsid w:val="00BE2E99"/>
    <w:rsid w:val="00BE3AFA"/>
    <w:rsid w:val="00BE3F52"/>
    <w:rsid w:val="00BE403F"/>
    <w:rsid w:val="00BE5515"/>
    <w:rsid w:val="00BE5613"/>
    <w:rsid w:val="00BE5813"/>
    <w:rsid w:val="00BE5C7E"/>
    <w:rsid w:val="00BE65B3"/>
    <w:rsid w:val="00BE68B9"/>
    <w:rsid w:val="00BE7265"/>
    <w:rsid w:val="00BE76E2"/>
    <w:rsid w:val="00BE7B27"/>
    <w:rsid w:val="00BF0089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90F"/>
    <w:rsid w:val="00BF2C65"/>
    <w:rsid w:val="00BF2CFA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FBF"/>
    <w:rsid w:val="00BF70A1"/>
    <w:rsid w:val="00BF70F8"/>
    <w:rsid w:val="00BF717A"/>
    <w:rsid w:val="00BF7CDD"/>
    <w:rsid w:val="00BF7D43"/>
    <w:rsid w:val="00C00F1A"/>
    <w:rsid w:val="00C010F5"/>
    <w:rsid w:val="00C01835"/>
    <w:rsid w:val="00C01DFD"/>
    <w:rsid w:val="00C0207C"/>
    <w:rsid w:val="00C02192"/>
    <w:rsid w:val="00C0279C"/>
    <w:rsid w:val="00C02CDE"/>
    <w:rsid w:val="00C03B7B"/>
    <w:rsid w:val="00C03C30"/>
    <w:rsid w:val="00C0409A"/>
    <w:rsid w:val="00C04339"/>
    <w:rsid w:val="00C04C6C"/>
    <w:rsid w:val="00C057E0"/>
    <w:rsid w:val="00C05863"/>
    <w:rsid w:val="00C05C20"/>
    <w:rsid w:val="00C06031"/>
    <w:rsid w:val="00C06066"/>
    <w:rsid w:val="00C0648A"/>
    <w:rsid w:val="00C06615"/>
    <w:rsid w:val="00C067A4"/>
    <w:rsid w:val="00C06F8C"/>
    <w:rsid w:val="00C07A6C"/>
    <w:rsid w:val="00C07AE3"/>
    <w:rsid w:val="00C07AE4"/>
    <w:rsid w:val="00C10599"/>
    <w:rsid w:val="00C10EFD"/>
    <w:rsid w:val="00C10F46"/>
    <w:rsid w:val="00C1114F"/>
    <w:rsid w:val="00C11183"/>
    <w:rsid w:val="00C11197"/>
    <w:rsid w:val="00C1157C"/>
    <w:rsid w:val="00C11B8D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F51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6CE"/>
    <w:rsid w:val="00C232DD"/>
    <w:rsid w:val="00C2423A"/>
    <w:rsid w:val="00C244D8"/>
    <w:rsid w:val="00C24789"/>
    <w:rsid w:val="00C24EE5"/>
    <w:rsid w:val="00C250CF"/>
    <w:rsid w:val="00C2544D"/>
    <w:rsid w:val="00C25826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459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492"/>
    <w:rsid w:val="00C367B9"/>
    <w:rsid w:val="00C36DAD"/>
    <w:rsid w:val="00C37050"/>
    <w:rsid w:val="00C37823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042"/>
    <w:rsid w:val="00C4587D"/>
    <w:rsid w:val="00C45C66"/>
    <w:rsid w:val="00C470AA"/>
    <w:rsid w:val="00C47AE8"/>
    <w:rsid w:val="00C47B93"/>
    <w:rsid w:val="00C47BDE"/>
    <w:rsid w:val="00C5002F"/>
    <w:rsid w:val="00C5063C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989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62"/>
    <w:rsid w:val="00C66C34"/>
    <w:rsid w:val="00C66F69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6CB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218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8"/>
    <w:rsid w:val="00CA114D"/>
    <w:rsid w:val="00CA1225"/>
    <w:rsid w:val="00CA18D2"/>
    <w:rsid w:val="00CA2919"/>
    <w:rsid w:val="00CA2C56"/>
    <w:rsid w:val="00CA35F0"/>
    <w:rsid w:val="00CA4253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11BD"/>
    <w:rsid w:val="00CB1233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0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4B"/>
    <w:rsid w:val="00CC4C5E"/>
    <w:rsid w:val="00CC4CD7"/>
    <w:rsid w:val="00CC4F58"/>
    <w:rsid w:val="00CC57AE"/>
    <w:rsid w:val="00CC606C"/>
    <w:rsid w:val="00CC620F"/>
    <w:rsid w:val="00CC6C91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3E3"/>
    <w:rsid w:val="00CE253D"/>
    <w:rsid w:val="00CE3257"/>
    <w:rsid w:val="00CE38AA"/>
    <w:rsid w:val="00CE3CDC"/>
    <w:rsid w:val="00CE3D16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BCF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823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1C"/>
    <w:rsid w:val="00D13451"/>
    <w:rsid w:val="00D13820"/>
    <w:rsid w:val="00D13880"/>
    <w:rsid w:val="00D13BBC"/>
    <w:rsid w:val="00D13F9F"/>
    <w:rsid w:val="00D14204"/>
    <w:rsid w:val="00D1552A"/>
    <w:rsid w:val="00D15D18"/>
    <w:rsid w:val="00D15D9D"/>
    <w:rsid w:val="00D1624D"/>
    <w:rsid w:val="00D17740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C3A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4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50"/>
    <w:rsid w:val="00D56810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0EA4"/>
    <w:rsid w:val="00D60F92"/>
    <w:rsid w:val="00D610FA"/>
    <w:rsid w:val="00D6141A"/>
    <w:rsid w:val="00D61697"/>
    <w:rsid w:val="00D62243"/>
    <w:rsid w:val="00D6278F"/>
    <w:rsid w:val="00D62949"/>
    <w:rsid w:val="00D629D3"/>
    <w:rsid w:val="00D62DEC"/>
    <w:rsid w:val="00D62E00"/>
    <w:rsid w:val="00D63B19"/>
    <w:rsid w:val="00D63BAD"/>
    <w:rsid w:val="00D6410E"/>
    <w:rsid w:val="00D6420A"/>
    <w:rsid w:val="00D6447E"/>
    <w:rsid w:val="00D645BF"/>
    <w:rsid w:val="00D647F9"/>
    <w:rsid w:val="00D6485C"/>
    <w:rsid w:val="00D64864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3EFE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9F0"/>
    <w:rsid w:val="00D76A12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87DDF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568"/>
    <w:rsid w:val="00DA1D80"/>
    <w:rsid w:val="00DA2046"/>
    <w:rsid w:val="00DA2185"/>
    <w:rsid w:val="00DA23D2"/>
    <w:rsid w:val="00DA29C4"/>
    <w:rsid w:val="00DA2D90"/>
    <w:rsid w:val="00DA2E62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9F7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128B"/>
    <w:rsid w:val="00DE1318"/>
    <w:rsid w:val="00DE1799"/>
    <w:rsid w:val="00DE21CF"/>
    <w:rsid w:val="00DE279F"/>
    <w:rsid w:val="00DE2D4B"/>
    <w:rsid w:val="00DE2E1E"/>
    <w:rsid w:val="00DE364C"/>
    <w:rsid w:val="00DE3E7C"/>
    <w:rsid w:val="00DE464E"/>
    <w:rsid w:val="00DE4664"/>
    <w:rsid w:val="00DE4811"/>
    <w:rsid w:val="00DE4B0C"/>
    <w:rsid w:val="00DE58DA"/>
    <w:rsid w:val="00DE5F0F"/>
    <w:rsid w:val="00DE5FDA"/>
    <w:rsid w:val="00DE61AA"/>
    <w:rsid w:val="00DE752E"/>
    <w:rsid w:val="00DE7793"/>
    <w:rsid w:val="00DE7D03"/>
    <w:rsid w:val="00DE7F45"/>
    <w:rsid w:val="00DF02EC"/>
    <w:rsid w:val="00DF04F2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3DBA"/>
    <w:rsid w:val="00E0401E"/>
    <w:rsid w:val="00E046C1"/>
    <w:rsid w:val="00E049DF"/>
    <w:rsid w:val="00E049EC"/>
    <w:rsid w:val="00E05A43"/>
    <w:rsid w:val="00E05FC4"/>
    <w:rsid w:val="00E06977"/>
    <w:rsid w:val="00E06AF4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1075"/>
    <w:rsid w:val="00E11EB8"/>
    <w:rsid w:val="00E1273A"/>
    <w:rsid w:val="00E12933"/>
    <w:rsid w:val="00E12A5A"/>
    <w:rsid w:val="00E12AF0"/>
    <w:rsid w:val="00E12E41"/>
    <w:rsid w:val="00E12FB2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2A7"/>
    <w:rsid w:val="00E15343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07"/>
    <w:rsid w:val="00E23F96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6EA7"/>
    <w:rsid w:val="00E272FE"/>
    <w:rsid w:val="00E27801"/>
    <w:rsid w:val="00E30517"/>
    <w:rsid w:val="00E3066B"/>
    <w:rsid w:val="00E3070A"/>
    <w:rsid w:val="00E30A72"/>
    <w:rsid w:val="00E30DB2"/>
    <w:rsid w:val="00E31506"/>
    <w:rsid w:val="00E3200D"/>
    <w:rsid w:val="00E32E0E"/>
    <w:rsid w:val="00E32E10"/>
    <w:rsid w:val="00E3305B"/>
    <w:rsid w:val="00E33506"/>
    <w:rsid w:val="00E33704"/>
    <w:rsid w:val="00E33802"/>
    <w:rsid w:val="00E33814"/>
    <w:rsid w:val="00E339C6"/>
    <w:rsid w:val="00E33B8C"/>
    <w:rsid w:val="00E33E4D"/>
    <w:rsid w:val="00E34120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1F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4DE0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0FBC"/>
    <w:rsid w:val="00E515A3"/>
    <w:rsid w:val="00E51A1D"/>
    <w:rsid w:val="00E51E23"/>
    <w:rsid w:val="00E523F3"/>
    <w:rsid w:val="00E52F76"/>
    <w:rsid w:val="00E5315C"/>
    <w:rsid w:val="00E534EA"/>
    <w:rsid w:val="00E538E0"/>
    <w:rsid w:val="00E547DF"/>
    <w:rsid w:val="00E54D33"/>
    <w:rsid w:val="00E550B5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27A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67B7F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524F"/>
    <w:rsid w:val="00E7556D"/>
    <w:rsid w:val="00E75693"/>
    <w:rsid w:val="00E756FB"/>
    <w:rsid w:val="00E75BE6"/>
    <w:rsid w:val="00E76141"/>
    <w:rsid w:val="00E76270"/>
    <w:rsid w:val="00E76B45"/>
    <w:rsid w:val="00E77040"/>
    <w:rsid w:val="00E772AB"/>
    <w:rsid w:val="00E772C4"/>
    <w:rsid w:val="00E77655"/>
    <w:rsid w:val="00E8016D"/>
    <w:rsid w:val="00E810EC"/>
    <w:rsid w:val="00E8112C"/>
    <w:rsid w:val="00E81587"/>
    <w:rsid w:val="00E815AE"/>
    <w:rsid w:val="00E815D6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52CB"/>
    <w:rsid w:val="00E853AC"/>
    <w:rsid w:val="00E85483"/>
    <w:rsid w:val="00E85B7C"/>
    <w:rsid w:val="00E86057"/>
    <w:rsid w:val="00E861F7"/>
    <w:rsid w:val="00E86323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88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C3C"/>
    <w:rsid w:val="00EA3002"/>
    <w:rsid w:val="00EA3641"/>
    <w:rsid w:val="00EA390D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741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6F95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902"/>
    <w:rsid w:val="00EF3A28"/>
    <w:rsid w:val="00EF3A3D"/>
    <w:rsid w:val="00EF3A4A"/>
    <w:rsid w:val="00EF3D41"/>
    <w:rsid w:val="00EF3D43"/>
    <w:rsid w:val="00EF3EE0"/>
    <w:rsid w:val="00EF4056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72E"/>
    <w:rsid w:val="00F05EED"/>
    <w:rsid w:val="00F05F00"/>
    <w:rsid w:val="00F068A5"/>
    <w:rsid w:val="00F06F02"/>
    <w:rsid w:val="00F07CD5"/>
    <w:rsid w:val="00F10437"/>
    <w:rsid w:val="00F10465"/>
    <w:rsid w:val="00F10864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6267"/>
    <w:rsid w:val="00F165FF"/>
    <w:rsid w:val="00F16BB1"/>
    <w:rsid w:val="00F16EA6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88B"/>
    <w:rsid w:val="00F22C96"/>
    <w:rsid w:val="00F22FC1"/>
    <w:rsid w:val="00F2357F"/>
    <w:rsid w:val="00F23A96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BFB"/>
    <w:rsid w:val="00F31CC5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6EDF"/>
    <w:rsid w:val="00F377A2"/>
    <w:rsid w:val="00F37922"/>
    <w:rsid w:val="00F37AEF"/>
    <w:rsid w:val="00F37BD8"/>
    <w:rsid w:val="00F37DC6"/>
    <w:rsid w:val="00F41D1F"/>
    <w:rsid w:val="00F42910"/>
    <w:rsid w:val="00F42C2B"/>
    <w:rsid w:val="00F4476B"/>
    <w:rsid w:val="00F44833"/>
    <w:rsid w:val="00F45A74"/>
    <w:rsid w:val="00F45B82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1FB6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B39"/>
    <w:rsid w:val="00F553D1"/>
    <w:rsid w:val="00F55553"/>
    <w:rsid w:val="00F558E3"/>
    <w:rsid w:val="00F55AC5"/>
    <w:rsid w:val="00F55B09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1ED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3BE"/>
    <w:rsid w:val="00F71026"/>
    <w:rsid w:val="00F71042"/>
    <w:rsid w:val="00F710A0"/>
    <w:rsid w:val="00F710D9"/>
    <w:rsid w:val="00F71976"/>
    <w:rsid w:val="00F71F79"/>
    <w:rsid w:val="00F721A1"/>
    <w:rsid w:val="00F724E3"/>
    <w:rsid w:val="00F7262B"/>
    <w:rsid w:val="00F727AA"/>
    <w:rsid w:val="00F729F2"/>
    <w:rsid w:val="00F72C94"/>
    <w:rsid w:val="00F73F43"/>
    <w:rsid w:val="00F74664"/>
    <w:rsid w:val="00F74791"/>
    <w:rsid w:val="00F747FD"/>
    <w:rsid w:val="00F74A7A"/>
    <w:rsid w:val="00F74D3F"/>
    <w:rsid w:val="00F75C0B"/>
    <w:rsid w:val="00F763DF"/>
    <w:rsid w:val="00F76C4D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03"/>
    <w:rsid w:val="00F81F25"/>
    <w:rsid w:val="00F82272"/>
    <w:rsid w:val="00F825FF"/>
    <w:rsid w:val="00F82760"/>
    <w:rsid w:val="00F82A7D"/>
    <w:rsid w:val="00F82D8E"/>
    <w:rsid w:val="00F83301"/>
    <w:rsid w:val="00F83380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211"/>
    <w:rsid w:val="00F87317"/>
    <w:rsid w:val="00F879C6"/>
    <w:rsid w:val="00F87D07"/>
    <w:rsid w:val="00F87D16"/>
    <w:rsid w:val="00F87D54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977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2B2"/>
    <w:rsid w:val="00FA656D"/>
    <w:rsid w:val="00FA65C9"/>
    <w:rsid w:val="00FA6686"/>
    <w:rsid w:val="00FA6A8C"/>
    <w:rsid w:val="00FA6D1D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864"/>
    <w:rsid w:val="00FB2A9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F93"/>
    <w:rsid w:val="00FD10D2"/>
    <w:rsid w:val="00FD1407"/>
    <w:rsid w:val="00FD1F1E"/>
    <w:rsid w:val="00FD235B"/>
    <w:rsid w:val="00FD2804"/>
    <w:rsid w:val="00FD282A"/>
    <w:rsid w:val="00FD2A71"/>
    <w:rsid w:val="00FD2BDC"/>
    <w:rsid w:val="00FD3124"/>
    <w:rsid w:val="00FD3905"/>
    <w:rsid w:val="00FD3B5F"/>
    <w:rsid w:val="00FD3C4C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43E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492BBA"/>
  <w14:defaultImageDpi w14:val="32767"/>
  <w15:docId w15:val="{0C5BD118-3600-41E8-A7D4-B3B56633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table" w:styleId="PlainTable3">
    <w:name w:val="Plain Table 3"/>
    <w:basedOn w:val="TableNormal"/>
    <w:uiPriority w:val="43"/>
    <w:rsid w:val="000C7CC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B0EA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HR33RHYHUWRF-4-2602</_dlc_DocId>
    <_dlc_DocIdUrl xmlns="c06861ca-3f08-4d07-bff7-bb15bac121f4">
      <Url>https://projects.qualcomm.com/sites/pentari/_layouts/15/DocIdRedir.aspx?ID=HR33RHYHUWRF-4-2602</Url>
      <Description>HR33RHYHUWRF-4-2602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1F25E-2CFE-4A80-B83E-E73ED5CFA846}">
  <ds:schemaRefs>
    <ds:schemaRef ds:uri="http://purl.org/dc/terms/"/>
    <ds:schemaRef ds:uri="http://schemas.microsoft.com/office/2006/documentManagement/types"/>
    <ds:schemaRef ds:uri="http://www.w3.org/XML/1998/namespace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4E3ACF0-ED1B-4691-85C6-DB6E8CA0F5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5F44B5-A9DE-437F-90F8-7483FE4A401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5C7696-45C6-4E55-95CD-16F459750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3798A7-2486-4557-B7FC-F7CE0B5E2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4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#89</dc:title>
  <dc:subject/>
  <dc:creator>Qualcomm Europe</dc:creator>
  <cp:keywords/>
  <dc:description/>
  <cp:lastModifiedBy>Yu Zhang</cp:lastModifiedBy>
  <cp:revision>56</cp:revision>
  <cp:lastPrinted>2014-11-07T05:38:00Z</cp:lastPrinted>
  <dcterms:created xsi:type="dcterms:W3CDTF">2017-03-24T17:49:00Z</dcterms:created>
  <dcterms:modified xsi:type="dcterms:W3CDTF">2017-05-06T09:37:00Z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7a46df1d-877e-41b6-8593-3fffeacc7748</vt:lpwstr>
  </property>
</Properties>
</file>